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left"/>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附件</w:t>
      </w:r>
      <w:r>
        <w:rPr>
          <w:rFonts w:ascii="黑体" w:hAnsi="黑体" w:eastAsia="黑体" w:cs="仿宋_GB2312"/>
          <w:sz w:val="32"/>
          <w:szCs w:val="32"/>
          <w:shd w:val="clear" w:color="auto" w:fill="FFFFFF"/>
        </w:rPr>
        <w:t>1</w:t>
      </w:r>
    </w:p>
    <w:p>
      <w:pPr>
        <w:snapToGrid w:val="0"/>
        <w:spacing w:line="600" w:lineRule="exact"/>
        <w:jc w:val="center"/>
        <w:rPr>
          <w:rFonts w:ascii="方正小标宋简体" w:hAnsi="黑体" w:eastAsia="方正小标宋简体"/>
          <w:sz w:val="44"/>
          <w:szCs w:val="44"/>
        </w:rPr>
      </w:pPr>
      <w:r>
        <w:rPr>
          <w:rFonts w:ascii="方正小标宋简体" w:hAnsi="黑体" w:eastAsia="方正小标宋简体"/>
          <w:sz w:val="44"/>
          <w:szCs w:val="44"/>
        </w:rPr>
        <w:t>XX</w:t>
      </w:r>
      <w:r>
        <w:rPr>
          <w:rFonts w:hint="eastAsia" w:ascii="方正小标宋简体" w:hAnsi="黑体" w:eastAsia="方正小标宋简体"/>
          <w:sz w:val="44"/>
          <w:szCs w:val="44"/>
        </w:rPr>
        <w:t>市“全面改薄”专项督导自评报告</w:t>
      </w:r>
    </w:p>
    <w:p>
      <w:pPr>
        <w:snapToGrid w:val="0"/>
        <w:spacing w:line="600" w:lineRule="exact"/>
        <w:jc w:val="left"/>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 xml:space="preserve">   </w:t>
      </w:r>
    </w:p>
    <w:p>
      <w:pPr>
        <w:snapToGrid w:val="0"/>
        <w:spacing w:line="58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根据国务院教育督导委员会办公室关于《全面改善贫困地区义务教育薄弱学校基本办学条件工作专项督导办法》和《山东省全面改善贫困地区义务教育薄弱学校基本办学条件工作专项督导实施方案》的要求，现将我市“全面改薄”专项督导自评情况报告如下：</w:t>
      </w:r>
    </w:p>
    <w:p>
      <w:pPr>
        <w:pStyle w:val="4"/>
        <w:spacing w:line="580" w:lineRule="exact"/>
        <w:ind w:firstLine="640"/>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一、工作进展</w:t>
      </w:r>
    </w:p>
    <w:p>
      <w:pPr>
        <w:spacing w:line="580" w:lineRule="exact"/>
        <w:ind w:firstLine="640" w:firstLineChars="200"/>
        <w:rPr>
          <w:rFonts w:ascii="仿宋_GB2312" w:hAnsi="黑体" w:eastAsia="仿宋_GB2312"/>
          <w:sz w:val="32"/>
          <w:szCs w:val="32"/>
        </w:rPr>
      </w:pPr>
      <w:r>
        <w:rPr>
          <w:rFonts w:hint="eastAsia" w:ascii="仿宋_GB2312" w:eastAsia="仿宋_GB2312"/>
          <w:sz w:val="32"/>
          <w:szCs w:val="32"/>
        </w:rPr>
        <w:t>截至</w:t>
      </w:r>
      <w:r>
        <w:rPr>
          <w:rFonts w:ascii="仿宋_GB2312" w:eastAsia="仿宋_GB2312"/>
          <w:sz w:val="32"/>
          <w:szCs w:val="32"/>
        </w:rPr>
        <w:t>2015</w:t>
      </w:r>
      <w:r>
        <w:rPr>
          <w:rFonts w:hint="eastAsia" w:ascii="仿宋_GB2312" w:eastAsia="仿宋_GB2312"/>
          <w:sz w:val="32"/>
          <w:szCs w:val="32"/>
        </w:rPr>
        <w:t>年底目标任务完成情况，包括资金投入支出情况、建设</w:t>
      </w:r>
      <w:r>
        <w:rPr>
          <w:rFonts w:hint="eastAsia" w:ascii="仿宋_GB2312" w:hAnsi="黑体" w:eastAsia="仿宋_GB2312"/>
          <w:sz w:val="32"/>
          <w:szCs w:val="32"/>
        </w:rPr>
        <w:t>项目开工竣工情况及设施设备采购完成情况等。</w:t>
      </w:r>
    </w:p>
    <w:p>
      <w:pPr>
        <w:spacing w:line="580" w:lineRule="exact"/>
        <w:ind w:firstLine="640" w:firstLineChars="200"/>
        <w:rPr>
          <w:rFonts w:ascii="仿宋_GB2312" w:hAnsi="黑体" w:eastAsia="仿宋_GB2312"/>
          <w:sz w:val="32"/>
          <w:szCs w:val="32"/>
        </w:rPr>
      </w:pPr>
      <w:r>
        <w:rPr>
          <w:rFonts w:hint="eastAsia" w:ascii="黑体" w:hAnsi="黑体" w:eastAsia="黑体" w:cs="仿宋_GB2312"/>
          <w:sz w:val="32"/>
          <w:szCs w:val="32"/>
          <w:shd w:val="clear" w:color="auto" w:fill="FFFFFF"/>
        </w:rPr>
        <w:t>二、主要做法</w:t>
      </w:r>
    </w:p>
    <w:p>
      <w:pPr>
        <w:spacing w:line="580" w:lineRule="exact"/>
        <w:ind w:firstLine="640" w:firstLineChars="200"/>
        <w:rPr>
          <w:rFonts w:ascii="仿宋_GB2312" w:eastAsia="仿宋_GB2312"/>
          <w:sz w:val="32"/>
          <w:szCs w:val="32"/>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组织领导。</w:t>
      </w:r>
      <w:r>
        <w:rPr>
          <w:rFonts w:hint="eastAsia" w:ascii="仿宋_GB2312" w:eastAsia="仿宋_GB2312"/>
          <w:sz w:val="32"/>
          <w:szCs w:val="32"/>
        </w:rPr>
        <w:t>各市政府履职尽责，加强对改薄工作的组织领导、健全各项工作制度、研究部署工作等情况。</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政策保障。各市政府及财政、发改、国土、住建、规划等相关部门出台的相关政策、提供服务保障的情况，包括但不限于资金筹措、土地保障、规费减免、师资配备等。</w:t>
      </w:r>
    </w:p>
    <w:p>
      <w:pPr>
        <w:snapToGrid w:val="0"/>
        <w:spacing w:line="580" w:lineRule="exact"/>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管理措施。严格执行相关程序，落实集中采购、招投标制度等方面采取的措施，加强工程质量管理、设施设备采购质量管理等情况；以及加强新闻宣传、公开公示方面的主要做法等。</w:t>
      </w:r>
    </w:p>
    <w:p>
      <w:pPr>
        <w:snapToGrid w:val="0"/>
        <w:spacing w:line="580" w:lineRule="exact"/>
        <w:ind w:firstLine="640" w:firstLineChars="200"/>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三、存在的问题</w:t>
      </w:r>
    </w:p>
    <w:p>
      <w:pPr>
        <w:ind w:firstLine="640" w:firstLineChars="200"/>
      </w:pPr>
      <w:bookmarkStart w:id="0" w:name="_GoBack"/>
      <w:bookmarkEnd w:id="0"/>
      <w:r>
        <w:rPr>
          <w:rFonts w:hint="eastAsia" w:ascii="黑体" w:hAnsi="黑体" w:eastAsia="黑体" w:cs="仿宋_GB2312"/>
          <w:sz w:val="32"/>
          <w:szCs w:val="32"/>
          <w:shd w:val="clear" w:color="auto" w:fill="FFFFFF"/>
        </w:rPr>
        <w:t>四、意见建议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465B6"/>
    <w:rsid w:val="6A0465B6"/>
    <w:rsid w:val="6D535020"/>
    <w:rsid w:val="7957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2018-11-03T08:08:00Z</dcterms:created>
  <dc:creator>热爱学习</dc:creator>
  <cp:lastModifiedBy>热爱学习</cp:lastModifiedBy>
  <dcterms:modified xsi:type="dcterms:W3CDTF">2018-11-03T08:09:11Z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