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8E" w:rsidRPr="00411302" w:rsidRDefault="0000438E" w:rsidP="0000438E">
      <w:pPr>
        <w:jc w:val="left"/>
        <w:rPr>
          <w:rFonts w:ascii="黑体" w:eastAsia="黑体" w:hAnsi="黑体" w:cs="宋体"/>
          <w:sz w:val="32"/>
          <w:szCs w:val="32"/>
        </w:rPr>
      </w:pPr>
      <w:bookmarkStart w:id="0" w:name="_Hlk18014616"/>
      <w:r w:rsidRPr="00411302">
        <w:rPr>
          <w:rFonts w:ascii="黑体" w:eastAsia="黑体" w:hAnsi="黑体" w:cs="宋体" w:hint="eastAsia"/>
          <w:sz w:val="32"/>
          <w:szCs w:val="32"/>
        </w:rPr>
        <w:t>附件1</w:t>
      </w:r>
    </w:p>
    <w:p w:rsidR="0000438E" w:rsidRPr="00411302" w:rsidRDefault="0000438E" w:rsidP="0000438E">
      <w:pPr>
        <w:jc w:val="center"/>
        <w:rPr>
          <w:rFonts w:ascii="方正小标宋简体" w:eastAsia="方正小标宋简体" w:hAnsi="黑体" w:cs="宋体"/>
          <w:sz w:val="44"/>
          <w:szCs w:val="44"/>
        </w:rPr>
      </w:pPr>
      <w:r w:rsidRPr="00411302">
        <w:rPr>
          <w:rFonts w:ascii="方正小标宋简体" w:eastAsia="方正小标宋简体" w:hAnsi="黑体" w:cs="宋体" w:hint="eastAsia"/>
          <w:sz w:val="44"/>
          <w:szCs w:val="44"/>
        </w:rPr>
        <w:t>山东省高等职业院校办学质量年度考核指标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77"/>
        <w:gridCol w:w="2525"/>
        <w:gridCol w:w="876"/>
        <w:gridCol w:w="6450"/>
        <w:gridCol w:w="2720"/>
      </w:tblGrid>
      <w:tr w:rsidR="0000438E" w:rsidRPr="00CE1338" w:rsidTr="0021512B">
        <w:trPr>
          <w:trHeight w:val="781"/>
          <w:tblHeader/>
          <w:jc w:val="center"/>
        </w:trPr>
        <w:tc>
          <w:tcPr>
            <w:tcW w:w="494" w:type="pct"/>
            <w:shd w:val="clear" w:color="auto" w:fill="auto"/>
            <w:vAlign w:val="center"/>
            <w:hideMark/>
          </w:tcPr>
          <w:bookmarkEnd w:id="0"/>
          <w:p w:rsidR="0000438E" w:rsidRPr="00C87F88" w:rsidRDefault="0000438E" w:rsidP="0021512B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C87F88">
              <w:rPr>
                <w:rFonts w:ascii="仿宋_GB2312" w:eastAsia="仿宋_GB2312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C87F88" w:rsidRDefault="0000438E" w:rsidP="0021512B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C87F88">
              <w:rPr>
                <w:rFonts w:ascii="仿宋_GB2312" w:eastAsia="仿宋_GB2312" w:hAnsi="宋体" w:hint="eastAsia"/>
                <w:b/>
                <w:bCs/>
                <w:szCs w:val="21"/>
              </w:rPr>
              <w:t>二级指标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C87F88" w:rsidRDefault="0000438E" w:rsidP="0021512B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C87F88">
              <w:rPr>
                <w:rFonts w:ascii="仿宋_GB2312" w:eastAsia="仿宋_GB2312" w:hAnsi="宋体" w:hint="eastAsia"/>
                <w:b/>
                <w:bCs/>
                <w:szCs w:val="21"/>
              </w:rPr>
              <w:t>指标性质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C87F88" w:rsidRDefault="0000438E" w:rsidP="0021512B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C87F88">
              <w:rPr>
                <w:rFonts w:ascii="仿宋_GB2312" w:eastAsia="仿宋_GB2312" w:hAnsi="宋体" w:hint="eastAsia"/>
                <w:b/>
                <w:bCs/>
                <w:szCs w:val="21"/>
              </w:rPr>
              <w:t>指标说明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C87F88" w:rsidRDefault="0000438E" w:rsidP="0021512B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C87F88">
              <w:rPr>
                <w:rFonts w:ascii="仿宋_GB2312" w:eastAsia="仿宋_GB2312" w:hAnsi="宋体" w:hint="eastAsia"/>
                <w:b/>
                <w:bCs/>
                <w:szCs w:val="21"/>
              </w:rPr>
              <w:t>计分办法</w:t>
            </w:r>
          </w:p>
        </w:tc>
      </w:tr>
      <w:tr w:rsidR="0000438E" w:rsidRPr="00CE1338" w:rsidTr="0021512B">
        <w:trPr>
          <w:trHeight w:val="1388"/>
          <w:jc w:val="center"/>
        </w:trPr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一、人才培养（25分）</w:t>
            </w: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1.立德树人（4分）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定量定性结合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计算与评价办法：①思想政治理论课学时达标率=思想政治理论课实际开课学时数/规定学时*100%。②学校提供课程思政、专业育人、“三全育人”落实推进情况及成效材料，综合评价。</w:t>
            </w:r>
          </w:p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rPr>
                <w:rFonts w:ascii="仿宋_GB2312" w:eastAsia="仿宋_GB2312" w:hAnsi="Calibri" w:cs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①</w:t>
            </w:r>
            <w:r w:rsidRPr="00A46D3A">
              <w:rPr>
                <w:rFonts w:ascii="仿宋_GB2312" w:eastAsia="仿宋_GB2312" w:hAnsi="Calibri" w:cs="宋体" w:hint="eastAsia"/>
                <w:szCs w:val="21"/>
              </w:rPr>
              <w:t>达标率1分，全省排序赋分。②成效3分，全省分档赋分。</w:t>
            </w:r>
          </w:p>
        </w:tc>
      </w:tr>
      <w:tr w:rsidR="0000438E" w:rsidRPr="00CE1338" w:rsidTr="0021512B">
        <w:trPr>
          <w:trHeight w:val="701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2.证书获取比例（5分）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计算方法：当年毕业生获取职业资格证书、职业技能等级证书人数/毕业生总数*100%。</w:t>
            </w:r>
          </w:p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全省排序赋分。</w:t>
            </w:r>
          </w:p>
        </w:tc>
      </w:tr>
      <w:tr w:rsidR="0000438E" w:rsidRPr="00CE1338" w:rsidTr="0021512B">
        <w:trPr>
          <w:trHeight w:val="1136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3.学生技能大赛获奖</w:t>
            </w:r>
          </w:p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（6分）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计算方法：当年生均获得全省、全国职业院校技能大赛奖励分值，及较上年的增幅。省级、国家级一二三等奖分别计5、3、2分，10、7、5分。同一项目，按最高奖次赋分。</w:t>
            </w:r>
          </w:p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当年值、增幅各占分值60%、40%；如增幅为0或负数，则增幅分为0。全省排序赋分。</w:t>
            </w:r>
          </w:p>
        </w:tc>
      </w:tr>
      <w:tr w:rsidR="0000438E" w:rsidRPr="00CE1338" w:rsidTr="0021512B">
        <w:trPr>
          <w:trHeight w:val="746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4.就业质量（7分）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计算方法：毕业生毕业半年后就业率、创业率及平均薪酬；毕业生满意度、用人单位对毕业生满意度调查结果。</w:t>
            </w:r>
          </w:p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数据来源：山东高校毕业生就业信息网、社情民意调查。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就业率2分、创业率1分、薪酬2分；满意度2分。全省排序赋分。</w:t>
            </w:r>
          </w:p>
        </w:tc>
      </w:tr>
      <w:tr w:rsidR="0000438E" w:rsidRPr="00CE1338" w:rsidTr="0021512B">
        <w:trPr>
          <w:trHeight w:val="873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5.中高职衔接（3分）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计算方法：招收中职生源比例。</w:t>
            </w:r>
          </w:p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全省分档赋分。</w:t>
            </w:r>
          </w:p>
        </w:tc>
      </w:tr>
      <w:tr w:rsidR="0000438E" w:rsidRPr="00CE1338" w:rsidTr="0021512B">
        <w:trPr>
          <w:trHeight w:val="437"/>
          <w:jc w:val="center"/>
        </w:trPr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二、产教融合（20分）</w:t>
            </w: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6.专业与区域产业匹配度（5分）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定性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评价办法：</w:t>
            </w: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学校提供当年招生专业与区域产业匹配度材料，综合评价。</w:t>
            </w:r>
          </w:p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全省分档赋分。</w:t>
            </w:r>
          </w:p>
        </w:tc>
      </w:tr>
      <w:tr w:rsidR="0000438E" w:rsidRPr="00CE1338" w:rsidTr="0021512B">
        <w:trPr>
          <w:trHeight w:hRule="exact" w:val="1092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7.生均共建共享生产性实训基地工位数（5分）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计算方法：校企共建共享生产性实训基地工位数/在校生总数。</w:t>
            </w:r>
          </w:p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全省排序赋分。</w:t>
            </w:r>
          </w:p>
        </w:tc>
      </w:tr>
      <w:tr w:rsidR="0000438E" w:rsidRPr="00CE1338" w:rsidTr="0021512B">
        <w:trPr>
          <w:trHeight w:hRule="exact" w:val="1351"/>
          <w:jc w:val="center"/>
        </w:trPr>
        <w:tc>
          <w:tcPr>
            <w:tcW w:w="494" w:type="pct"/>
            <w:vMerge/>
            <w:shd w:val="clear" w:color="auto" w:fill="auto"/>
            <w:vAlign w:val="center"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8.混合所有制办学</w:t>
            </w:r>
          </w:p>
          <w:p w:rsidR="0000438E" w:rsidRPr="00A46D3A" w:rsidDel="00E14C7F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（5分）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定性</w:t>
            </w:r>
          </w:p>
        </w:tc>
        <w:tc>
          <w:tcPr>
            <w:tcW w:w="2312" w:type="pct"/>
            <w:shd w:val="clear" w:color="auto" w:fill="auto"/>
            <w:vAlign w:val="center"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评价办法：学校提供混合所有制办学（二级学院、专业、生产性实训基地、机构或项目等）支撑材料，综合评价。</w:t>
            </w:r>
          </w:p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全省分档赋分。</w:t>
            </w:r>
          </w:p>
        </w:tc>
      </w:tr>
      <w:tr w:rsidR="0000438E" w:rsidRPr="00CE1338" w:rsidTr="0021512B">
        <w:trPr>
          <w:trHeight w:hRule="exact" w:val="1796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9.校企合作培养（5分）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计算方法：订单培养、学徒培养、合作企业（含事业单位等）接收实习学生数/在校生总数*100%；校企合作开发课程数与教材数。</w:t>
            </w:r>
          </w:p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订单培养、学徒培养、合作企业（含事业单位等）接收实习学生3分，校企合作开发课程与教材数2分。全省排序赋分。</w:t>
            </w:r>
          </w:p>
        </w:tc>
      </w:tr>
      <w:tr w:rsidR="0000438E" w:rsidRPr="00CE1338" w:rsidTr="0021512B">
        <w:trPr>
          <w:trHeight w:val="1713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三、师资队伍（20分）</w:t>
            </w: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10.“双师型”教师占比（6分）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计算方法：持证教师数/专业课教师总数*100%。只考核持证“双师型”教师数，证书指本专业中级（或以上）技术职称及职业资格证书（含行业特许的资格证书及具有专业资格或专业技能考评员资格者，以及行业公认的证书）。</w:t>
            </w:r>
          </w:p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全省按60%、50%、40%、30%、低于30%分档赋分。</w:t>
            </w:r>
          </w:p>
        </w:tc>
      </w:tr>
      <w:tr w:rsidR="0000438E" w:rsidRPr="00CE1338" w:rsidTr="0021512B">
        <w:trPr>
          <w:trHeight w:val="1287"/>
          <w:jc w:val="center"/>
        </w:trPr>
        <w:tc>
          <w:tcPr>
            <w:tcW w:w="494" w:type="pct"/>
            <w:vMerge w:val="restart"/>
            <w:shd w:val="clear" w:color="auto" w:fill="auto"/>
            <w:vAlign w:val="center"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三、师资队伍（20分）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11.教师教学创新团队、教学名师数（5分）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计算方法：省级及以上教师教学创新团队、青创人才团队、技能大师工作室数量；省级及以上教学名师（含青年技能名师、名师工作室主持人、技艺技能传承创新平台主持人）数量/教师总数。</w:t>
            </w:r>
          </w:p>
          <w:p w:rsidR="0000438E" w:rsidRPr="00A46D3A" w:rsidRDefault="0000438E" w:rsidP="0021512B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省级教学创新团队1分、省级教学名师1分；国家级2倍权重。全省排序赋分。</w:t>
            </w:r>
          </w:p>
        </w:tc>
      </w:tr>
      <w:tr w:rsidR="0000438E" w:rsidRPr="00CE1338" w:rsidTr="0021512B">
        <w:trPr>
          <w:trHeight w:val="869"/>
          <w:jc w:val="center"/>
        </w:trPr>
        <w:tc>
          <w:tcPr>
            <w:tcW w:w="494" w:type="pct"/>
            <w:vMerge/>
            <w:shd w:val="clear" w:color="auto" w:fill="auto"/>
            <w:vAlign w:val="center"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12.首席技师等高层次技术技能人才聘用数（5分）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计算方法：首席技师、省技术能手等高层次技术技能人才聘用数/教师总数。国家级2倍权重。</w:t>
            </w:r>
          </w:p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当年值、增幅各占分值60%、40%；如增幅为0或负数，则增幅分为0。全省排序赋分。</w:t>
            </w:r>
          </w:p>
        </w:tc>
      </w:tr>
      <w:tr w:rsidR="0000438E" w:rsidRPr="00CE1338" w:rsidTr="0021512B">
        <w:trPr>
          <w:trHeight w:val="689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13.教师评价与激励（4分）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定性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评价办法：学校提供破“五唯”情况，高水平、高贡献人才平均收入与学校领导班子成员平均收入比较情况材料，综合评价。</w:t>
            </w:r>
          </w:p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全省分档赋分。</w:t>
            </w:r>
          </w:p>
        </w:tc>
      </w:tr>
      <w:tr w:rsidR="0000438E" w:rsidRPr="00CE1338" w:rsidTr="0021512B">
        <w:trPr>
          <w:trHeight w:val="1656"/>
          <w:jc w:val="center"/>
        </w:trPr>
        <w:tc>
          <w:tcPr>
            <w:tcW w:w="49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四、社会服务（10分）</w:t>
            </w: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14.技术服务、培训及专利转化到款额（10分）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计算方法：当年技术服务、承担的各类培训及专利转化到款额/教师总数，及较上年的增幅。</w:t>
            </w:r>
          </w:p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培训到款额、技术服务到款额各4分、专利转化到款额2分。当年值、增幅各占分值60%、40%；如增幅为</w:t>
            </w:r>
            <w:r w:rsidRPr="00A46D3A">
              <w:rPr>
                <w:rFonts w:ascii="仿宋_GB2312" w:eastAsia="仿宋_GB2312" w:hAnsi="宋体" w:hint="eastAsia"/>
                <w:szCs w:val="21"/>
              </w:rPr>
              <w:t>0或负数</w:t>
            </w: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，则增幅分为0。全省排序赋分。</w:t>
            </w:r>
          </w:p>
        </w:tc>
      </w:tr>
      <w:tr w:rsidR="0000438E" w:rsidRPr="00CE1338" w:rsidTr="0021512B">
        <w:trPr>
          <w:trHeight w:hRule="exact" w:val="869"/>
          <w:jc w:val="center"/>
        </w:trPr>
        <w:tc>
          <w:tcPr>
            <w:tcW w:w="494" w:type="pct"/>
            <w:vMerge w:val="restar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五、国际合作交流</w:t>
            </w:r>
          </w:p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（5分）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15.中外合作办学项目（3分）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计算方法：中外合作办学项目数、在校生总数。</w:t>
            </w:r>
          </w:p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项目数2分、在校生数1分。全省排序赋分。</w:t>
            </w:r>
          </w:p>
        </w:tc>
      </w:tr>
      <w:tr w:rsidR="0000438E" w:rsidRPr="00CE1338" w:rsidTr="0021512B">
        <w:trPr>
          <w:trHeight w:hRule="exact" w:val="948"/>
          <w:jc w:val="center"/>
        </w:trPr>
        <w:tc>
          <w:tcPr>
            <w:tcW w:w="494" w:type="pct"/>
            <w:vMerge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00438E" w:rsidRPr="00A46D3A" w:rsidDel="0026717C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16.师生国（境）外访学交流量（2分）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计算办法：当年专任教师国（境）外访学三个月以上人数，当年在校生国（境）外交流一学期以上累计人数。</w:t>
            </w:r>
          </w:p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00438E" w:rsidRPr="00A46D3A" w:rsidRDefault="0000438E" w:rsidP="0021512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A46D3A">
              <w:rPr>
                <w:rFonts w:ascii="仿宋_GB2312" w:eastAsia="仿宋_GB2312" w:hAnsi="宋体" w:cs="宋体" w:hint="eastAsia"/>
                <w:kern w:val="0"/>
                <w:szCs w:val="21"/>
              </w:rPr>
              <w:t>教师、学生各占50%权重，全省排序赋分。</w:t>
            </w:r>
          </w:p>
        </w:tc>
      </w:tr>
      <w:tr w:rsidR="0000438E" w:rsidRPr="00CE1338" w:rsidTr="0021512B">
        <w:trPr>
          <w:trHeight w:val="588"/>
          <w:jc w:val="center"/>
        </w:trPr>
        <w:tc>
          <w:tcPr>
            <w:tcW w:w="494" w:type="pct"/>
            <w:vMerge w:val="restart"/>
            <w:shd w:val="clear" w:color="auto" w:fill="auto"/>
            <w:vAlign w:val="center"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六、发展能力（20分）</w:t>
            </w:r>
          </w:p>
        </w:tc>
        <w:tc>
          <w:tcPr>
            <w:tcW w:w="905" w:type="pct"/>
            <w:shd w:val="clear" w:color="auto" w:fill="FFFFFF"/>
            <w:vAlign w:val="center"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17.基本办学条件（7分）</w:t>
            </w:r>
          </w:p>
        </w:tc>
        <w:tc>
          <w:tcPr>
            <w:tcW w:w="314" w:type="pct"/>
            <w:shd w:val="clear" w:color="auto" w:fill="FFFFFF"/>
            <w:vAlign w:val="center"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FFFFFF"/>
            <w:vAlign w:val="center"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计算方法：</w:t>
            </w: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依据教育部《普通高等学校基本办学条件指标（试行）》（教发〔2004〕2号），考核高职（专科）院校基本办学条件5项指标和监测办学条件7项指标达标情况。</w:t>
            </w:r>
          </w:p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数据来源：高基报表、学校填报。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全部指标均达标的按满分计；合格指标不达标的每项扣0.5分，监测指标不达标的每项扣0.25分，扣完为止。</w:t>
            </w:r>
          </w:p>
        </w:tc>
      </w:tr>
      <w:tr w:rsidR="0000438E" w:rsidRPr="00CE1338" w:rsidTr="0021512B">
        <w:trPr>
          <w:trHeight w:val="1876"/>
          <w:jc w:val="center"/>
        </w:trPr>
        <w:tc>
          <w:tcPr>
            <w:tcW w:w="494" w:type="pct"/>
            <w:vMerge/>
            <w:shd w:val="clear" w:color="auto" w:fill="auto"/>
            <w:vAlign w:val="center"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38E" w:rsidRPr="00A46D3A" w:rsidDel="00C16D18" w:rsidRDefault="0000438E" w:rsidP="0021512B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18.信息化应用（3分）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定量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计算方法：①网络教学覆盖率=网络教学课程数/开设课程总数*100%。②信息化管理与服务覆盖率，在学校办公、教务、学生、人事、科技、财务、后勤、校企合作等主要管理与服务业务职能中，使用信息化系统的比例。</w:t>
            </w:r>
          </w:p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①2分，全省排序赋分。②1分，全省分档赋分。</w:t>
            </w:r>
          </w:p>
        </w:tc>
      </w:tr>
      <w:tr w:rsidR="0000438E" w:rsidRPr="00CE1338" w:rsidTr="0021512B">
        <w:trPr>
          <w:trHeight w:val="1105"/>
          <w:jc w:val="center"/>
        </w:trPr>
        <w:tc>
          <w:tcPr>
            <w:tcW w:w="494" w:type="pct"/>
            <w:vMerge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05" w:type="pct"/>
            <w:shd w:val="clear" w:color="auto" w:fill="FFFFFF"/>
            <w:vAlign w:val="center"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19.师生满意度（10分）</w:t>
            </w:r>
          </w:p>
        </w:tc>
        <w:tc>
          <w:tcPr>
            <w:tcW w:w="314" w:type="pct"/>
            <w:shd w:val="clear" w:color="auto" w:fill="FFFFFF"/>
            <w:vAlign w:val="center"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定量</w:t>
            </w:r>
          </w:p>
        </w:tc>
        <w:tc>
          <w:tcPr>
            <w:tcW w:w="2312" w:type="pct"/>
            <w:shd w:val="clear" w:color="auto" w:fill="FFFFFF"/>
            <w:vAlign w:val="center"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计算方法：本校教师、学生及教育主管部门对学校的满意度调查结果。</w:t>
            </w:r>
          </w:p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数据来源：社情民意调查。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00438E" w:rsidRPr="00A46D3A" w:rsidRDefault="0000438E" w:rsidP="0021512B">
            <w:pPr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教师满意度4分、学生满意度4分、教育主管部门满意度2分。全省排序赋分。</w:t>
            </w:r>
          </w:p>
        </w:tc>
      </w:tr>
      <w:tr w:rsidR="0000438E" w:rsidRPr="00CE1338" w:rsidTr="0021512B">
        <w:trPr>
          <w:trHeight w:hRule="exact" w:val="2051"/>
          <w:jc w:val="center"/>
        </w:trPr>
        <w:tc>
          <w:tcPr>
            <w:tcW w:w="49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A46D3A">
              <w:rPr>
                <w:rFonts w:ascii="仿宋_GB2312" w:eastAsia="仿宋_GB2312" w:hAnsi="宋体" w:hint="eastAsia"/>
                <w:szCs w:val="21"/>
              </w:rPr>
              <w:t>特色创新（加分项，20分）</w:t>
            </w: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获得省级及以上教学项目、科研项目、竞赛项目和奖励以及在省内外产生积极重大影响的创新成果（20分）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定量定性结合</w:t>
            </w:r>
          </w:p>
        </w:tc>
        <w:tc>
          <w:tcPr>
            <w:tcW w:w="2312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定量指标：学校提供当年综合类、教师教学类、科研类、竞赛类及其他材料；</w:t>
            </w:r>
          </w:p>
          <w:p w:rsidR="0000438E" w:rsidRPr="00A46D3A" w:rsidRDefault="0000438E" w:rsidP="0021512B">
            <w:pPr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定性指标：学校提供当年在体制与机制创新、服务经济社会发展、服务国家和省发展战略等典型案例与经验，以及在全国或全省推广的情况材料、中央媒体报道等。</w:t>
            </w:r>
          </w:p>
          <w:p w:rsidR="0000438E" w:rsidRPr="00A46D3A" w:rsidRDefault="0000438E" w:rsidP="0021512B">
            <w:pPr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数据来源：学校填报。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00438E" w:rsidRPr="00A46D3A" w:rsidRDefault="0000438E" w:rsidP="0021512B">
            <w:pPr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最高20分，低于20分的按实际分值计入。其中，定量指标最高18分，详见附件2。定性指标最高2分，全省分档赋分。</w:t>
            </w:r>
          </w:p>
        </w:tc>
      </w:tr>
    </w:tbl>
    <w:p w:rsidR="0000438E" w:rsidRPr="00411302" w:rsidRDefault="0000438E" w:rsidP="0000438E">
      <w:pPr>
        <w:widowControl/>
        <w:jc w:val="left"/>
        <w:rPr>
          <w:rFonts w:ascii="方正小标宋简体" w:eastAsia="方正小标宋简体" w:hAnsi="Calibri" w:cs="宋体" w:hint="eastAsia"/>
          <w:sz w:val="36"/>
          <w:szCs w:val="36"/>
        </w:rPr>
      </w:pPr>
    </w:p>
    <w:p w:rsidR="00F913CC" w:rsidRPr="0000438E" w:rsidRDefault="00F913CC">
      <w:bookmarkStart w:id="1" w:name="_GoBack"/>
      <w:bookmarkEnd w:id="1"/>
    </w:p>
    <w:sectPr w:rsidR="00F913CC" w:rsidRPr="0000438E" w:rsidSect="000043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96" w:rsidRDefault="006D0496" w:rsidP="0000438E">
      <w:r>
        <w:separator/>
      </w:r>
    </w:p>
  </w:endnote>
  <w:endnote w:type="continuationSeparator" w:id="0">
    <w:p w:rsidR="006D0496" w:rsidRDefault="006D0496" w:rsidP="0000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96" w:rsidRDefault="006D0496" w:rsidP="0000438E">
      <w:r>
        <w:separator/>
      </w:r>
    </w:p>
  </w:footnote>
  <w:footnote w:type="continuationSeparator" w:id="0">
    <w:p w:rsidR="006D0496" w:rsidRDefault="006D0496" w:rsidP="00004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C2"/>
    <w:rsid w:val="0000438E"/>
    <w:rsid w:val="005E39C2"/>
    <w:rsid w:val="006D0496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EC4462-3220-4343-8E2A-2AB4F995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3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3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389</Words>
  <Characters>2223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2020-07-02T01:53:00Z</dcterms:created>
  <dcterms:modified xsi:type="dcterms:W3CDTF">2020-07-02T01:53:00Z</dcterms:modified>
</cp:coreProperties>
</file>