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附件</w:t>
      </w:r>
    </w:p>
    <w:p>
      <w:pPr>
        <w:keepNext w:val="0"/>
        <w:keepLines w:val="0"/>
        <w:pageBreakBefore w:val="0"/>
        <w:widowControl w:val="0"/>
        <w:kinsoku/>
        <w:wordWrap/>
        <w:overflowPunct/>
        <w:topLinePunct w:val="0"/>
        <w:autoSpaceDE/>
        <w:autoSpaceDN/>
        <w:bidi w:val="0"/>
        <w:adjustRightInd/>
        <w:snapToGrid/>
        <w:spacing w:after="313" w:afterLines="100" w:line="580" w:lineRule="exact"/>
        <w:jc w:val="center"/>
        <w:textAlignment w:val="auto"/>
        <w:rPr>
          <w:rFonts w:ascii="方正小标宋简体" w:hAnsi="方正小标宋简体" w:eastAsia="方正小标宋简体" w:cs="方正小标宋简体"/>
          <w:color w:val="000000"/>
          <w:kern w:val="0"/>
          <w:sz w:val="44"/>
          <w:szCs w:val="44"/>
          <w:lang w:bidi="ar"/>
        </w:rPr>
      </w:pPr>
      <w:bookmarkStart w:id="0" w:name="_GoBack"/>
      <w:r>
        <w:rPr>
          <w:rFonts w:hint="eastAsia" w:ascii="方正小标宋简体" w:hAnsi="方正小标宋简体" w:eastAsia="方正小标宋简体" w:cs="方正小标宋简体"/>
          <w:color w:val="000000"/>
          <w:kern w:val="0"/>
          <w:sz w:val="44"/>
          <w:szCs w:val="44"/>
          <w:lang w:bidi="ar"/>
        </w:rPr>
        <w:t>2024年山东省社会事务进入中小学校园事项白名单</w:t>
      </w:r>
    </w:p>
    <w:bookmarkEnd w:id="0"/>
    <w:p>
      <w:pPr>
        <w:spacing w:after="120"/>
        <w:jc w:val="left"/>
        <w:rPr>
          <w:rFonts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、采取“专项进入校园”方式的</w:t>
      </w:r>
    </w:p>
    <w:tbl>
      <w:tblPr>
        <w:tblStyle w:val="3"/>
        <w:tblW w:w="14851" w:type="dxa"/>
        <w:jc w:val="center"/>
        <w:tblLayout w:type="fixed"/>
        <w:tblCellMar>
          <w:top w:w="0" w:type="dxa"/>
          <w:left w:w="0" w:type="dxa"/>
          <w:bottom w:w="0" w:type="dxa"/>
          <w:right w:w="0" w:type="dxa"/>
        </w:tblCellMar>
      </w:tblPr>
      <w:tblGrid>
        <w:gridCol w:w="654"/>
        <w:gridCol w:w="1792"/>
        <w:gridCol w:w="1050"/>
        <w:gridCol w:w="4050"/>
        <w:gridCol w:w="1695"/>
        <w:gridCol w:w="4110"/>
        <w:gridCol w:w="1500"/>
      </w:tblGrid>
      <w:tr>
        <w:tblPrEx>
          <w:tblCellMar>
            <w:top w:w="0" w:type="dxa"/>
            <w:left w:w="0" w:type="dxa"/>
            <w:bottom w:w="0" w:type="dxa"/>
            <w:right w:w="0" w:type="dxa"/>
          </w:tblCellMar>
        </w:tblPrEx>
        <w:trPr>
          <w:trHeight w:val="591" w:hRule="atLeast"/>
          <w:tblHeader/>
          <w:jc w:val="center"/>
        </w:trPr>
        <w:tc>
          <w:tcPr>
            <w:tcW w:w="6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00"/>
                <w:kern w:val="0"/>
                <w:sz w:val="24"/>
                <w:lang w:bidi="ar"/>
              </w:rPr>
            </w:pPr>
            <w:r>
              <w:rPr>
                <w:rFonts w:hint="eastAsia" w:ascii="黑体" w:hAnsi="黑体" w:eastAsia="黑体" w:cs="黑体"/>
                <w:color w:val="000000"/>
                <w:kern w:val="0"/>
                <w:sz w:val="24"/>
                <w:lang w:bidi="ar"/>
              </w:rPr>
              <w:t>序号</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事项名称</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开展时间</w:t>
            </w:r>
          </w:p>
        </w:tc>
        <w:tc>
          <w:tcPr>
            <w:tcW w:w="4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开展依据</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开展形式</w:t>
            </w:r>
          </w:p>
        </w:tc>
        <w:tc>
          <w:tcPr>
            <w:tcW w:w="4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事项的主要内容</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FF"/>
                <w:sz w:val="24"/>
              </w:rPr>
            </w:pPr>
            <w:r>
              <w:rPr>
                <w:rFonts w:hint="eastAsia" w:ascii="黑体" w:hAnsi="黑体" w:eastAsia="黑体" w:cs="黑体"/>
                <w:color w:val="000000"/>
                <w:kern w:val="0"/>
                <w:sz w:val="24"/>
                <w:lang w:bidi="ar"/>
              </w:rPr>
              <w:t>牵头单位</w:t>
            </w:r>
          </w:p>
        </w:tc>
      </w:tr>
      <w:tr>
        <w:tblPrEx>
          <w:tblCellMar>
            <w:top w:w="0" w:type="dxa"/>
            <w:left w:w="0" w:type="dxa"/>
            <w:bottom w:w="0" w:type="dxa"/>
            <w:right w:w="0" w:type="dxa"/>
          </w:tblCellMar>
        </w:tblPrEx>
        <w:trPr>
          <w:trHeight w:val="2960" w:hRule="atLeast"/>
          <w:jc w:val="center"/>
        </w:trPr>
        <w:tc>
          <w:tcPr>
            <w:tcW w:w="6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爱国主义教育、红色基因传承进校园</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1月-12月（集中在3月、9月）</w:t>
            </w:r>
          </w:p>
        </w:tc>
        <w:tc>
          <w:tcPr>
            <w:tcW w:w="4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《爱国主义教育法》《山东省红色基因传承</w:t>
            </w:r>
            <w:r>
              <w:rPr>
                <w:rFonts w:hint="eastAsia" w:ascii="仿宋_GB2312" w:hAnsi="仿宋_GB2312" w:eastAsia="仿宋_GB2312" w:cs="仿宋_GB2312"/>
                <w:bCs/>
                <w:color w:val="000000"/>
                <w:sz w:val="24"/>
                <w:highlight w:val="none"/>
              </w:rPr>
              <w:t>工程实施方案（2023-2027年）》</w:t>
            </w:r>
            <w:r>
              <w:rPr>
                <w:rFonts w:hint="eastAsia" w:ascii="仿宋_GB2312" w:hAnsi="仿宋_GB2312" w:eastAsia="仿宋_GB2312" w:cs="仿宋_GB2312"/>
                <w:bCs/>
                <w:color w:val="000000"/>
                <w:sz w:val="24"/>
                <w:highlight w:val="none"/>
                <w:lang w:eastAsia="zh-CN"/>
              </w:rPr>
              <w:t>（</w:t>
            </w:r>
            <w:r>
              <w:rPr>
                <w:rFonts w:hint="eastAsia" w:ascii="仿宋_GB2312" w:hAnsi="仿宋_GB2312" w:eastAsia="仿宋_GB2312" w:cs="仿宋_GB2312"/>
                <w:bCs/>
                <w:color w:val="000000"/>
                <w:sz w:val="24"/>
                <w:highlight w:val="none"/>
              </w:rPr>
              <w:t>鲁宣组发〔2023〕2号</w:t>
            </w:r>
            <w:r>
              <w:rPr>
                <w:rFonts w:hint="eastAsia" w:ascii="仿宋_GB2312" w:hAnsi="仿宋_GB2312" w:eastAsia="仿宋_GB2312" w:cs="仿宋_GB2312"/>
                <w:bCs/>
                <w:color w:val="000000"/>
                <w:sz w:val="24"/>
                <w:highlight w:val="none"/>
                <w:lang w:eastAsia="zh-CN"/>
              </w:rPr>
              <w:t>）、</w:t>
            </w:r>
            <w:r>
              <w:rPr>
                <w:rFonts w:hint="eastAsia" w:ascii="仿宋_GB2312" w:hAnsi="仿宋_GB2312" w:eastAsia="仿宋_GB2312" w:cs="仿宋_GB2312"/>
                <w:bCs/>
                <w:color w:val="000000"/>
                <w:sz w:val="24"/>
              </w:rPr>
              <w:t>《中共中央办公厅印发〈关于加强和改进新时代党委讲师团工作的意见〉的通知》（厅字〔2019〕8号）</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宣讲、比赛</w:t>
            </w:r>
          </w:p>
        </w:tc>
        <w:tc>
          <w:tcPr>
            <w:tcW w:w="4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组织“五支队伍进校园”开展宣讲；</w:t>
            </w:r>
            <w:r>
              <w:rPr>
                <w:rFonts w:hint="eastAsia" w:ascii="仿宋_GB2312" w:hAnsi="仿宋_GB2312" w:eastAsia="仿宋_GB2312" w:cs="仿宋_GB2312"/>
                <w:bCs/>
                <w:sz w:val="24"/>
              </w:rPr>
              <w:t>举办“红色齐鲁 强国复兴有我”山东省第六届红色故事讲解大赛</w:t>
            </w:r>
            <w:r>
              <w:rPr>
                <w:rFonts w:hint="eastAsia" w:ascii="仿宋_GB2312" w:hAnsi="仿宋_GB2312" w:eastAsia="仿宋_GB2312" w:cs="仿宋_GB2312"/>
                <w:bCs/>
                <w:sz w:val="24"/>
                <w:lang w:eastAsia="zh-CN"/>
              </w:rPr>
              <w:t>。</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
                <w:bCs/>
                <w:color w:val="0000FF"/>
                <w:sz w:val="24"/>
              </w:rPr>
            </w:pPr>
            <w:r>
              <w:rPr>
                <w:rFonts w:hint="eastAsia" w:ascii="仿宋_GB2312" w:hAnsi="仿宋_GB2312" w:eastAsia="仿宋_GB2312" w:cs="仿宋_GB2312"/>
                <w:bCs/>
                <w:color w:val="000000"/>
                <w:sz w:val="24"/>
              </w:rPr>
              <w:t>省委宣传部</w:t>
            </w:r>
          </w:p>
        </w:tc>
      </w:tr>
      <w:tr>
        <w:tblPrEx>
          <w:tblCellMar>
            <w:top w:w="0" w:type="dxa"/>
            <w:left w:w="0" w:type="dxa"/>
            <w:bottom w:w="0" w:type="dxa"/>
            <w:right w:w="0" w:type="dxa"/>
          </w:tblCellMar>
        </w:tblPrEx>
        <w:trPr>
          <w:trHeight w:val="2370" w:hRule="atLeast"/>
          <w:jc w:val="center"/>
        </w:trPr>
        <w:tc>
          <w:tcPr>
            <w:tcW w:w="6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文明校园创建</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9</w:t>
            </w:r>
            <w:r>
              <w:rPr>
                <w:rFonts w:hint="eastAsia" w:ascii="仿宋_GB2312" w:hAnsi="仿宋_GB2312" w:eastAsia="仿宋_GB2312" w:cs="仿宋_GB2312"/>
                <w:bCs/>
                <w:color w:val="000000"/>
                <w:sz w:val="24"/>
                <w:lang w:val="en-US" w:eastAsia="zh-CN"/>
              </w:rPr>
              <w:t>月</w:t>
            </w:r>
            <w:r>
              <w:rPr>
                <w:rFonts w:hint="eastAsia" w:ascii="仿宋_GB2312" w:hAnsi="仿宋_GB2312" w:eastAsia="仿宋_GB2312" w:cs="仿宋_GB2312"/>
                <w:bCs/>
                <w:color w:val="000000"/>
                <w:sz w:val="24"/>
              </w:rPr>
              <w:t>-12月</w:t>
            </w:r>
          </w:p>
        </w:tc>
        <w:tc>
          <w:tcPr>
            <w:tcW w:w="4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《改进创新精神文明创建工作方案》（中宣发〔2023〕19号）、省级《中小学文明校园指标体系》</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仿宋_GB2312" w:hAnsi="仿宋_GB2312" w:eastAsia="仿宋_GB2312" w:cs="仿宋_GB2312"/>
                <w:bCs/>
                <w:color w:val="000000"/>
                <w:sz w:val="24"/>
              </w:rPr>
            </w:pPr>
            <w:r>
              <w:rPr>
                <w:rFonts w:ascii="仿宋_GB2312" w:hAnsi="仿宋_GB2312" w:eastAsia="仿宋_GB2312" w:cs="仿宋_GB2312"/>
                <w:bCs/>
                <w:color w:val="000000"/>
                <w:sz w:val="24"/>
              </w:rPr>
              <w:t>自我检查、自愿申报、测评推荐、审议公示、评定公布</w:t>
            </w:r>
            <w:r>
              <w:rPr>
                <w:rFonts w:hint="eastAsia" w:ascii="仿宋_GB2312" w:hAnsi="仿宋_GB2312" w:eastAsia="仿宋_GB2312" w:cs="仿宋_GB2312"/>
                <w:bCs/>
                <w:color w:val="000000"/>
                <w:sz w:val="24"/>
              </w:rPr>
              <w:t>程序</w:t>
            </w:r>
          </w:p>
        </w:tc>
        <w:tc>
          <w:tcPr>
            <w:tcW w:w="4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学校参与文明校园创建工作，通过创建程序获得相对应的称号</w:t>
            </w:r>
            <w:r>
              <w:rPr>
                <w:rFonts w:hint="eastAsia" w:ascii="仿宋_GB2312" w:hAnsi="仿宋_GB2312" w:eastAsia="仿宋_GB2312" w:cs="仿宋_GB2312"/>
                <w:bCs/>
                <w:color w:val="000000"/>
                <w:sz w:val="24"/>
                <w:lang w:eastAsia="zh-CN"/>
              </w:rPr>
              <w:t>。</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
                <w:bCs/>
                <w:color w:val="0000FF"/>
                <w:sz w:val="24"/>
              </w:rPr>
            </w:pPr>
            <w:r>
              <w:rPr>
                <w:rFonts w:hint="eastAsia" w:ascii="仿宋_GB2312" w:hAnsi="仿宋_GB2312" w:eastAsia="仿宋_GB2312" w:cs="仿宋_GB2312"/>
                <w:bCs/>
                <w:color w:val="000000"/>
                <w:sz w:val="24"/>
              </w:rPr>
              <w:t>省委宣传部</w:t>
            </w:r>
          </w:p>
        </w:tc>
      </w:tr>
      <w:tr>
        <w:tblPrEx>
          <w:tblCellMar>
            <w:top w:w="0" w:type="dxa"/>
            <w:left w:w="0" w:type="dxa"/>
            <w:bottom w:w="0" w:type="dxa"/>
            <w:right w:w="0" w:type="dxa"/>
          </w:tblCellMar>
        </w:tblPrEx>
        <w:trPr>
          <w:trHeight w:val="3080" w:hRule="atLeast"/>
          <w:jc w:val="center"/>
        </w:trPr>
        <w:tc>
          <w:tcPr>
            <w:tcW w:w="6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szCs w:val="24"/>
              </w:rPr>
              <w:t>第十一届“国学小名士”中华经典诵读活动</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w:t>
            </w:r>
            <w:r>
              <w:rPr>
                <w:rFonts w:hint="eastAsia" w:ascii="仿宋_GB2312" w:hAnsi="仿宋_GB2312" w:eastAsia="仿宋_GB2312" w:cs="仿宋_GB2312"/>
                <w:bCs/>
                <w:color w:val="000000"/>
                <w:sz w:val="24"/>
                <w:lang w:val="en-US" w:eastAsia="zh-CN"/>
              </w:rPr>
              <w:t>月</w:t>
            </w:r>
            <w:r>
              <w:rPr>
                <w:rFonts w:hint="eastAsia" w:ascii="仿宋_GB2312" w:hAnsi="仿宋_GB2312" w:eastAsia="仿宋_GB2312" w:cs="仿宋_GB2312"/>
                <w:bCs/>
                <w:color w:val="000000"/>
                <w:sz w:val="24"/>
              </w:rPr>
              <w:t>-12月</w:t>
            </w:r>
          </w:p>
        </w:tc>
        <w:tc>
          <w:tcPr>
            <w:tcW w:w="4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szCs w:val="24"/>
              </w:rPr>
              <w:t>《关于实施全环境立德树人 加强和改进未成年人思想道德建设的意见》（鲁教组发〔2022〕1号）</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比赛、展示</w:t>
            </w:r>
          </w:p>
        </w:tc>
        <w:tc>
          <w:tcPr>
            <w:tcW w:w="4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szCs w:val="24"/>
              </w:rPr>
              <w:t>开展“读中华经典 扬中华美德 做时代新人”活动、“国学小名士”中华经典诵读电视大赛、“国学小名士”中华家庭诗词擂台赛、“国学小名士”情景小剧、微短剧创作大赛系列活动</w:t>
            </w:r>
            <w:r>
              <w:rPr>
                <w:rFonts w:hint="eastAsia" w:ascii="仿宋_GB2312" w:hAnsi="仿宋_GB2312" w:eastAsia="仿宋_GB2312" w:cs="仿宋_GB2312"/>
                <w:bCs/>
                <w:color w:val="000000"/>
                <w:sz w:val="24"/>
                <w:szCs w:val="24"/>
                <w:lang w:eastAsia="zh-CN"/>
              </w:rPr>
              <w:t>。</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省委宣传部</w:t>
            </w:r>
          </w:p>
        </w:tc>
      </w:tr>
      <w:tr>
        <w:tblPrEx>
          <w:tblCellMar>
            <w:top w:w="0" w:type="dxa"/>
            <w:left w:w="0" w:type="dxa"/>
            <w:bottom w:w="0" w:type="dxa"/>
            <w:right w:w="0" w:type="dxa"/>
          </w:tblCellMar>
        </w:tblPrEx>
        <w:trPr>
          <w:trHeight w:val="4345" w:hRule="atLeast"/>
          <w:jc w:val="center"/>
        </w:trPr>
        <w:tc>
          <w:tcPr>
            <w:tcW w:w="6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4</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科学家（精神）、科学普及进校园</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1月-12月根据活动主题开展</w:t>
            </w:r>
          </w:p>
        </w:tc>
        <w:tc>
          <w:tcPr>
            <w:tcW w:w="4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《关于进一步</w:t>
            </w:r>
            <w:r>
              <w:rPr>
                <w:rFonts w:hint="eastAsia" w:ascii="仿宋_GB2312" w:hAnsi="仿宋_GB2312" w:eastAsia="仿宋_GB2312" w:cs="仿宋_GB2312"/>
                <w:bCs/>
                <w:color w:val="000000"/>
                <w:sz w:val="24"/>
                <w:highlight w:val="none"/>
              </w:rPr>
              <w:t>弘扬科学家精神加强作风和学风建设的意见》</w:t>
            </w:r>
            <w:r>
              <w:rPr>
                <w:rFonts w:hint="eastAsia" w:ascii="仿宋_GB2312" w:hAnsi="仿宋_GB2312" w:eastAsia="仿宋_GB2312" w:cs="仿宋_GB2312"/>
                <w:bCs/>
                <w:color w:val="000000"/>
                <w:sz w:val="24"/>
                <w:szCs w:val="24"/>
                <w:highlight w:val="none"/>
              </w:rPr>
              <w:t>（</w:t>
            </w:r>
            <w:r>
              <w:rPr>
                <w:rFonts w:hint="eastAsia" w:ascii="仿宋_GB2312" w:hAnsi="仿宋_GB2312" w:eastAsia="仿宋_GB2312" w:cs="仿宋_GB2312"/>
                <w:bCs/>
                <w:color w:val="000000"/>
                <w:sz w:val="24"/>
                <w:szCs w:val="24"/>
                <w:highlight w:val="none"/>
                <w:lang w:val="en-US" w:eastAsia="zh-CN"/>
              </w:rPr>
              <w:t>中办发</w:t>
            </w:r>
            <w:r>
              <w:rPr>
                <w:rFonts w:hint="eastAsia" w:ascii="仿宋_GB2312" w:hAnsi="仿宋_GB2312" w:eastAsia="仿宋_GB2312" w:cs="仿宋_GB2312"/>
                <w:bCs/>
                <w:color w:val="000000"/>
                <w:sz w:val="24"/>
                <w:szCs w:val="24"/>
                <w:highlight w:val="none"/>
              </w:rPr>
              <w:t>〔20</w:t>
            </w:r>
            <w:r>
              <w:rPr>
                <w:rFonts w:hint="eastAsia" w:ascii="仿宋_GB2312" w:hAnsi="仿宋_GB2312" w:eastAsia="仿宋_GB2312" w:cs="仿宋_GB2312"/>
                <w:bCs/>
                <w:color w:val="000000"/>
                <w:sz w:val="24"/>
                <w:szCs w:val="24"/>
                <w:highlight w:val="none"/>
                <w:lang w:val="en-US" w:eastAsia="zh-CN"/>
              </w:rPr>
              <w:t>19</w:t>
            </w:r>
            <w:r>
              <w:rPr>
                <w:rFonts w:hint="eastAsia" w:ascii="仿宋_GB2312" w:hAnsi="仿宋_GB2312" w:eastAsia="仿宋_GB2312" w:cs="仿宋_GB2312"/>
                <w:bCs/>
                <w:color w:val="000000"/>
                <w:sz w:val="24"/>
                <w:szCs w:val="24"/>
                <w:highlight w:val="none"/>
              </w:rPr>
              <w:t>〕</w:t>
            </w:r>
            <w:r>
              <w:rPr>
                <w:rFonts w:hint="eastAsia" w:ascii="仿宋_GB2312" w:hAnsi="仿宋_GB2312" w:eastAsia="仿宋_GB2312" w:cs="仿宋_GB2312"/>
                <w:bCs/>
                <w:color w:val="000000"/>
                <w:sz w:val="24"/>
                <w:szCs w:val="24"/>
                <w:highlight w:val="none"/>
                <w:lang w:val="en-US" w:eastAsia="zh-CN"/>
              </w:rPr>
              <w:t>35</w:t>
            </w:r>
            <w:r>
              <w:rPr>
                <w:rFonts w:hint="eastAsia" w:ascii="仿宋_GB2312" w:hAnsi="仿宋_GB2312" w:eastAsia="仿宋_GB2312" w:cs="仿宋_GB2312"/>
                <w:bCs/>
                <w:color w:val="000000"/>
                <w:sz w:val="24"/>
                <w:szCs w:val="24"/>
                <w:highlight w:val="none"/>
              </w:rPr>
              <w:t>号）</w:t>
            </w:r>
            <w:r>
              <w:rPr>
                <w:rFonts w:hint="eastAsia" w:ascii="仿宋_GB2312" w:hAnsi="仿宋_GB2312" w:eastAsia="仿宋_GB2312" w:cs="仿宋_GB2312"/>
                <w:bCs/>
                <w:color w:val="000000"/>
                <w:sz w:val="24"/>
                <w:highlight w:val="none"/>
              </w:rPr>
              <w:t>、《全民科学素质行动计划纲要(2021-2035年)》</w:t>
            </w:r>
            <w:r>
              <w:rPr>
                <w:rFonts w:hint="eastAsia" w:ascii="仿宋_GB2312" w:hAnsi="仿宋_GB2312" w:eastAsia="仿宋_GB2312" w:cs="仿宋_GB2312"/>
                <w:bCs/>
                <w:color w:val="000000"/>
                <w:sz w:val="24"/>
                <w:szCs w:val="24"/>
                <w:highlight w:val="none"/>
              </w:rPr>
              <w:t>（</w:t>
            </w:r>
            <w:r>
              <w:rPr>
                <w:rFonts w:hint="eastAsia" w:ascii="仿宋_GB2312" w:hAnsi="仿宋_GB2312" w:eastAsia="仿宋_GB2312" w:cs="仿宋_GB2312"/>
                <w:bCs/>
                <w:color w:val="000000"/>
                <w:sz w:val="24"/>
                <w:szCs w:val="24"/>
                <w:highlight w:val="none"/>
                <w:lang w:val="en-US" w:eastAsia="zh-CN"/>
              </w:rPr>
              <w:t>国</w:t>
            </w:r>
            <w:r>
              <w:rPr>
                <w:rFonts w:hint="eastAsia" w:ascii="仿宋_GB2312" w:hAnsi="仿宋_GB2312" w:eastAsia="仿宋_GB2312" w:cs="仿宋_GB2312"/>
                <w:bCs/>
                <w:color w:val="000000"/>
                <w:sz w:val="24"/>
                <w:szCs w:val="24"/>
                <w:highlight w:val="none"/>
              </w:rPr>
              <w:t>发〔202</w:t>
            </w:r>
            <w:r>
              <w:rPr>
                <w:rFonts w:hint="eastAsia" w:ascii="仿宋_GB2312" w:hAnsi="仿宋_GB2312" w:eastAsia="仿宋_GB2312" w:cs="仿宋_GB2312"/>
                <w:bCs/>
                <w:color w:val="000000"/>
                <w:sz w:val="24"/>
                <w:szCs w:val="24"/>
                <w:highlight w:val="none"/>
                <w:lang w:val="en-US" w:eastAsia="zh-CN"/>
              </w:rPr>
              <w:t>1</w:t>
            </w:r>
            <w:r>
              <w:rPr>
                <w:rFonts w:hint="eastAsia" w:ascii="仿宋_GB2312" w:hAnsi="仿宋_GB2312" w:eastAsia="仿宋_GB2312" w:cs="仿宋_GB2312"/>
                <w:bCs/>
                <w:color w:val="000000"/>
                <w:sz w:val="24"/>
                <w:szCs w:val="24"/>
                <w:highlight w:val="none"/>
              </w:rPr>
              <w:t>〕</w:t>
            </w:r>
            <w:r>
              <w:rPr>
                <w:rFonts w:hint="eastAsia" w:ascii="仿宋_GB2312" w:hAnsi="仿宋_GB2312" w:eastAsia="仿宋_GB2312" w:cs="仿宋_GB2312"/>
                <w:bCs/>
                <w:color w:val="000000"/>
                <w:sz w:val="24"/>
                <w:szCs w:val="24"/>
                <w:highlight w:val="none"/>
                <w:lang w:val="en-US" w:eastAsia="zh-CN"/>
              </w:rPr>
              <w:t>9</w:t>
            </w:r>
            <w:r>
              <w:rPr>
                <w:rFonts w:hint="eastAsia" w:ascii="仿宋_GB2312" w:hAnsi="仿宋_GB2312" w:eastAsia="仿宋_GB2312" w:cs="仿宋_GB2312"/>
                <w:bCs/>
                <w:color w:val="000000"/>
                <w:sz w:val="24"/>
                <w:szCs w:val="24"/>
                <w:highlight w:val="none"/>
              </w:rPr>
              <w:t>号）</w:t>
            </w:r>
            <w:r>
              <w:rPr>
                <w:rFonts w:hint="eastAsia" w:ascii="仿宋_GB2312" w:hAnsi="仿宋_GB2312" w:eastAsia="仿宋_GB2312" w:cs="仿宋_GB2312"/>
                <w:bCs/>
                <w:color w:val="000000"/>
                <w:sz w:val="24"/>
                <w:highlight w:val="none"/>
              </w:rPr>
              <w:t>、《教育部、中央宣传部等十八部门关于加强新时代中小学科学教育工作的意见》</w:t>
            </w:r>
            <w:r>
              <w:rPr>
                <w:rFonts w:hint="eastAsia" w:ascii="仿宋_GB2312" w:hAnsi="仿宋_GB2312" w:eastAsia="仿宋_GB2312" w:cs="仿宋_GB2312"/>
                <w:bCs/>
                <w:color w:val="000000"/>
                <w:sz w:val="24"/>
                <w:szCs w:val="24"/>
                <w:highlight w:val="none"/>
              </w:rPr>
              <w:t>（</w:t>
            </w:r>
            <w:r>
              <w:rPr>
                <w:rFonts w:hint="eastAsia" w:ascii="仿宋_GB2312" w:hAnsi="仿宋_GB2312" w:eastAsia="仿宋_GB2312" w:cs="仿宋_GB2312"/>
                <w:bCs/>
                <w:color w:val="000000"/>
                <w:sz w:val="24"/>
                <w:szCs w:val="24"/>
                <w:highlight w:val="none"/>
                <w:lang w:val="en-US" w:eastAsia="zh-CN"/>
              </w:rPr>
              <w:t>教监管</w:t>
            </w:r>
            <w:r>
              <w:rPr>
                <w:rFonts w:hint="eastAsia" w:ascii="仿宋_GB2312" w:hAnsi="仿宋_GB2312" w:eastAsia="仿宋_GB2312" w:cs="仿宋_GB2312"/>
                <w:bCs/>
                <w:color w:val="000000"/>
                <w:sz w:val="24"/>
                <w:szCs w:val="24"/>
                <w:highlight w:val="none"/>
              </w:rPr>
              <w:t>〔202</w:t>
            </w:r>
            <w:r>
              <w:rPr>
                <w:rFonts w:hint="eastAsia" w:ascii="仿宋_GB2312" w:hAnsi="仿宋_GB2312" w:eastAsia="仿宋_GB2312" w:cs="仿宋_GB2312"/>
                <w:bCs/>
                <w:color w:val="000000"/>
                <w:sz w:val="24"/>
                <w:szCs w:val="24"/>
                <w:highlight w:val="none"/>
                <w:lang w:val="en-US" w:eastAsia="zh-CN"/>
              </w:rPr>
              <w:t>3</w:t>
            </w:r>
            <w:r>
              <w:rPr>
                <w:rFonts w:hint="eastAsia" w:ascii="仿宋_GB2312" w:hAnsi="仿宋_GB2312" w:eastAsia="仿宋_GB2312" w:cs="仿宋_GB2312"/>
                <w:bCs/>
                <w:color w:val="000000"/>
                <w:sz w:val="24"/>
                <w:szCs w:val="24"/>
                <w:highlight w:val="none"/>
              </w:rPr>
              <w:t>〕</w:t>
            </w:r>
            <w:r>
              <w:rPr>
                <w:rFonts w:hint="eastAsia" w:ascii="仿宋_GB2312" w:hAnsi="仿宋_GB2312" w:eastAsia="仿宋_GB2312" w:cs="仿宋_GB2312"/>
                <w:bCs/>
                <w:color w:val="000000"/>
                <w:sz w:val="24"/>
                <w:szCs w:val="24"/>
                <w:highlight w:val="none"/>
                <w:lang w:val="en-US" w:eastAsia="zh-CN"/>
              </w:rPr>
              <w:t>2</w:t>
            </w:r>
            <w:r>
              <w:rPr>
                <w:rFonts w:hint="eastAsia" w:ascii="仿宋_GB2312" w:hAnsi="仿宋_GB2312" w:eastAsia="仿宋_GB2312" w:cs="仿宋_GB2312"/>
                <w:bCs/>
                <w:color w:val="000000"/>
                <w:sz w:val="24"/>
                <w:szCs w:val="24"/>
                <w:highlight w:val="none"/>
              </w:rPr>
              <w:t>号）</w:t>
            </w:r>
          </w:p>
        </w:tc>
        <w:tc>
          <w:tcPr>
            <w:tcW w:w="16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公益性科普报告、阅读推广、科学家故事舞台剧排演、科学家精神资源共享</w:t>
            </w:r>
          </w:p>
        </w:tc>
        <w:tc>
          <w:tcPr>
            <w:tcW w:w="4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山东省“科学家（精神）进校园行动”科普大篷车进校园；2024年山东省青少年科普报告百校行希望行活动</w:t>
            </w:r>
            <w:r>
              <w:rPr>
                <w:rFonts w:hint="eastAsia" w:ascii="仿宋_GB2312" w:hAnsi="仿宋_GB2312" w:eastAsia="仿宋_GB2312" w:cs="仿宋_GB2312"/>
                <w:bCs/>
                <w:color w:val="000000"/>
                <w:sz w:val="24"/>
                <w:lang w:eastAsia="zh-CN"/>
              </w:rPr>
              <w:t>。</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省科协</w:t>
            </w:r>
          </w:p>
        </w:tc>
      </w:tr>
    </w:tbl>
    <w:p>
      <w:pPr>
        <w:spacing w:after="120" w:line="580" w:lineRule="exact"/>
        <w:jc w:val="left"/>
        <w:rPr>
          <w:rFonts w:ascii="黑体" w:hAnsi="黑体" w:eastAsia="黑体" w:cs="黑体"/>
          <w:sz w:val="32"/>
          <w:szCs w:val="32"/>
        </w:rPr>
      </w:pPr>
    </w:p>
    <w:p>
      <w:pPr>
        <w:spacing w:after="120" w:line="580" w:lineRule="exact"/>
        <w:jc w:val="left"/>
        <w:rPr>
          <w:rFonts w:ascii="黑体" w:hAnsi="黑体" w:eastAsia="黑体" w:cs="黑体"/>
          <w:sz w:val="32"/>
          <w:szCs w:val="32"/>
        </w:rPr>
      </w:pPr>
      <w:r>
        <w:rPr>
          <w:rFonts w:hint="eastAsia" w:ascii="黑体" w:hAnsi="黑体" w:eastAsia="黑体" w:cs="黑体"/>
          <w:sz w:val="32"/>
          <w:szCs w:val="32"/>
        </w:rPr>
        <w:br w:type="page"/>
      </w:r>
      <w:r>
        <w:rPr>
          <w:rFonts w:hint="eastAsia" w:ascii="黑体" w:hAnsi="黑体" w:eastAsia="黑体" w:cs="黑体"/>
          <w:sz w:val="32"/>
          <w:szCs w:val="32"/>
        </w:rPr>
        <w:t>二、采取“牵头单位提供相关教育资源，由教育行政部门组织中小学自主开展”方式的</w:t>
      </w:r>
    </w:p>
    <w:tbl>
      <w:tblPr>
        <w:tblStyle w:val="3"/>
        <w:tblW w:w="14977" w:type="dxa"/>
        <w:jc w:val="center"/>
        <w:tblLayout w:type="fixed"/>
        <w:tblCellMar>
          <w:top w:w="0" w:type="dxa"/>
          <w:left w:w="0" w:type="dxa"/>
          <w:bottom w:w="0" w:type="dxa"/>
          <w:right w:w="0" w:type="dxa"/>
        </w:tblCellMar>
      </w:tblPr>
      <w:tblGrid>
        <w:gridCol w:w="580"/>
        <w:gridCol w:w="1725"/>
        <w:gridCol w:w="1125"/>
        <w:gridCol w:w="4395"/>
        <w:gridCol w:w="1755"/>
        <w:gridCol w:w="4065"/>
        <w:gridCol w:w="1332"/>
      </w:tblGrid>
      <w:tr>
        <w:tblPrEx>
          <w:tblCellMar>
            <w:top w:w="0" w:type="dxa"/>
            <w:left w:w="0" w:type="dxa"/>
            <w:bottom w:w="0" w:type="dxa"/>
            <w:right w:w="0" w:type="dxa"/>
          </w:tblCellMar>
        </w:tblPrEx>
        <w:trPr>
          <w:trHeight w:val="751" w:hRule="atLeast"/>
          <w:tblHeader/>
          <w:jc w:val="center"/>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00"/>
                <w:kern w:val="0"/>
                <w:sz w:val="24"/>
                <w:lang w:bidi="ar"/>
              </w:rPr>
            </w:pPr>
            <w:r>
              <w:rPr>
                <w:rFonts w:hint="eastAsia" w:ascii="黑体" w:hAnsi="黑体" w:eastAsia="黑体" w:cs="黑体"/>
                <w:color w:val="000000"/>
                <w:kern w:val="0"/>
                <w:sz w:val="24"/>
                <w:lang w:bidi="ar"/>
              </w:rPr>
              <w:t>序号</w:t>
            </w:r>
          </w:p>
        </w:tc>
        <w:tc>
          <w:tcPr>
            <w:tcW w:w="1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事项名称</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开展时间</w:t>
            </w:r>
          </w:p>
        </w:tc>
        <w:tc>
          <w:tcPr>
            <w:tcW w:w="4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开展依据</w:t>
            </w:r>
          </w:p>
        </w:tc>
        <w:tc>
          <w:tcPr>
            <w:tcW w:w="17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开展形式</w:t>
            </w:r>
          </w:p>
        </w:tc>
        <w:tc>
          <w:tcPr>
            <w:tcW w:w="4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lang w:bidi="ar"/>
              </w:rPr>
              <w:t>事项的主要内容</w:t>
            </w:r>
          </w:p>
        </w:tc>
        <w:tc>
          <w:tcPr>
            <w:tcW w:w="13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color w:val="0000FF"/>
                <w:sz w:val="24"/>
              </w:rPr>
            </w:pPr>
            <w:r>
              <w:rPr>
                <w:rFonts w:hint="eastAsia" w:ascii="黑体" w:hAnsi="黑体" w:eastAsia="黑体" w:cs="黑体"/>
                <w:color w:val="000000"/>
                <w:kern w:val="0"/>
                <w:sz w:val="24"/>
                <w:lang w:bidi="ar"/>
              </w:rPr>
              <w:t>牵头单位</w:t>
            </w:r>
          </w:p>
        </w:tc>
      </w:tr>
      <w:tr>
        <w:tblPrEx>
          <w:tblCellMar>
            <w:top w:w="0" w:type="dxa"/>
            <w:left w:w="0" w:type="dxa"/>
            <w:bottom w:w="0" w:type="dxa"/>
            <w:right w:w="0" w:type="dxa"/>
          </w:tblCellMar>
        </w:tblPrEx>
        <w:trPr>
          <w:trHeight w:val="2702" w:hRule="atLeast"/>
          <w:jc w:val="center"/>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w:t>
            </w:r>
          </w:p>
        </w:tc>
        <w:tc>
          <w:tcPr>
            <w:tcW w:w="1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山东省中小学生海洋意识和素养提升活动</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2024年6月-2025年5月</w:t>
            </w:r>
          </w:p>
        </w:tc>
        <w:tc>
          <w:tcPr>
            <w:tcW w:w="4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《省委、省政府关于印发</w:t>
            </w:r>
            <w:r>
              <w:rPr>
                <w:rFonts w:hint="eastAsia" w:ascii="仿宋_GB2312" w:hAnsi="仿宋_GB2312" w:eastAsia="仿宋_GB2312" w:cs="仿宋_GB2312"/>
                <w:bCs/>
                <w:color w:val="000000"/>
                <w:sz w:val="24"/>
                <w:lang w:val="en-US" w:eastAsia="zh-CN"/>
              </w:rPr>
              <w:t>&lt;</w:t>
            </w:r>
            <w:r>
              <w:rPr>
                <w:rFonts w:hint="eastAsia" w:ascii="仿宋_GB2312" w:hAnsi="仿宋_GB2312" w:eastAsia="仿宋_GB2312" w:cs="仿宋_GB2312"/>
                <w:bCs/>
                <w:color w:val="000000"/>
                <w:sz w:val="24"/>
              </w:rPr>
              <w:t>山东海洋强省建设行动方案</w:t>
            </w:r>
            <w:r>
              <w:rPr>
                <w:rFonts w:hint="eastAsia" w:ascii="仿宋_GB2312" w:hAnsi="仿宋_GB2312" w:eastAsia="仿宋_GB2312" w:cs="仿宋_GB2312"/>
                <w:bCs/>
                <w:color w:val="000000"/>
                <w:sz w:val="24"/>
                <w:lang w:val="en-US" w:eastAsia="zh-CN"/>
              </w:rPr>
              <w:t>&gt;</w:t>
            </w:r>
            <w:r>
              <w:rPr>
                <w:rFonts w:hint="eastAsia" w:ascii="仿宋_GB2312" w:hAnsi="仿宋_GB2312" w:eastAsia="仿宋_GB2312" w:cs="仿宋_GB2312"/>
                <w:bCs/>
                <w:color w:val="000000"/>
                <w:sz w:val="24"/>
              </w:rPr>
              <w:t>的通知》（鲁发〔2018〕21号）</w:t>
            </w:r>
          </w:p>
        </w:tc>
        <w:tc>
          <w:tcPr>
            <w:tcW w:w="17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以线上线下相结合的形式，开展海洋意识和素养展示活动及海洋科普讲座、海洋意识宣讲等活动</w:t>
            </w:r>
          </w:p>
        </w:tc>
        <w:tc>
          <w:tcPr>
            <w:tcW w:w="4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开展山东省中小学生海洋意识和素养展示活动，包括现场演讲、实验、互动体验、海洋知识展示、社会实践等形式，展示当代中小学生知海、爱海、亲海、护海的精神风貌和海洋素养；开展山东省海洋科普舰队进校园活动</w:t>
            </w:r>
            <w:r>
              <w:rPr>
                <w:rFonts w:hint="eastAsia" w:ascii="仿宋_GB2312" w:hAnsi="仿宋_GB2312" w:eastAsia="仿宋_GB2312" w:cs="仿宋_GB2312"/>
                <w:bCs/>
                <w:color w:val="000000"/>
                <w:sz w:val="24"/>
                <w:lang w:eastAsia="zh-CN"/>
              </w:rPr>
              <w:t>。</w:t>
            </w:r>
          </w:p>
        </w:tc>
        <w:tc>
          <w:tcPr>
            <w:tcW w:w="13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省自然资源厅</w:t>
            </w:r>
          </w:p>
        </w:tc>
      </w:tr>
      <w:tr>
        <w:tblPrEx>
          <w:tblCellMar>
            <w:top w:w="0" w:type="dxa"/>
            <w:left w:w="0" w:type="dxa"/>
            <w:bottom w:w="0" w:type="dxa"/>
            <w:right w:w="0" w:type="dxa"/>
          </w:tblCellMar>
        </w:tblPrEx>
        <w:trPr>
          <w:trHeight w:val="4359" w:hRule="atLeast"/>
          <w:jc w:val="center"/>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w:t>
            </w:r>
          </w:p>
        </w:tc>
        <w:tc>
          <w:tcPr>
            <w:tcW w:w="1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安全宣传进学校</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sz w:val="24"/>
              </w:rPr>
            </w:pPr>
            <w:r>
              <w:rPr>
                <w:rFonts w:hint="eastAsia" w:ascii="仿宋_GB2312" w:hAnsi="仿宋_GB2312" w:eastAsia="仿宋_GB2312" w:cs="仿宋_GB2312"/>
                <w:bCs/>
                <w:sz w:val="24"/>
              </w:rPr>
              <w:t>7月-9月</w:t>
            </w:r>
          </w:p>
        </w:tc>
        <w:tc>
          <w:tcPr>
            <w:tcW w:w="4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《国务院安委会办公室、应急管理部关于印发〈推进安全宣传“五进”工作方案〉的通知》（安委办〔2020〕3号）、《山东省安全生产条例》、</w:t>
            </w: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rPr>
              <w:t>国务院办公厅转发交通运输部等单位关于加强铁路沿线安全环境治理工作意见的通知》（国办函〔2021〕49号）</w:t>
            </w: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rPr>
              <w:t>《交通运输部办公厅、教育部办公厅关于</w:t>
            </w:r>
            <w:r>
              <w:rPr>
                <w:rFonts w:hint="eastAsia" w:ascii="仿宋_GB2312" w:hAnsi="仿宋_GB2312" w:eastAsia="仿宋_GB2312" w:cs="仿宋_GB2312"/>
                <w:bCs/>
                <w:sz w:val="24"/>
                <w:highlight w:val="none"/>
              </w:rPr>
              <w:t>持续深化中小学生水上安全教育工作的通知》</w:t>
            </w:r>
            <w:r>
              <w:rPr>
                <w:rFonts w:hint="eastAsia" w:ascii="仿宋_GB2312" w:hAnsi="仿宋_GB2312" w:eastAsia="仿宋_GB2312" w:cs="仿宋_GB2312"/>
                <w:bCs/>
                <w:sz w:val="24"/>
                <w:highlight w:val="none"/>
                <w:lang w:eastAsia="zh-CN"/>
              </w:rPr>
              <w:t>（交办海函〔2021〕1102号）</w:t>
            </w:r>
          </w:p>
        </w:tc>
        <w:tc>
          <w:tcPr>
            <w:tcW w:w="17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安全知识讲座、观看安全警示片、发放宣传资料等，每年确定一个主题</w:t>
            </w:r>
          </w:p>
        </w:tc>
        <w:tc>
          <w:tcPr>
            <w:tcW w:w="4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开展安全和防灾减灾知识科普，强化学生和教职工安全意识；组织开展铁路沿线安全事故警示教育、铁路法律法规教育等铁路安全知识教育；水上交通安全教学和知识科普，蓝色国土教育、自救互救实践等</w:t>
            </w:r>
            <w:r>
              <w:rPr>
                <w:rFonts w:hint="eastAsia" w:ascii="仿宋_GB2312" w:hAnsi="仿宋_GB2312" w:eastAsia="仿宋_GB2312" w:cs="仿宋_GB2312"/>
                <w:bCs/>
                <w:color w:val="000000"/>
                <w:sz w:val="24"/>
                <w:lang w:eastAsia="zh-CN"/>
              </w:rPr>
              <w:t>。</w:t>
            </w:r>
          </w:p>
        </w:tc>
        <w:tc>
          <w:tcPr>
            <w:tcW w:w="13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rPr>
                <w:rFonts w:ascii="仿宋_GB2312" w:hAnsi="仿宋_GB2312" w:eastAsia="仿宋_GB2312" w:cs="仿宋_GB2312"/>
                <w:b/>
                <w:bCs/>
                <w:color w:val="0000FF"/>
                <w:sz w:val="24"/>
              </w:rPr>
            </w:pPr>
            <w:r>
              <w:rPr>
                <w:rFonts w:hint="eastAsia" w:ascii="仿宋_GB2312" w:hAnsi="仿宋_GB2312" w:eastAsia="仿宋_GB2312" w:cs="仿宋_GB2312"/>
                <w:bCs/>
                <w:color w:val="000000"/>
                <w:sz w:val="24"/>
              </w:rPr>
              <w:t>省应急管理厅牵头协调，省水利厅、省交通运输厅等部门按主题负责。</w:t>
            </w:r>
          </w:p>
        </w:tc>
      </w:tr>
      <w:tr>
        <w:tblPrEx>
          <w:tblCellMar>
            <w:top w:w="0" w:type="dxa"/>
            <w:left w:w="0" w:type="dxa"/>
            <w:bottom w:w="0" w:type="dxa"/>
            <w:right w:w="0" w:type="dxa"/>
          </w:tblCellMar>
        </w:tblPrEx>
        <w:trPr>
          <w:trHeight w:val="1115" w:hRule="atLeast"/>
          <w:jc w:val="center"/>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w:t>
            </w:r>
          </w:p>
        </w:tc>
        <w:tc>
          <w:tcPr>
            <w:tcW w:w="1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英烈文化进校园</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集中在3月、4月、9月</w:t>
            </w:r>
          </w:p>
        </w:tc>
        <w:tc>
          <w:tcPr>
            <w:tcW w:w="4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《中华人民共和国英雄烈士保护法》</w:t>
            </w:r>
          </w:p>
        </w:tc>
        <w:tc>
          <w:tcPr>
            <w:tcW w:w="17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宣讲、观看视频</w:t>
            </w:r>
          </w:p>
        </w:tc>
        <w:tc>
          <w:tcPr>
            <w:tcW w:w="4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_GB2312" w:hAnsi="仿宋_GB2312" w:eastAsia="仿宋_GB2312" w:cs="仿宋_GB2312"/>
                <w:b/>
                <w:bCs/>
                <w:color w:val="0000FF"/>
                <w:sz w:val="24"/>
                <w:lang w:eastAsia="zh-CN"/>
              </w:rPr>
            </w:pPr>
            <w:r>
              <w:rPr>
                <w:rFonts w:hint="eastAsia" w:ascii="仿宋_GB2312" w:hAnsi="仿宋_GB2312" w:eastAsia="仿宋_GB2312" w:cs="仿宋_GB2312"/>
                <w:bCs/>
                <w:color w:val="000000"/>
                <w:sz w:val="24"/>
              </w:rPr>
              <w:t>宣讲英烈事迹和精神，传承弘扬红色文化</w:t>
            </w:r>
            <w:r>
              <w:rPr>
                <w:rFonts w:hint="eastAsia" w:ascii="仿宋_GB2312" w:hAnsi="仿宋_GB2312" w:eastAsia="仿宋_GB2312" w:cs="仿宋_GB2312"/>
                <w:bCs/>
                <w:color w:val="000000"/>
                <w:sz w:val="24"/>
                <w:lang w:eastAsia="zh-CN"/>
              </w:rPr>
              <w:t>。</w:t>
            </w:r>
          </w:p>
        </w:tc>
        <w:tc>
          <w:tcPr>
            <w:tcW w:w="13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left"/>
              <w:rPr>
                <w:rFonts w:ascii="仿宋_GB2312" w:hAnsi="仿宋_GB2312" w:eastAsia="仿宋_GB2312" w:cs="仿宋_GB2312"/>
                <w:color w:val="000000"/>
                <w:sz w:val="24"/>
              </w:rPr>
            </w:pPr>
            <w:r>
              <w:rPr>
                <w:rFonts w:hint="eastAsia" w:ascii="仿宋_GB2312" w:hAnsi="仿宋_GB2312" w:eastAsia="仿宋_GB2312" w:cs="仿宋_GB2312"/>
                <w:bCs/>
                <w:color w:val="000000"/>
                <w:sz w:val="24"/>
              </w:rPr>
              <w:t>省退役军人事务厅</w:t>
            </w:r>
          </w:p>
        </w:tc>
      </w:tr>
      <w:tr>
        <w:tblPrEx>
          <w:tblCellMar>
            <w:top w:w="0" w:type="dxa"/>
            <w:left w:w="0" w:type="dxa"/>
            <w:bottom w:w="0" w:type="dxa"/>
            <w:right w:w="0" w:type="dxa"/>
          </w:tblCellMar>
        </w:tblPrEx>
        <w:trPr>
          <w:trHeight w:val="2595" w:hRule="atLeast"/>
          <w:jc w:val="center"/>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4</w:t>
            </w:r>
          </w:p>
        </w:tc>
        <w:tc>
          <w:tcPr>
            <w:tcW w:w="1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仿宋_GB2312" w:hAnsi="仿宋_GB2312" w:eastAsia="仿宋_GB2312" w:cs="仿宋_GB2312"/>
                <w:bCs/>
                <w:sz w:val="24"/>
              </w:rPr>
            </w:pPr>
            <w:r>
              <w:rPr>
                <w:rFonts w:hint="eastAsia" w:ascii="仿宋_GB2312" w:hAnsi="仿宋_GB2312" w:eastAsia="仿宋_GB2312" w:cs="仿宋_GB2312"/>
                <w:bCs/>
                <w:sz w:val="24"/>
              </w:rPr>
              <w:t>禁毒戒毒宣传</w:t>
            </w: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仿宋_GB2312" w:hAnsi="仿宋_GB2312" w:eastAsia="仿宋_GB2312" w:cs="仿宋_GB2312"/>
                <w:bCs/>
                <w:sz w:val="24"/>
              </w:rPr>
            </w:pPr>
            <w:r>
              <w:rPr>
                <w:rFonts w:hint="eastAsia" w:ascii="仿宋_GB2312" w:hAnsi="仿宋_GB2312" w:eastAsia="仿宋_GB2312" w:cs="仿宋_GB2312"/>
                <w:bCs/>
                <w:sz w:val="24"/>
              </w:rPr>
              <w:t>进校园</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sz w:val="24"/>
              </w:rPr>
            </w:pPr>
            <w:r>
              <w:rPr>
                <w:rFonts w:hint="eastAsia" w:ascii="仿宋_GB2312" w:hAnsi="仿宋_GB2312" w:eastAsia="仿宋_GB2312" w:cs="仿宋_GB2312"/>
                <w:bCs/>
                <w:sz w:val="24"/>
              </w:rPr>
              <w:t>3月-6月；</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sz w:val="24"/>
              </w:rPr>
            </w:pPr>
            <w:r>
              <w:rPr>
                <w:rFonts w:hint="eastAsia" w:ascii="仿宋_GB2312" w:hAnsi="仿宋_GB2312" w:eastAsia="仿宋_GB2312" w:cs="仿宋_GB2312"/>
                <w:bCs/>
                <w:sz w:val="24"/>
              </w:rPr>
              <w:t>9月-11月</w:t>
            </w:r>
          </w:p>
        </w:tc>
        <w:tc>
          <w:tcPr>
            <w:tcW w:w="4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仿宋_GB2312" w:hAnsi="仿宋_GB2312" w:eastAsia="仿宋_GB2312" w:cs="仿宋_GB2312"/>
                <w:bCs/>
                <w:sz w:val="24"/>
              </w:rPr>
            </w:pPr>
            <w:r>
              <w:rPr>
                <w:rFonts w:hint="eastAsia" w:ascii="仿宋_GB2312" w:hAnsi="仿宋_GB2312" w:eastAsia="仿宋_GB2312" w:cs="仿宋_GB2312"/>
                <w:bCs/>
                <w:sz w:val="24"/>
              </w:rPr>
              <w:t>《禁毒法》《国家禁毒办、教育部等17部门关于印发</w:t>
            </w:r>
            <w:r>
              <w:rPr>
                <w:rFonts w:hint="eastAsia" w:ascii="仿宋_GB2312" w:hAnsi="仿宋_GB2312" w:eastAsia="仿宋_GB2312" w:cs="仿宋_GB2312"/>
                <w:bCs/>
                <w:sz w:val="24"/>
                <w:lang w:val="en-US" w:eastAsia="zh-CN"/>
              </w:rPr>
              <w:t>&lt;</w:t>
            </w:r>
            <w:r>
              <w:rPr>
                <w:rFonts w:hint="eastAsia" w:ascii="仿宋_GB2312" w:hAnsi="仿宋_GB2312" w:eastAsia="仿宋_GB2312" w:cs="仿宋_GB2312"/>
                <w:bCs/>
                <w:sz w:val="24"/>
              </w:rPr>
              <w:t>防范青少年滥用涉麻精药品等成瘾性物质宣传教育活动方案</w:t>
            </w:r>
            <w:r>
              <w:rPr>
                <w:rFonts w:hint="eastAsia" w:ascii="仿宋_GB2312" w:hAnsi="仿宋_GB2312" w:eastAsia="仿宋_GB2312" w:cs="仿宋_GB2312"/>
                <w:bCs/>
                <w:sz w:val="24"/>
                <w:lang w:val="en-US" w:eastAsia="zh-CN"/>
              </w:rPr>
              <w:t>&gt;</w:t>
            </w:r>
            <w:r>
              <w:rPr>
                <w:rFonts w:hint="eastAsia" w:ascii="仿宋_GB2312" w:hAnsi="仿宋_GB2312" w:eastAsia="仿宋_GB2312" w:cs="仿宋_GB2312"/>
                <w:bCs/>
                <w:sz w:val="24"/>
              </w:rPr>
              <w:t>的通知》（禁毒办通〔2024〕5号）</w:t>
            </w:r>
          </w:p>
        </w:tc>
        <w:tc>
          <w:tcPr>
            <w:tcW w:w="17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仿宋_GB2312" w:hAnsi="仿宋_GB2312" w:eastAsia="仿宋_GB2312" w:cs="仿宋_GB2312"/>
                <w:bCs/>
                <w:sz w:val="24"/>
              </w:rPr>
            </w:pPr>
            <w:r>
              <w:rPr>
                <w:rFonts w:hint="eastAsia" w:ascii="仿宋_GB2312" w:hAnsi="仿宋_GB2312" w:eastAsia="仿宋_GB2312" w:cs="仿宋_GB2312"/>
                <w:bCs/>
                <w:sz w:val="24"/>
              </w:rPr>
              <w:t>参观禁毒展馆、开展主题班会、禁毒知识答题、禁毒作品征集、观看禁毒影视作品等</w:t>
            </w:r>
          </w:p>
        </w:tc>
        <w:tc>
          <w:tcPr>
            <w:tcW w:w="4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紧密结合在校学生秋季开学“五个一”禁毒专题教育活动和2024年全国青少年禁毒知识竞赛活动安排，深入推进“禁毒教育进课堂”，把防范青少年药物滥用纳入学校禁毒专题教育、卫生健康教育内容，培育一批中小学毒品预防教育工作典型</w:t>
            </w:r>
            <w:r>
              <w:rPr>
                <w:rFonts w:hint="eastAsia" w:ascii="仿宋_GB2312" w:hAnsi="仿宋_GB2312" w:eastAsia="仿宋_GB2312" w:cs="仿宋_GB2312"/>
                <w:bCs/>
                <w:sz w:val="24"/>
                <w:lang w:eastAsia="zh-CN"/>
              </w:rPr>
              <w:t>。</w:t>
            </w:r>
          </w:p>
        </w:tc>
        <w:tc>
          <w:tcPr>
            <w:tcW w:w="13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省公安厅</w:t>
            </w:r>
          </w:p>
          <w:p>
            <w:pPr>
              <w:spacing w:line="360" w:lineRule="exact"/>
              <w:jc w:val="center"/>
              <w:rPr>
                <w:rFonts w:ascii="仿宋_GB2312" w:hAnsi="仿宋_GB2312" w:eastAsia="仿宋_GB2312" w:cs="仿宋_GB2312"/>
                <w:b/>
                <w:bCs/>
                <w:color w:val="0000FF"/>
                <w:sz w:val="24"/>
              </w:rPr>
            </w:pPr>
            <w:r>
              <w:rPr>
                <w:rFonts w:hint="eastAsia" w:ascii="仿宋_GB2312" w:hAnsi="仿宋_GB2312" w:eastAsia="仿宋_GB2312" w:cs="仿宋_GB2312"/>
                <w:bCs/>
                <w:color w:val="000000"/>
                <w:sz w:val="24"/>
              </w:rPr>
              <w:t>（省禁毒办）、省司法厅</w:t>
            </w:r>
          </w:p>
        </w:tc>
      </w:tr>
      <w:tr>
        <w:tblPrEx>
          <w:tblCellMar>
            <w:top w:w="0" w:type="dxa"/>
            <w:left w:w="0" w:type="dxa"/>
            <w:bottom w:w="0" w:type="dxa"/>
            <w:right w:w="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5</w:t>
            </w:r>
          </w:p>
        </w:tc>
        <w:tc>
          <w:tcPr>
            <w:tcW w:w="1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健康知识进学校</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9月-10月</w:t>
            </w:r>
          </w:p>
        </w:tc>
        <w:tc>
          <w:tcPr>
            <w:tcW w:w="4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《山东省学校安全条例》实施细则（鲁政办发〔2022〕16号）、</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传染病防治法</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突发公共卫生事件应急条例</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健康山东行动</w:t>
            </w:r>
            <w:r>
              <w:rPr>
                <w:rFonts w:hint="eastAsia" w:ascii="仿宋_GB2312" w:hAnsi="仿宋_GB2312" w:eastAsia="仿宋_GB2312" w:cs="仿宋_GB2312"/>
                <w:bCs/>
                <w:color w:val="000000"/>
                <w:sz w:val="24"/>
                <w:lang w:eastAsia="zh-CN"/>
              </w:rPr>
              <w:t>》</w:t>
            </w:r>
          </w:p>
        </w:tc>
        <w:tc>
          <w:tcPr>
            <w:tcW w:w="17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知识讲座、技能培训</w:t>
            </w:r>
          </w:p>
        </w:tc>
        <w:tc>
          <w:tcPr>
            <w:tcW w:w="4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组织开展健康讲座等各种形式的健康传播活动；“医疗应急急救知识进校园”健康促进行动；传染病防治知识科普宣传</w:t>
            </w:r>
            <w:r>
              <w:rPr>
                <w:rFonts w:hint="eastAsia" w:ascii="仿宋_GB2312" w:hAnsi="仿宋_GB2312" w:eastAsia="仿宋_GB2312" w:cs="仿宋_GB2312"/>
                <w:bCs/>
                <w:color w:val="000000"/>
                <w:sz w:val="24"/>
                <w:lang w:eastAsia="zh-CN"/>
              </w:rPr>
              <w:t>。</w:t>
            </w:r>
          </w:p>
        </w:tc>
        <w:tc>
          <w:tcPr>
            <w:tcW w:w="13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仿宋_GB2312" w:hAnsi="仿宋_GB2312" w:eastAsia="仿宋_GB2312" w:cs="仿宋_GB2312"/>
                <w:b/>
                <w:bCs/>
                <w:color w:val="0000FF"/>
                <w:sz w:val="24"/>
              </w:rPr>
            </w:pPr>
            <w:r>
              <w:rPr>
                <w:rFonts w:hint="eastAsia" w:ascii="仿宋_GB2312" w:hAnsi="仿宋_GB2312" w:eastAsia="仿宋_GB2312" w:cs="仿宋_GB2312"/>
                <w:bCs/>
                <w:color w:val="000000"/>
                <w:sz w:val="24"/>
              </w:rPr>
              <w:t>省卫生健康委</w:t>
            </w:r>
          </w:p>
        </w:tc>
      </w:tr>
      <w:tr>
        <w:tblPrEx>
          <w:tblCellMar>
            <w:top w:w="0" w:type="dxa"/>
            <w:left w:w="0" w:type="dxa"/>
            <w:bottom w:w="0" w:type="dxa"/>
            <w:right w:w="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6</w:t>
            </w:r>
          </w:p>
        </w:tc>
        <w:tc>
          <w:tcPr>
            <w:tcW w:w="1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“新时代好少年”学习宣传活动</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3月-12月</w:t>
            </w:r>
          </w:p>
        </w:tc>
        <w:tc>
          <w:tcPr>
            <w:tcW w:w="4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《省文明办、省教育厅等5部门关于开展2024年山东省“新时代好少年”学习宣传活动的通知》（鲁文明办〔2024〕4号）</w:t>
            </w:r>
          </w:p>
        </w:tc>
        <w:tc>
          <w:tcPr>
            <w:tcW w:w="17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推荐遴选、组织宣传、学习实践</w:t>
            </w:r>
          </w:p>
        </w:tc>
        <w:tc>
          <w:tcPr>
            <w:tcW w:w="4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发现、推荐青少年先进典型，进行先进事迹发布，开展学习宣传活动</w:t>
            </w:r>
            <w:r>
              <w:rPr>
                <w:rFonts w:hint="eastAsia" w:ascii="仿宋_GB2312" w:hAnsi="仿宋_GB2312" w:eastAsia="仿宋_GB2312" w:cs="仿宋_GB2312"/>
                <w:bCs/>
                <w:color w:val="000000"/>
                <w:sz w:val="24"/>
                <w:lang w:eastAsia="zh-CN"/>
              </w:rPr>
              <w:t>。</w:t>
            </w:r>
          </w:p>
        </w:tc>
        <w:tc>
          <w:tcPr>
            <w:tcW w:w="13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仿宋_GB2312" w:hAnsi="仿宋_GB2312" w:eastAsia="仿宋_GB2312" w:cs="仿宋_GB2312"/>
                <w:b/>
                <w:bCs/>
                <w:color w:val="0000FF"/>
                <w:sz w:val="24"/>
              </w:rPr>
            </w:pPr>
            <w:r>
              <w:rPr>
                <w:rFonts w:hint="eastAsia" w:ascii="仿宋_GB2312" w:hAnsi="仿宋_GB2312" w:eastAsia="仿宋_GB2312" w:cs="仿宋_GB2312"/>
                <w:bCs/>
                <w:color w:val="000000"/>
                <w:sz w:val="24"/>
              </w:rPr>
              <w:t>省文明办</w:t>
            </w:r>
          </w:p>
        </w:tc>
      </w:tr>
      <w:tr>
        <w:tblPrEx>
          <w:tblCellMar>
            <w:top w:w="0" w:type="dxa"/>
            <w:left w:w="0" w:type="dxa"/>
            <w:bottom w:w="0" w:type="dxa"/>
            <w:right w:w="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7</w:t>
            </w:r>
          </w:p>
        </w:tc>
        <w:tc>
          <w:tcPr>
            <w:tcW w:w="1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“护苗·绿书签行动”系列宣传活动</w:t>
            </w:r>
          </w:p>
        </w:tc>
        <w:tc>
          <w:tcPr>
            <w:tcW w:w="11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rPr>
              <w:t>4月-8月</w:t>
            </w:r>
          </w:p>
        </w:tc>
        <w:tc>
          <w:tcPr>
            <w:tcW w:w="4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bCs/>
                <w:color w:val="000000"/>
                <w:sz w:val="24"/>
                <w:highlight w:val="none"/>
                <w:lang w:val="en-US" w:eastAsia="zh-CN"/>
              </w:rPr>
            </w:pPr>
            <w:r>
              <w:rPr>
                <w:rFonts w:hint="eastAsia" w:ascii="仿宋_GB2312" w:hAnsi="仿宋_GB2312" w:eastAsia="仿宋_GB2312" w:cs="仿宋_GB2312"/>
                <w:bCs/>
                <w:color w:val="000000"/>
                <w:sz w:val="24"/>
                <w:highlight w:val="none"/>
              </w:rPr>
              <w:t>全国“扫黄打非”办公室《关于开展</w:t>
            </w:r>
            <w:r>
              <w:rPr>
                <w:rFonts w:hint="eastAsia" w:ascii="仿宋_GB2312" w:hAnsi="仿宋_GB2312" w:eastAsia="仿宋_GB2312" w:cs="仿宋_GB2312"/>
                <w:bCs/>
                <w:color w:val="000000"/>
                <w:sz w:val="24"/>
                <w:highlight w:val="none"/>
                <w:lang w:val="en-US" w:eastAsia="zh-CN"/>
              </w:rPr>
              <w:t>2024年</w:t>
            </w:r>
            <w:r>
              <w:rPr>
                <w:rFonts w:hint="eastAsia" w:ascii="仿宋_GB2312" w:hAnsi="仿宋_GB2312" w:eastAsia="仿宋_GB2312" w:cs="仿宋_GB2312"/>
                <w:bCs/>
                <w:color w:val="000000"/>
                <w:sz w:val="24"/>
                <w:highlight w:val="none"/>
              </w:rPr>
              <w:t>“绿书签行动”系列宣传活动的通知》</w:t>
            </w:r>
            <w:r>
              <w:rPr>
                <w:rFonts w:hint="eastAsia" w:ascii="仿宋_GB2312" w:hAnsi="仿宋_GB2312" w:eastAsia="仿宋_GB2312" w:cs="仿宋_GB2312"/>
                <w:bCs/>
                <w:color w:val="000000"/>
                <w:sz w:val="24"/>
                <w:highlight w:val="none"/>
                <w:lang w:eastAsia="zh-CN"/>
              </w:rPr>
              <w:t>（</w:t>
            </w:r>
            <w:r>
              <w:rPr>
                <w:rFonts w:hint="eastAsia" w:ascii="仿宋_GB2312" w:hAnsi="仿宋_GB2312" w:eastAsia="仿宋_GB2312" w:cs="仿宋_GB2312"/>
                <w:bCs/>
                <w:color w:val="000000"/>
                <w:sz w:val="24"/>
                <w:highlight w:val="none"/>
                <w:lang w:val="en-US" w:eastAsia="zh-CN"/>
              </w:rPr>
              <w:t>扫黄打非办字</w:t>
            </w:r>
            <w:r>
              <w:rPr>
                <w:rFonts w:hint="eastAsia" w:ascii="仿宋_GB2312" w:hAnsi="仿宋_GB2312" w:eastAsia="仿宋_GB2312" w:cs="仿宋_GB2312"/>
                <w:bCs/>
                <w:color w:val="000000"/>
                <w:sz w:val="24"/>
                <w:highlight w:val="none"/>
              </w:rPr>
              <w:t>〔2024〕</w:t>
            </w:r>
            <w:r>
              <w:rPr>
                <w:rFonts w:hint="eastAsia" w:ascii="仿宋_GB2312" w:hAnsi="仿宋_GB2312" w:eastAsia="仿宋_GB2312" w:cs="仿宋_GB2312"/>
                <w:bCs/>
                <w:color w:val="000000"/>
                <w:sz w:val="24"/>
                <w:highlight w:val="none"/>
                <w:lang w:val="en-US" w:eastAsia="zh-CN"/>
              </w:rPr>
              <w:t>31</w:t>
            </w:r>
            <w:r>
              <w:rPr>
                <w:rFonts w:hint="eastAsia" w:ascii="仿宋_GB2312" w:hAnsi="仿宋_GB2312" w:eastAsia="仿宋_GB2312" w:cs="仿宋_GB2312"/>
                <w:bCs/>
                <w:color w:val="000000"/>
                <w:sz w:val="24"/>
                <w:highlight w:val="none"/>
              </w:rPr>
              <w:t>号</w:t>
            </w:r>
            <w:r>
              <w:rPr>
                <w:rFonts w:hint="eastAsia" w:ascii="仿宋_GB2312" w:hAnsi="仿宋_GB2312" w:eastAsia="仿宋_GB2312" w:cs="仿宋_GB2312"/>
                <w:bCs/>
                <w:color w:val="000000"/>
                <w:sz w:val="24"/>
                <w:highlight w:val="none"/>
                <w:lang w:eastAsia="zh-CN"/>
              </w:rPr>
              <w:t>）</w:t>
            </w:r>
          </w:p>
        </w:tc>
        <w:tc>
          <w:tcPr>
            <w:tcW w:w="17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文艺表演、志愿服务、海报征集</w:t>
            </w:r>
          </w:p>
        </w:tc>
        <w:tc>
          <w:tcPr>
            <w:tcW w:w="4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根据不同场景主题，开展丰富多彩活动，引导青少年群体自觉抵制有害出版物和信息，保护少年儿童健康成长</w:t>
            </w:r>
            <w:r>
              <w:rPr>
                <w:rFonts w:hint="eastAsia" w:ascii="仿宋_GB2312" w:hAnsi="仿宋_GB2312" w:eastAsia="仿宋_GB2312" w:cs="仿宋_GB2312"/>
                <w:bCs/>
                <w:color w:val="000000"/>
                <w:sz w:val="24"/>
                <w:lang w:eastAsia="zh-CN"/>
              </w:rPr>
              <w:t>。</w:t>
            </w:r>
          </w:p>
        </w:tc>
        <w:tc>
          <w:tcPr>
            <w:tcW w:w="13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
                <w:bCs/>
                <w:color w:val="0000FF"/>
                <w:sz w:val="24"/>
              </w:rPr>
            </w:pPr>
            <w:r>
              <w:rPr>
                <w:rFonts w:hint="eastAsia" w:ascii="仿宋_GB2312" w:hAnsi="仿宋_GB2312" w:eastAsia="仿宋_GB2312" w:cs="仿宋_GB2312"/>
                <w:bCs/>
                <w:color w:val="000000"/>
                <w:sz w:val="24"/>
              </w:rPr>
              <w:t>省委宣传部</w:t>
            </w:r>
          </w:p>
        </w:tc>
      </w:tr>
    </w:tbl>
    <w:p>
      <w:pPr>
        <w:spacing w:line="580" w:lineRule="exact"/>
        <w:jc w:val="left"/>
        <w:rPr>
          <w:rFonts w:ascii="黑体" w:hAnsi="黑体" w:eastAsia="黑体" w:cs="黑体"/>
          <w:color w:val="000000"/>
          <w:kern w:val="0"/>
          <w:sz w:val="32"/>
          <w:szCs w:val="32"/>
          <w:lang w:bidi="ar"/>
        </w:rPr>
      </w:pPr>
      <w:r>
        <w:rPr>
          <w:rFonts w:hint="eastAsia" w:ascii="黑体" w:hAnsi="黑体" w:eastAsia="黑体" w:cs="黑体"/>
          <w:sz w:val="32"/>
          <w:szCs w:val="32"/>
        </w:rPr>
        <w:br w:type="page"/>
      </w:r>
      <w:r>
        <w:rPr>
          <w:rFonts w:hint="eastAsia" w:ascii="黑体" w:hAnsi="黑体" w:eastAsia="黑体" w:cs="黑体"/>
          <w:color w:val="000000"/>
          <w:kern w:val="0"/>
          <w:sz w:val="32"/>
          <w:szCs w:val="32"/>
          <w:lang w:val="en-US" w:eastAsia="zh-CN" w:bidi="ar"/>
        </w:rPr>
        <w:t>三</w:t>
      </w:r>
      <w:r>
        <w:rPr>
          <w:rFonts w:hint="eastAsia" w:ascii="黑体" w:hAnsi="黑体" w:eastAsia="黑体" w:cs="黑体"/>
          <w:color w:val="000000"/>
          <w:kern w:val="0"/>
          <w:sz w:val="32"/>
          <w:szCs w:val="32"/>
          <w:lang w:bidi="ar"/>
        </w:rPr>
        <w:t xml:space="preserve">、采取“融入学校正常教育教学”方式的 </w:t>
      </w:r>
    </w:p>
    <w:tbl>
      <w:tblPr>
        <w:tblStyle w:val="3"/>
        <w:tblW w:w="14522" w:type="dxa"/>
        <w:jc w:val="center"/>
        <w:tblLayout w:type="fixed"/>
        <w:tblCellMar>
          <w:top w:w="0" w:type="dxa"/>
          <w:left w:w="0" w:type="dxa"/>
          <w:bottom w:w="0" w:type="dxa"/>
          <w:right w:w="0" w:type="dxa"/>
        </w:tblCellMar>
      </w:tblPr>
      <w:tblGrid>
        <w:gridCol w:w="590"/>
        <w:gridCol w:w="1727"/>
        <w:gridCol w:w="1117"/>
        <w:gridCol w:w="3830"/>
        <w:gridCol w:w="1392"/>
        <w:gridCol w:w="3015"/>
        <w:gridCol w:w="1200"/>
        <w:gridCol w:w="1651"/>
      </w:tblGrid>
      <w:tr>
        <w:tblPrEx>
          <w:tblCellMar>
            <w:top w:w="0" w:type="dxa"/>
            <w:left w:w="0" w:type="dxa"/>
            <w:bottom w:w="0" w:type="dxa"/>
            <w:right w:w="0" w:type="dxa"/>
          </w:tblCellMar>
        </w:tblPrEx>
        <w:trPr>
          <w:trHeight w:val="751" w:hRule="atLeast"/>
          <w:tblHeader/>
          <w:jc w:val="center"/>
        </w:trPr>
        <w:tc>
          <w:tcPr>
            <w:tcW w:w="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b w:val="0"/>
                <w:bCs w:val="0"/>
                <w:color w:val="000000"/>
                <w:kern w:val="0"/>
                <w:sz w:val="24"/>
                <w:lang w:bidi="ar"/>
              </w:rPr>
            </w:pPr>
            <w:r>
              <w:rPr>
                <w:rFonts w:hint="eastAsia" w:ascii="黑体" w:hAnsi="黑体" w:eastAsia="黑体" w:cs="黑体"/>
                <w:b w:val="0"/>
                <w:bCs w:val="0"/>
                <w:color w:val="000000"/>
                <w:kern w:val="0"/>
                <w:sz w:val="24"/>
                <w:lang w:bidi="ar"/>
              </w:rPr>
              <w:t>序号</w:t>
            </w:r>
          </w:p>
        </w:tc>
        <w:tc>
          <w:tcPr>
            <w:tcW w:w="1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b w:val="0"/>
                <w:bCs w:val="0"/>
                <w:color w:val="000000"/>
                <w:sz w:val="24"/>
              </w:rPr>
            </w:pPr>
            <w:r>
              <w:rPr>
                <w:rFonts w:hint="eastAsia" w:ascii="黑体" w:hAnsi="黑体" w:eastAsia="黑体" w:cs="黑体"/>
                <w:b w:val="0"/>
                <w:bCs w:val="0"/>
                <w:color w:val="000000"/>
                <w:kern w:val="0"/>
                <w:sz w:val="24"/>
                <w:lang w:bidi="ar"/>
              </w:rPr>
              <w:t>事项名称</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b w:val="0"/>
                <w:bCs w:val="0"/>
                <w:color w:val="000000"/>
                <w:sz w:val="24"/>
              </w:rPr>
            </w:pPr>
            <w:r>
              <w:rPr>
                <w:rFonts w:hint="eastAsia" w:ascii="黑体" w:hAnsi="黑体" w:eastAsia="黑体" w:cs="黑体"/>
                <w:b w:val="0"/>
                <w:bCs w:val="0"/>
                <w:color w:val="000000"/>
                <w:kern w:val="0"/>
                <w:sz w:val="24"/>
                <w:lang w:bidi="ar"/>
              </w:rPr>
              <w:t>开展时间</w:t>
            </w:r>
          </w:p>
        </w:tc>
        <w:tc>
          <w:tcPr>
            <w:tcW w:w="3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b w:val="0"/>
                <w:bCs w:val="0"/>
                <w:color w:val="000000"/>
                <w:sz w:val="24"/>
              </w:rPr>
            </w:pPr>
            <w:r>
              <w:rPr>
                <w:rFonts w:hint="eastAsia" w:ascii="黑体" w:hAnsi="黑体" w:eastAsia="黑体" w:cs="黑体"/>
                <w:b w:val="0"/>
                <w:bCs w:val="0"/>
                <w:color w:val="000000"/>
                <w:kern w:val="0"/>
                <w:sz w:val="24"/>
                <w:lang w:bidi="ar"/>
              </w:rPr>
              <w:t>开展依据</w:t>
            </w:r>
          </w:p>
        </w:tc>
        <w:tc>
          <w:tcPr>
            <w:tcW w:w="1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b w:val="0"/>
                <w:bCs w:val="0"/>
                <w:color w:val="000000"/>
                <w:sz w:val="24"/>
              </w:rPr>
            </w:pPr>
            <w:r>
              <w:rPr>
                <w:rFonts w:hint="eastAsia" w:ascii="黑体" w:hAnsi="黑体" w:eastAsia="黑体" w:cs="黑体"/>
                <w:b w:val="0"/>
                <w:bCs w:val="0"/>
                <w:color w:val="000000"/>
                <w:kern w:val="0"/>
                <w:sz w:val="24"/>
                <w:lang w:bidi="ar"/>
              </w:rPr>
              <w:t>开展形式</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b w:val="0"/>
                <w:bCs w:val="0"/>
                <w:color w:val="000000"/>
                <w:sz w:val="24"/>
              </w:rPr>
            </w:pPr>
            <w:r>
              <w:rPr>
                <w:rFonts w:hint="eastAsia" w:ascii="黑体" w:hAnsi="黑体" w:eastAsia="黑体" w:cs="黑体"/>
                <w:b w:val="0"/>
                <w:bCs w:val="0"/>
                <w:color w:val="000000"/>
                <w:kern w:val="0"/>
                <w:sz w:val="24"/>
                <w:lang w:bidi="ar"/>
              </w:rPr>
              <w:t>事项的主要内容</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b w:val="0"/>
                <w:bCs w:val="0"/>
                <w:color w:val="000000"/>
                <w:sz w:val="24"/>
              </w:rPr>
            </w:pPr>
            <w:r>
              <w:rPr>
                <w:rFonts w:hint="eastAsia" w:ascii="黑体" w:hAnsi="黑体" w:eastAsia="黑体" w:cs="黑体"/>
                <w:b w:val="0"/>
                <w:bCs w:val="0"/>
                <w:color w:val="000000"/>
                <w:kern w:val="0"/>
                <w:sz w:val="24"/>
                <w:lang w:bidi="ar"/>
              </w:rPr>
              <w:t>牵头单位</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textAlignment w:val="center"/>
              <w:rPr>
                <w:rFonts w:ascii="黑体" w:hAnsi="黑体" w:eastAsia="黑体" w:cs="黑体"/>
                <w:b w:val="0"/>
                <w:bCs w:val="0"/>
                <w:color w:val="000000"/>
                <w:sz w:val="24"/>
              </w:rPr>
            </w:pPr>
            <w:r>
              <w:rPr>
                <w:rFonts w:hint="eastAsia" w:ascii="黑体" w:hAnsi="黑体" w:eastAsia="黑体" w:cs="黑体"/>
                <w:b w:val="0"/>
                <w:bCs w:val="0"/>
                <w:color w:val="000000"/>
                <w:sz w:val="24"/>
              </w:rPr>
              <w:t>所融入的课程或教学活动</w:t>
            </w:r>
          </w:p>
        </w:tc>
      </w:tr>
      <w:tr>
        <w:tblPrEx>
          <w:tblCellMar>
            <w:top w:w="0" w:type="dxa"/>
            <w:left w:w="0" w:type="dxa"/>
            <w:bottom w:w="0" w:type="dxa"/>
            <w:right w:w="0" w:type="dxa"/>
          </w:tblCellMar>
        </w:tblPrEx>
        <w:trPr>
          <w:trHeight w:val="1520" w:hRule="atLeast"/>
          <w:jc w:val="center"/>
        </w:trPr>
        <w:tc>
          <w:tcPr>
            <w:tcW w:w="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w:t>
            </w:r>
          </w:p>
        </w:tc>
        <w:tc>
          <w:tcPr>
            <w:tcW w:w="1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民族团结进步</w:t>
            </w:r>
          </w:p>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创建</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sz w:val="24"/>
              </w:rPr>
            </w:pPr>
            <w:r>
              <w:rPr>
                <w:rFonts w:hint="eastAsia" w:ascii="仿宋_GB2312" w:hAnsi="仿宋_GB2312" w:eastAsia="仿宋_GB2312" w:cs="仿宋_GB2312"/>
                <w:bCs/>
                <w:color w:val="000000"/>
                <w:sz w:val="24"/>
              </w:rPr>
              <w:t>9月</w:t>
            </w:r>
          </w:p>
        </w:tc>
        <w:tc>
          <w:tcPr>
            <w:tcW w:w="3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《关于以铸牢中华民族共同体意识为主线 推进新时代党的民族工作高质量发展的意见》（中发〔2021〕37</w:t>
            </w:r>
            <w:r>
              <w:rPr>
                <w:rFonts w:hint="eastAsia" w:ascii="仿宋_GB2312" w:hAnsi="仿宋_GB2312" w:eastAsia="仿宋_GB2312" w:cs="仿宋_GB2312"/>
                <w:bCs/>
                <w:color w:val="000000"/>
                <w:sz w:val="24"/>
                <w:lang w:val="en-US" w:eastAsia="zh-CN"/>
              </w:rPr>
              <w:t>号</w:t>
            </w:r>
            <w:r>
              <w:rPr>
                <w:rFonts w:hint="eastAsia" w:ascii="仿宋_GB2312" w:hAnsi="仿宋_GB2312" w:eastAsia="仿宋_GB2312" w:cs="仿宋_GB2312"/>
                <w:bCs/>
                <w:color w:val="000000"/>
                <w:sz w:val="24"/>
              </w:rPr>
              <w:t>）</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《关于全面深入持久开展民族团结进步创建工作铸牢中华民族共同体意识的意见》（中办发〔2018〕65号）</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《深化新时代学校民族团结进步教育指导纲要》（教民〔2021〕1号）</w:t>
            </w:r>
          </w:p>
        </w:tc>
        <w:tc>
          <w:tcPr>
            <w:tcW w:w="1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创建示范学校、开展宣传教育、举办主题活动等</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深化铸牢中华民族共同体意识和民族团结宣传教育、促进各族学生交往交流交融、加强民族团结进步示范学校建设等</w:t>
            </w:r>
            <w:r>
              <w:rPr>
                <w:rFonts w:hint="eastAsia" w:ascii="仿宋_GB2312" w:hAnsi="仿宋_GB2312" w:eastAsia="仿宋_GB2312" w:cs="仿宋_GB2312"/>
                <w:bCs/>
                <w:color w:val="000000"/>
                <w:sz w:val="24"/>
                <w:lang w:eastAsia="zh-CN"/>
              </w:rPr>
              <w:t>。</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
                <w:bCs/>
                <w:color w:val="0000FF"/>
                <w:sz w:val="24"/>
              </w:rPr>
            </w:pPr>
            <w:r>
              <w:rPr>
                <w:rFonts w:hint="eastAsia" w:ascii="仿宋_GB2312" w:hAnsi="仿宋_GB2312" w:eastAsia="仿宋_GB2312" w:cs="仿宋_GB2312"/>
                <w:bCs/>
                <w:color w:val="000000"/>
                <w:sz w:val="24"/>
              </w:rPr>
              <w:t>省民族宗教委员会</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中小学道德与法治、地理、历史等课程和主题班会</w:t>
            </w:r>
            <w:r>
              <w:rPr>
                <w:rFonts w:hint="eastAsia" w:ascii="仿宋_GB2312" w:hAnsi="仿宋_GB2312" w:eastAsia="仿宋_GB2312" w:cs="仿宋_GB2312"/>
                <w:bCs/>
                <w:sz w:val="24"/>
                <w:lang w:eastAsia="zh-CN"/>
              </w:rPr>
              <w:t>。</w:t>
            </w:r>
          </w:p>
        </w:tc>
      </w:tr>
      <w:tr>
        <w:tblPrEx>
          <w:tblCellMar>
            <w:top w:w="0" w:type="dxa"/>
            <w:left w:w="0" w:type="dxa"/>
            <w:bottom w:w="0" w:type="dxa"/>
            <w:right w:w="0" w:type="dxa"/>
          </w:tblCellMar>
        </w:tblPrEx>
        <w:trPr>
          <w:trHeight w:val="420" w:hRule="atLeast"/>
          <w:jc w:val="center"/>
        </w:trPr>
        <w:tc>
          <w:tcPr>
            <w:tcW w:w="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w:t>
            </w:r>
          </w:p>
        </w:tc>
        <w:tc>
          <w:tcPr>
            <w:tcW w:w="1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国家版图知识</w:t>
            </w:r>
          </w:p>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进校园</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9月</w:t>
            </w:r>
          </w:p>
        </w:tc>
        <w:tc>
          <w:tcPr>
            <w:tcW w:w="3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《测绘法》</w:t>
            </w:r>
          </w:p>
        </w:tc>
        <w:tc>
          <w:tcPr>
            <w:tcW w:w="1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宣讲国家版图知识</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普及国家版图知识，提高全民国家版图意识</w:t>
            </w:r>
            <w:r>
              <w:rPr>
                <w:rFonts w:hint="eastAsia" w:ascii="仿宋_GB2312" w:hAnsi="仿宋_GB2312" w:eastAsia="仿宋_GB2312" w:cs="仿宋_GB2312"/>
                <w:bCs/>
                <w:color w:val="000000"/>
                <w:sz w:val="24"/>
                <w:lang w:eastAsia="zh-CN"/>
              </w:rPr>
              <w:t>。</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省自然</w:t>
            </w:r>
          </w:p>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
                <w:bCs/>
                <w:color w:val="0000FF"/>
                <w:sz w:val="24"/>
              </w:rPr>
            </w:pPr>
            <w:r>
              <w:rPr>
                <w:rFonts w:hint="eastAsia" w:ascii="仿宋_GB2312" w:hAnsi="仿宋_GB2312" w:eastAsia="仿宋_GB2312" w:cs="仿宋_GB2312"/>
                <w:bCs/>
                <w:color w:val="000000"/>
                <w:sz w:val="24"/>
              </w:rPr>
              <w:t>资源厅</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中小学道德与法治、地理课程</w:t>
            </w:r>
            <w:r>
              <w:rPr>
                <w:rFonts w:hint="eastAsia" w:ascii="仿宋_GB2312" w:hAnsi="仿宋_GB2312" w:eastAsia="仿宋_GB2312" w:cs="仿宋_GB2312"/>
                <w:color w:val="000000"/>
                <w:sz w:val="24"/>
                <w:lang w:eastAsia="zh-CN"/>
              </w:rPr>
              <w:t>。</w:t>
            </w:r>
          </w:p>
        </w:tc>
      </w:tr>
      <w:tr>
        <w:tblPrEx>
          <w:tblCellMar>
            <w:top w:w="0" w:type="dxa"/>
            <w:left w:w="0" w:type="dxa"/>
            <w:bottom w:w="0" w:type="dxa"/>
            <w:right w:w="0" w:type="dxa"/>
          </w:tblCellMar>
        </w:tblPrEx>
        <w:trPr>
          <w:trHeight w:val="1296" w:hRule="atLeast"/>
          <w:jc w:val="center"/>
        </w:trPr>
        <w:tc>
          <w:tcPr>
            <w:tcW w:w="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w:t>
            </w:r>
          </w:p>
        </w:tc>
        <w:tc>
          <w:tcPr>
            <w:tcW w:w="1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森林防火进校园</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sz w:val="24"/>
              </w:rPr>
              <w:t>随相关课程安排</w:t>
            </w:r>
          </w:p>
        </w:tc>
        <w:tc>
          <w:tcPr>
            <w:tcW w:w="3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hint="eastAsia" w:ascii="仿宋_GB2312" w:hAnsi="仿宋_GB2312" w:eastAsia="仿宋_GB2312" w:cs="仿宋_GB2312"/>
                <w:bCs/>
                <w:color w:val="000000"/>
                <w:sz w:val="24"/>
                <w:highlight w:val="none"/>
                <w:lang w:eastAsia="zh-CN"/>
              </w:rPr>
            </w:pPr>
            <w:r>
              <w:rPr>
                <w:rFonts w:hint="eastAsia" w:ascii="仿宋_GB2312" w:hAnsi="仿宋_GB2312" w:eastAsia="仿宋_GB2312" w:cs="仿宋_GB2312"/>
                <w:bCs/>
                <w:color w:val="000000"/>
                <w:sz w:val="24"/>
                <w:highlight w:val="none"/>
              </w:rPr>
              <w:t>《森林防火条例》《关于全面加强新形势下森林草原防灭火工作的意见》(</w:t>
            </w:r>
            <w:r>
              <w:rPr>
                <w:rFonts w:hint="default" w:ascii="仿宋_GB2312" w:hAnsi="仿宋_GB2312" w:eastAsia="仿宋_GB2312" w:cs="仿宋_GB2312"/>
                <w:bCs/>
                <w:color w:val="000000"/>
                <w:sz w:val="24"/>
                <w:highlight w:val="none"/>
              </w:rPr>
              <w:t>中办发〔2022〕60号</w:t>
            </w:r>
            <w:r>
              <w:rPr>
                <w:rFonts w:hint="eastAsia" w:ascii="仿宋_GB2312" w:hAnsi="仿宋_GB2312" w:eastAsia="仿宋_GB2312" w:cs="仿宋_GB2312"/>
                <w:bCs/>
                <w:color w:val="000000"/>
                <w:sz w:val="24"/>
                <w:highlight w:val="none"/>
                <w:lang w:eastAsia="zh-CN"/>
              </w:rPr>
              <w:t>）</w:t>
            </w:r>
          </w:p>
        </w:tc>
        <w:tc>
          <w:tcPr>
            <w:tcW w:w="1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校园宣传、宣讲，开展防火知识讲座</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宣讲森林防火知识、森林火灾逃生方法等</w:t>
            </w:r>
            <w:r>
              <w:rPr>
                <w:rFonts w:hint="eastAsia" w:ascii="仿宋_GB2312" w:hAnsi="仿宋_GB2312" w:eastAsia="仿宋_GB2312" w:cs="仿宋_GB2312"/>
                <w:bCs/>
                <w:color w:val="000000"/>
                <w:sz w:val="24"/>
                <w:lang w:eastAsia="zh-CN"/>
              </w:rPr>
              <w:t>。</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省自然</w:t>
            </w:r>
          </w:p>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
                <w:bCs/>
                <w:color w:val="0000FF"/>
                <w:sz w:val="24"/>
              </w:rPr>
            </w:pPr>
            <w:r>
              <w:rPr>
                <w:rFonts w:hint="eastAsia" w:ascii="仿宋_GB2312" w:hAnsi="仿宋_GB2312" w:eastAsia="仿宋_GB2312" w:cs="仿宋_GB2312"/>
                <w:bCs/>
                <w:color w:val="000000"/>
                <w:sz w:val="24"/>
              </w:rPr>
              <w:t>资源厅</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中小学安全教育地方课程</w:t>
            </w:r>
            <w:r>
              <w:rPr>
                <w:rFonts w:hint="eastAsia" w:ascii="仿宋_GB2312" w:hAnsi="仿宋_GB2312" w:eastAsia="仿宋_GB2312" w:cs="仿宋_GB2312"/>
                <w:color w:val="000000"/>
                <w:sz w:val="24"/>
                <w:lang w:eastAsia="zh-CN"/>
              </w:rPr>
              <w:t>。</w:t>
            </w:r>
          </w:p>
        </w:tc>
      </w:tr>
      <w:tr>
        <w:tblPrEx>
          <w:tblCellMar>
            <w:top w:w="0" w:type="dxa"/>
            <w:left w:w="0" w:type="dxa"/>
            <w:bottom w:w="0" w:type="dxa"/>
            <w:right w:w="0" w:type="dxa"/>
          </w:tblCellMar>
        </w:tblPrEx>
        <w:trPr>
          <w:trHeight w:val="1860" w:hRule="atLeast"/>
          <w:jc w:val="center"/>
        </w:trPr>
        <w:tc>
          <w:tcPr>
            <w:tcW w:w="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4</w:t>
            </w:r>
          </w:p>
        </w:tc>
        <w:tc>
          <w:tcPr>
            <w:tcW w:w="1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节水宣传进校园</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sz w:val="24"/>
              </w:rPr>
              <w:t>随相关课程安排</w:t>
            </w:r>
          </w:p>
        </w:tc>
        <w:tc>
          <w:tcPr>
            <w:tcW w:w="3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《山东省节约用水条例》</w:t>
            </w:r>
          </w:p>
        </w:tc>
        <w:tc>
          <w:tcPr>
            <w:tcW w:w="1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节水科普课</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普及节水知识，增强中小学生珍惜水资源、节约水资源、保护水资源的意识，在全社会营造良好的节水氛围</w:t>
            </w:r>
            <w:r>
              <w:rPr>
                <w:rFonts w:hint="eastAsia" w:ascii="仿宋_GB2312" w:hAnsi="仿宋_GB2312" w:eastAsia="仿宋_GB2312" w:cs="仿宋_GB2312"/>
                <w:bCs/>
                <w:color w:val="000000"/>
                <w:sz w:val="24"/>
                <w:lang w:eastAsia="zh-CN"/>
              </w:rPr>
              <w:t>。</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
                <w:bCs/>
                <w:color w:val="0000FF"/>
                <w:sz w:val="24"/>
              </w:rPr>
            </w:pPr>
            <w:r>
              <w:rPr>
                <w:rFonts w:hint="eastAsia" w:ascii="仿宋_GB2312" w:hAnsi="仿宋_GB2312" w:eastAsia="仿宋_GB2312" w:cs="仿宋_GB2312"/>
                <w:bCs/>
                <w:color w:val="000000"/>
                <w:sz w:val="24"/>
              </w:rPr>
              <w:t>省水利厅</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中小学生态环境教育地方课程。</w:t>
            </w:r>
          </w:p>
        </w:tc>
      </w:tr>
      <w:tr>
        <w:tblPrEx>
          <w:tblCellMar>
            <w:top w:w="0" w:type="dxa"/>
            <w:left w:w="0" w:type="dxa"/>
            <w:bottom w:w="0" w:type="dxa"/>
            <w:right w:w="0" w:type="dxa"/>
          </w:tblCellMar>
        </w:tblPrEx>
        <w:trPr>
          <w:trHeight w:val="2915" w:hRule="atLeast"/>
          <w:jc w:val="center"/>
        </w:trPr>
        <w:tc>
          <w:tcPr>
            <w:tcW w:w="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5</w:t>
            </w:r>
          </w:p>
        </w:tc>
        <w:tc>
          <w:tcPr>
            <w:tcW w:w="1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水土保持进校园</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sz w:val="24"/>
              </w:rPr>
              <w:t>随相关课程安排</w:t>
            </w:r>
          </w:p>
        </w:tc>
        <w:tc>
          <w:tcPr>
            <w:tcW w:w="3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hint="eastAsia" w:ascii="仿宋_GB2312" w:hAnsi="仿宋_GB2312" w:eastAsia="微软雅黑" w:cs="仿宋_GB2312"/>
                <w:bCs/>
                <w:color w:val="000000"/>
                <w:sz w:val="24"/>
                <w:highlight w:val="none"/>
                <w:lang w:eastAsia="zh-CN"/>
              </w:rPr>
            </w:pPr>
            <w:r>
              <w:rPr>
                <w:rFonts w:hint="eastAsia" w:ascii="仿宋_GB2312" w:hAnsi="仿宋_GB2312" w:eastAsia="仿宋_GB2312" w:cs="仿宋_GB2312"/>
                <w:bCs/>
                <w:color w:val="000000"/>
                <w:sz w:val="24"/>
                <w:highlight w:val="none"/>
              </w:rPr>
              <w:t>《中华人民共和国水土保持法》《中华人民共和国水土保持法释义》《关于加强新时代水土保持工作的意见》</w:t>
            </w:r>
            <w:r>
              <w:rPr>
                <w:rFonts w:hint="eastAsia" w:ascii="仿宋_GB2312" w:hAnsi="仿宋_GB2312" w:eastAsia="仿宋_GB2312" w:cs="仿宋_GB2312"/>
                <w:bCs/>
                <w:color w:val="000000"/>
                <w:sz w:val="24"/>
                <w:highlight w:val="none"/>
                <w:lang w:eastAsia="zh-CN"/>
              </w:rPr>
              <w:t>（</w:t>
            </w:r>
            <w:r>
              <w:rPr>
                <w:rFonts w:hint="eastAsia" w:ascii="仿宋_GB2312" w:hAnsi="仿宋_GB2312" w:eastAsia="仿宋_GB2312" w:cs="仿宋_GB2312"/>
                <w:bCs/>
                <w:color w:val="000000"/>
                <w:sz w:val="24"/>
                <w:highlight w:val="none"/>
              </w:rPr>
              <w:fldChar w:fldCharType="begin"/>
            </w:r>
            <w:r>
              <w:rPr>
                <w:rFonts w:hint="eastAsia" w:ascii="仿宋_GB2312" w:hAnsi="仿宋_GB2312" w:eastAsia="仿宋_GB2312" w:cs="仿宋_GB2312"/>
                <w:bCs/>
                <w:color w:val="000000"/>
                <w:sz w:val="24"/>
                <w:highlight w:val="none"/>
              </w:rPr>
              <w:instrText xml:space="preserve"> HYPERLINK "https://www.18ben.com/index/tiaomuview/id/javascript:void(0);" \o "复制编号" </w:instrText>
            </w:r>
            <w:r>
              <w:rPr>
                <w:rFonts w:hint="eastAsia" w:ascii="仿宋_GB2312" w:hAnsi="仿宋_GB2312" w:eastAsia="仿宋_GB2312" w:cs="仿宋_GB2312"/>
                <w:bCs/>
                <w:color w:val="000000"/>
                <w:sz w:val="24"/>
                <w:highlight w:val="none"/>
              </w:rPr>
              <w:fldChar w:fldCharType="separate"/>
            </w:r>
            <w:r>
              <w:rPr>
                <w:rFonts w:hint="eastAsia" w:ascii="仿宋_GB2312" w:hAnsi="仿宋_GB2312" w:eastAsia="仿宋_GB2312" w:cs="仿宋_GB2312"/>
                <w:bCs/>
                <w:color w:val="000000"/>
                <w:sz w:val="24"/>
                <w:highlight w:val="none"/>
              </w:rPr>
              <w:t>中办发〔202</w:t>
            </w:r>
            <w:r>
              <w:rPr>
                <w:rFonts w:hint="eastAsia" w:ascii="仿宋_GB2312" w:hAnsi="仿宋_GB2312" w:eastAsia="仿宋_GB2312" w:cs="仿宋_GB2312"/>
                <w:bCs/>
                <w:color w:val="000000"/>
                <w:sz w:val="24"/>
                <w:highlight w:val="none"/>
                <w:lang w:val="en-US" w:eastAsia="zh-CN"/>
              </w:rPr>
              <w:t>2</w:t>
            </w:r>
            <w:r>
              <w:rPr>
                <w:rFonts w:hint="eastAsia" w:ascii="仿宋_GB2312" w:hAnsi="仿宋_GB2312" w:eastAsia="仿宋_GB2312" w:cs="仿宋_GB2312"/>
                <w:bCs/>
                <w:color w:val="000000"/>
                <w:sz w:val="24"/>
                <w:highlight w:val="none"/>
              </w:rPr>
              <w:t>〕</w:t>
            </w:r>
            <w:r>
              <w:rPr>
                <w:rFonts w:hint="eastAsia" w:ascii="仿宋_GB2312" w:hAnsi="仿宋_GB2312" w:eastAsia="仿宋_GB2312" w:cs="仿宋_GB2312"/>
                <w:bCs/>
                <w:color w:val="000000"/>
                <w:sz w:val="24"/>
                <w:highlight w:val="none"/>
                <w:lang w:val="en-US" w:eastAsia="zh-CN"/>
              </w:rPr>
              <w:t>68</w:t>
            </w:r>
            <w:r>
              <w:rPr>
                <w:rFonts w:hint="eastAsia" w:ascii="仿宋_GB2312" w:hAnsi="仿宋_GB2312" w:eastAsia="仿宋_GB2312" w:cs="仿宋_GB2312"/>
                <w:bCs/>
                <w:color w:val="000000"/>
                <w:sz w:val="24"/>
                <w:highlight w:val="none"/>
              </w:rPr>
              <w:t>号</w:t>
            </w:r>
            <w:r>
              <w:rPr>
                <w:rFonts w:hint="eastAsia" w:ascii="仿宋_GB2312" w:hAnsi="仿宋_GB2312" w:eastAsia="仿宋_GB2312" w:cs="仿宋_GB2312"/>
                <w:bCs/>
                <w:color w:val="000000"/>
                <w:sz w:val="24"/>
                <w:highlight w:val="none"/>
              </w:rPr>
              <w:fldChar w:fldCharType="end"/>
            </w:r>
            <w:r>
              <w:rPr>
                <w:rFonts w:hint="eastAsia" w:ascii="仿宋_GB2312" w:hAnsi="仿宋_GB2312" w:eastAsia="仿宋_GB2312" w:cs="仿宋_GB2312"/>
                <w:bCs/>
                <w:color w:val="000000"/>
                <w:sz w:val="24"/>
                <w:highlight w:val="none"/>
                <w:lang w:eastAsia="zh-CN"/>
              </w:rPr>
              <w:t>）</w:t>
            </w:r>
          </w:p>
        </w:tc>
        <w:tc>
          <w:tcPr>
            <w:tcW w:w="1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科普宣讲</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通过科普知识进课堂、走进水土保持科普示范园、举办水土保持宣传教育类活动等方式，科普水土流失成因、危害，水土保持措施、成效等，宣传水土保持相关法律法规，增强水土保持理念</w:t>
            </w:r>
            <w:r>
              <w:rPr>
                <w:rFonts w:hint="eastAsia" w:ascii="仿宋_GB2312" w:hAnsi="仿宋_GB2312" w:eastAsia="仿宋_GB2312" w:cs="仿宋_GB2312"/>
                <w:bCs/>
                <w:color w:val="000000"/>
                <w:sz w:val="24"/>
                <w:lang w:eastAsia="zh-CN"/>
              </w:rPr>
              <w:t>。</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
                <w:bCs/>
                <w:color w:val="0000FF"/>
                <w:sz w:val="24"/>
              </w:rPr>
            </w:pPr>
            <w:r>
              <w:rPr>
                <w:rFonts w:hint="eastAsia" w:ascii="仿宋_GB2312" w:hAnsi="仿宋_GB2312" w:eastAsia="仿宋_GB2312" w:cs="仿宋_GB2312"/>
                <w:bCs/>
                <w:color w:val="000000"/>
                <w:sz w:val="24"/>
              </w:rPr>
              <w:t>省水利厅</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中小学生态环境教育地方课程。</w:t>
            </w:r>
          </w:p>
        </w:tc>
      </w:tr>
      <w:tr>
        <w:tblPrEx>
          <w:tblCellMar>
            <w:top w:w="0" w:type="dxa"/>
            <w:left w:w="0" w:type="dxa"/>
            <w:bottom w:w="0" w:type="dxa"/>
            <w:right w:w="0" w:type="dxa"/>
          </w:tblCellMar>
        </w:tblPrEx>
        <w:trPr>
          <w:trHeight w:val="2120" w:hRule="atLeast"/>
          <w:jc w:val="center"/>
        </w:trPr>
        <w:tc>
          <w:tcPr>
            <w:tcW w:w="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6</w:t>
            </w:r>
          </w:p>
        </w:tc>
        <w:tc>
          <w:tcPr>
            <w:tcW w:w="1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性别平等进校园</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color w:val="000000"/>
                <w:sz w:val="24"/>
              </w:rPr>
            </w:pPr>
            <w:r>
              <w:rPr>
                <w:rFonts w:hint="eastAsia" w:ascii="仿宋_GB2312" w:hAnsi="仿宋_GB2312" w:eastAsia="仿宋_GB2312" w:cs="仿宋_GB2312"/>
                <w:bCs/>
                <w:sz w:val="24"/>
              </w:rPr>
              <w:t>随相关课程安排</w:t>
            </w:r>
          </w:p>
        </w:tc>
        <w:tc>
          <w:tcPr>
            <w:tcW w:w="3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highlight w:val="none"/>
              </w:rPr>
              <w:t>《中国妇女发展纲要（2021-2030）》</w:t>
            </w:r>
            <w:r>
              <w:rPr>
                <w:rFonts w:hint="eastAsia" w:ascii="仿宋_GB2312" w:hAnsi="仿宋_GB2312" w:eastAsia="仿宋_GB2312" w:cs="仿宋_GB2312"/>
                <w:bCs/>
                <w:color w:val="000000"/>
                <w:sz w:val="24"/>
                <w:highlight w:val="none"/>
                <w:lang w:eastAsia="zh-CN"/>
              </w:rPr>
              <w:t>（</w:t>
            </w:r>
            <w:r>
              <w:rPr>
                <w:rFonts w:hint="eastAsia" w:ascii="仿宋_GB2312" w:hAnsi="仿宋_GB2312" w:eastAsia="仿宋_GB2312" w:cs="仿宋_GB2312"/>
                <w:bCs/>
                <w:color w:val="000000"/>
                <w:sz w:val="24"/>
                <w:highlight w:val="none"/>
              </w:rPr>
              <w:t>国发〔2021〕16号</w:t>
            </w:r>
            <w:r>
              <w:rPr>
                <w:rFonts w:hint="eastAsia" w:ascii="仿宋_GB2312" w:hAnsi="仿宋_GB2312" w:eastAsia="仿宋_GB2312" w:cs="仿宋_GB2312"/>
                <w:bCs/>
                <w:color w:val="000000"/>
                <w:sz w:val="24"/>
                <w:highlight w:val="none"/>
                <w:lang w:eastAsia="zh-CN"/>
              </w:rPr>
              <w:t>）、</w:t>
            </w:r>
            <w:r>
              <w:rPr>
                <w:rFonts w:hint="eastAsia" w:ascii="仿宋_GB2312" w:hAnsi="仿宋_GB2312" w:eastAsia="仿宋_GB2312" w:cs="仿宋_GB2312"/>
                <w:bCs/>
                <w:color w:val="000000"/>
                <w:sz w:val="24"/>
                <w:highlight w:val="none"/>
              </w:rPr>
              <w:t>《山东省“十四五”妇女发展规划》《山东省中小学性别平等教育指导大纲（试行）》（鲁妇儿工委办字〔2021〕10号）</w:t>
            </w:r>
          </w:p>
        </w:tc>
        <w:tc>
          <w:tcPr>
            <w:tcW w:w="1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性别平等教育专题课、融合课、实践课</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培养中小学生树立社会性别平等意识，养成性别平等行为习惯</w:t>
            </w:r>
            <w:r>
              <w:rPr>
                <w:rFonts w:hint="eastAsia" w:ascii="仿宋_GB2312" w:hAnsi="仿宋_GB2312" w:eastAsia="仿宋_GB2312" w:cs="仿宋_GB2312"/>
                <w:bCs/>
                <w:color w:val="000000"/>
                <w:sz w:val="24"/>
                <w:lang w:eastAsia="zh-CN"/>
              </w:rPr>
              <w:t>。</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省妇联（省妇儿工委办公室）</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中小学德育课程、主题班会以及校园文化活动。</w:t>
            </w:r>
          </w:p>
        </w:tc>
      </w:tr>
      <w:tr>
        <w:tblPrEx>
          <w:tblCellMar>
            <w:top w:w="0" w:type="dxa"/>
            <w:left w:w="0" w:type="dxa"/>
            <w:bottom w:w="0" w:type="dxa"/>
            <w:right w:w="0" w:type="dxa"/>
          </w:tblCellMar>
        </w:tblPrEx>
        <w:trPr>
          <w:trHeight w:val="2718" w:hRule="atLeast"/>
          <w:jc w:val="center"/>
        </w:trPr>
        <w:tc>
          <w:tcPr>
            <w:tcW w:w="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4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7</w:t>
            </w:r>
          </w:p>
        </w:tc>
        <w:tc>
          <w:tcPr>
            <w:tcW w:w="1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sz w:val="24"/>
              </w:rPr>
            </w:pPr>
            <w:r>
              <w:rPr>
                <w:rFonts w:hint="eastAsia" w:ascii="仿宋_GB2312" w:hAnsi="仿宋_GB2312" w:eastAsia="仿宋_GB2312" w:cs="仿宋_GB2312"/>
                <w:bCs/>
                <w:sz w:val="24"/>
              </w:rPr>
              <w:t>生活垃圾分类</w:t>
            </w:r>
            <w:r>
              <w:rPr>
                <w:rFonts w:hint="eastAsia" w:ascii="仿宋_GB2312" w:hAnsi="仿宋_GB2312" w:eastAsia="仿宋_GB2312" w:cs="仿宋_GB2312"/>
                <w:bCs/>
                <w:sz w:val="24"/>
                <w:lang w:val="en-US" w:eastAsia="zh-CN"/>
              </w:rPr>
              <w:t>知识</w:t>
            </w:r>
            <w:r>
              <w:rPr>
                <w:rFonts w:hint="eastAsia" w:ascii="仿宋_GB2312" w:hAnsi="仿宋_GB2312" w:eastAsia="仿宋_GB2312" w:cs="仿宋_GB2312"/>
                <w:bCs/>
                <w:sz w:val="24"/>
              </w:rPr>
              <w:t>进校园</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sz w:val="24"/>
              </w:rPr>
            </w:pPr>
            <w:r>
              <w:rPr>
                <w:rFonts w:hint="eastAsia" w:ascii="仿宋_GB2312" w:hAnsi="仿宋_GB2312" w:eastAsia="仿宋_GB2312" w:cs="仿宋_GB2312"/>
                <w:bCs/>
                <w:sz w:val="24"/>
              </w:rPr>
              <w:t>随相关课程安排</w:t>
            </w:r>
          </w:p>
        </w:tc>
        <w:tc>
          <w:tcPr>
            <w:tcW w:w="3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ascii="仿宋_GB2312" w:hAnsi="仿宋_GB2312" w:eastAsia="仿宋_GB2312" w:cs="仿宋_GB2312"/>
                <w:bCs/>
                <w:sz w:val="24"/>
              </w:rPr>
            </w:pP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rPr>
              <w:t>住房和城乡建设部、中央宣传部、中央文明办、教育部等部门印发</w:t>
            </w:r>
            <w:r>
              <w:rPr>
                <w:rFonts w:hint="eastAsia" w:ascii="仿宋_GB2312" w:hAnsi="仿宋_GB2312" w:eastAsia="仿宋_GB2312" w:cs="仿宋_GB2312"/>
                <w:bCs/>
                <w:sz w:val="24"/>
                <w:lang w:val="en-US" w:eastAsia="zh-CN"/>
              </w:rPr>
              <w:t>&lt;</w:t>
            </w:r>
            <w:r>
              <w:rPr>
                <w:rFonts w:hint="eastAsia" w:ascii="仿宋_GB2312" w:hAnsi="仿宋_GB2312" w:eastAsia="仿宋_GB2312" w:cs="仿宋_GB2312"/>
                <w:bCs/>
                <w:sz w:val="24"/>
              </w:rPr>
              <w:t>关于进一步推进生活垃圾分类工作的若干意见</w:t>
            </w:r>
            <w:r>
              <w:rPr>
                <w:rFonts w:hint="eastAsia" w:ascii="仿宋_GB2312" w:hAnsi="仿宋_GB2312" w:eastAsia="仿宋_GB2312" w:cs="仿宋_GB2312"/>
                <w:bCs/>
                <w:sz w:val="24"/>
                <w:lang w:val="en-US" w:eastAsia="zh-CN"/>
              </w:rPr>
              <w:t>&gt;</w:t>
            </w:r>
            <w:r>
              <w:rPr>
                <w:rFonts w:hint="eastAsia" w:ascii="仿宋_GB2312" w:hAnsi="仿宋_GB2312" w:eastAsia="仿宋_GB2312" w:cs="仿宋_GB2312"/>
                <w:bCs/>
                <w:sz w:val="24"/>
              </w:rPr>
              <w:t>的通知</w:t>
            </w: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rPr>
              <w:t>（建城〔2020〕93号）</w:t>
            </w: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rPr>
              <w:t>《教育部办公厅等六部门关于在学校推进生活垃圾分类管理工作的通知》（教发厅〔2018〕2号）</w:t>
            </w:r>
          </w:p>
        </w:tc>
        <w:tc>
          <w:tcPr>
            <w:tcW w:w="1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ascii="仿宋_GB2312" w:hAnsi="仿宋_GB2312" w:eastAsia="仿宋_GB2312" w:cs="仿宋_GB2312"/>
                <w:bCs/>
                <w:sz w:val="24"/>
              </w:rPr>
            </w:pPr>
            <w:r>
              <w:rPr>
                <w:rFonts w:hint="eastAsia" w:ascii="仿宋_GB2312" w:hAnsi="仿宋_GB2312" w:eastAsia="仿宋_GB2312" w:cs="仿宋_GB2312"/>
                <w:bCs/>
                <w:sz w:val="24"/>
              </w:rPr>
              <w:t>与学校相关内容结合融入为主，将生活垃圾分类纳入各级各类学校教育内容</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依托各级少先队、学校团组织等开展垃圾分类知识普及和社会实践活动，支持有条件的学校建立生活垃圾分类教师和青少年志愿服务队</w:t>
            </w:r>
            <w:r>
              <w:rPr>
                <w:rFonts w:hint="eastAsia" w:ascii="仿宋_GB2312" w:hAnsi="仿宋_GB2312" w:eastAsia="仿宋_GB2312" w:cs="仿宋_GB2312"/>
                <w:bCs/>
                <w:sz w:val="24"/>
                <w:lang w:eastAsia="zh-CN"/>
              </w:rPr>
              <w:t>。</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省住房城乡建设厅</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中小学生态环境地方课程、相关学校课程。</w:t>
            </w:r>
          </w:p>
        </w:tc>
      </w:tr>
      <w:tr>
        <w:tblPrEx>
          <w:tblCellMar>
            <w:top w:w="0" w:type="dxa"/>
            <w:left w:w="0" w:type="dxa"/>
            <w:bottom w:w="0" w:type="dxa"/>
            <w:right w:w="0" w:type="dxa"/>
          </w:tblCellMar>
        </w:tblPrEx>
        <w:trPr>
          <w:trHeight w:val="2390" w:hRule="atLeast"/>
          <w:jc w:val="center"/>
        </w:trPr>
        <w:tc>
          <w:tcPr>
            <w:tcW w:w="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4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8</w:t>
            </w:r>
          </w:p>
        </w:tc>
        <w:tc>
          <w:tcPr>
            <w:tcW w:w="1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sz w:val="24"/>
              </w:rPr>
            </w:pPr>
            <w:r>
              <w:rPr>
                <w:rFonts w:hint="eastAsia" w:ascii="仿宋_GB2312" w:hAnsi="仿宋_GB2312" w:eastAsia="仿宋_GB2312" w:cs="仿宋_GB2312"/>
                <w:bCs/>
                <w:sz w:val="24"/>
              </w:rPr>
              <w:t>“童声里的中国”合唱活动</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ascii="仿宋_GB2312" w:hAnsi="仿宋_GB2312" w:eastAsia="仿宋_GB2312" w:cs="仿宋_GB2312"/>
                <w:bCs/>
                <w:sz w:val="24"/>
              </w:rPr>
            </w:pPr>
            <w:r>
              <w:rPr>
                <w:rFonts w:hint="eastAsia" w:ascii="仿宋_GB2312" w:hAnsi="仿宋_GB2312" w:eastAsia="仿宋_GB2312" w:cs="仿宋_GB2312"/>
                <w:bCs/>
                <w:sz w:val="24"/>
              </w:rPr>
              <w:t>6月</w:t>
            </w:r>
          </w:p>
        </w:tc>
        <w:tc>
          <w:tcPr>
            <w:tcW w:w="3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hint="default" w:ascii="仿宋_GB2312" w:hAnsi="仿宋_GB2312" w:eastAsia="仿宋_GB2312" w:cs="仿宋_GB2312"/>
                <w:bCs/>
                <w:sz w:val="24"/>
                <w:lang w:val="en-US"/>
              </w:rPr>
            </w:pP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rPr>
              <w:t>中央精神文明建设办公室等</w:t>
            </w:r>
            <w:r>
              <w:rPr>
                <w:rFonts w:hint="eastAsia" w:ascii="仿宋_GB2312" w:hAnsi="仿宋_GB2312" w:eastAsia="仿宋_GB2312" w:cs="仿宋_GB2312"/>
                <w:bCs/>
                <w:sz w:val="24"/>
                <w:lang w:val="en-US" w:eastAsia="zh-CN"/>
              </w:rPr>
              <w:t>部门</w:t>
            </w:r>
            <w:r>
              <w:rPr>
                <w:rFonts w:hint="eastAsia" w:ascii="仿宋_GB2312" w:hAnsi="仿宋_GB2312" w:eastAsia="仿宋_GB2312" w:cs="仿宋_GB2312"/>
                <w:bCs/>
                <w:sz w:val="24"/>
              </w:rPr>
              <w:t>关于开展“童声里</w:t>
            </w:r>
            <w:r>
              <w:rPr>
                <w:rFonts w:hint="eastAsia" w:ascii="仿宋_GB2312" w:hAnsi="仿宋_GB2312" w:eastAsia="仿宋_GB2312" w:cs="仿宋_GB2312"/>
                <w:bCs/>
                <w:sz w:val="24"/>
                <w:highlight w:val="none"/>
              </w:rPr>
              <w:t>的中国”全国少年儿童合唱活动的通知</w:t>
            </w:r>
            <w:r>
              <w:rPr>
                <w:rFonts w:hint="eastAsia" w:ascii="仿宋_GB2312" w:hAnsi="仿宋_GB2312" w:eastAsia="仿宋_GB2312" w:cs="仿宋_GB2312"/>
                <w:bCs/>
                <w:sz w:val="24"/>
                <w:highlight w:val="none"/>
                <w:lang w:eastAsia="zh-CN"/>
              </w:rPr>
              <w:t>》（</w:t>
            </w:r>
            <w:r>
              <w:rPr>
                <w:rFonts w:hint="eastAsia" w:ascii="仿宋_GB2312" w:hAnsi="仿宋_GB2312" w:eastAsia="仿宋_GB2312" w:cs="仿宋_GB2312"/>
                <w:bCs/>
                <w:sz w:val="24"/>
                <w:highlight w:val="none"/>
                <w:lang w:val="en-US" w:eastAsia="zh-CN"/>
              </w:rPr>
              <w:t>文明办发</w:t>
            </w:r>
            <w:r>
              <w:rPr>
                <w:rFonts w:hint="eastAsia" w:ascii="仿宋_GB2312" w:hAnsi="仿宋_GB2312" w:eastAsia="仿宋_GB2312" w:cs="仿宋_GB2312"/>
                <w:bCs/>
                <w:sz w:val="24"/>
                <w:highlight w:val="none"/>
              </w:rPr>
              <w:t>〔20</w:t>
            </w:r>
            <w:r>
              <w:rPr>
                <w:rFonts w:hint="eastAsia" w:ascii="仿宋_GB2312" w:hAnsi="仿宋_GB2312" w:eastAsia="仿宋_GB2312" w:cs="仿宋_GB2312"/>
                <w:bCs/>
                <w:sz w:val="24"/>
                <w:highlight w:val="none"/>
                <w:lang w:val="en-US" w:eastAsia="zh-CN"/>
              </w:rPr>
              <w:t>24</w:t>
            </w:r>
            <w:r>
              <w:rPr>
                <w:rFonts w:hint="eastAsia" w:ascii="仿宋_GB2312" w:hAnsi="仿宋_GB2312" w:eastAsia="仿宋_GB2312" w:cs="仿宋_GB2312"/>
                <w:bCs/>
                <w:sz w:val="24"/>
                <w:highlight w:val="none"/>
              </w:rPr>
              <w:t>〕</w:t>
            </w:r>
            <w:r>
              <w:rPr>
                <w:rFonts w:hint="eastAsia" w:ascii="仿宋_GB2312" w:hAnsi="仿宋_GB2312" w:eastAsia="仿宋_GB2312" w:cs="仿宋_GB2312"/>
                <w:bCs/>
                <w:sz w:val="24"/>
                <w:highlight w:val="none"/>
                <w:lang w:val="en-US" w:eastAsia="zh-CN"/>
              </w:rPr>
              <w:t>3</w:t>
            </w:r>
            <w:r>
              <w:rPr>
                <w:rFonts w:hint="eastAsia" w:ascii="仿宋_GB2312" w:hAnsi="仿宋_GB2312" w:eastAsia="仿宋_GB2312" w:cs="仿宋_GB2312"/>
                <w:bCs/>
                <w:sz w:val="24"/>
                <w:highlight w:val="none"/>
              </w:rPr>
              <w:t>号</w:t>
            </w:r>
            <w:r>
              <w:rPr>
                <w:rFonts w:hint="eastAsia" w:ascii="仿宋_GB2312" w:hAnsi="仿宋_GB2312" w:eastAsia="仿宋_GB2312" w:cs="仿宋_GB2312"/>
                <w:bCs/>
                <w:sz w:val="24"/>
                <w:highlight w:val="none"/>
                <w:lang w:eastAsia="zh-CN"/>
              </w:rPr>
              <w:t>）</w:t>
            </w:r>
          </w:p>
        </w:tc>
        <w:tc>
          <w:tcPr>
            <w:tcW w:w="1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ascii="仿宋_GB2312" w:hAnsi="仿宋_GB2312" w:eastAsia="仿宋_GB2312" w:cs="仿宋_GB2312"/>
                <w:bCs/>
                <w:sz w:val="24"/>
              </w:rPr>
            </w:pPr>
            <w:r>
              <w:rPr>
                <w:rFonts w:hint="eastAsia" w:ascii="仿宋_GB2312" w:hAnsi="仿宋_GB2312" w:eastAsia="仿宋_GB2312" w:cs="仿宋_GB2312"/>
                <w:bCs/>
                <w:sz w:val="24"/>
              </w:rPr>
              <w:t>儿童合唱、艺术展示</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jc w:val="left"/>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组织广大少年儿童传唱歌颂党、歌颂祖国、歌颂中华民族、歌颂家乡的优秀歌曲，唱响爱党爱国爱社会主义的时代主旋律</w:t>
            </w:r>
            <w:r>
              <w:rPr>
                <w:rFonts w:hint="eastAsia" w:ascii="仿宋_GB2312" w:hAnsi="仿宋_GB2312" w:eastAsia="仿宋_GB2312" w:cs="仿宋_GB2312"/>
                <w:bCs/>
                <w:sz w:val="24"/>
                <w:lang w:eastAsia="zh-CN"/>
              </w:rPr>
              <w:t>。</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ascii="仿宋_GB2312" w:hAnsi="仿宋_GB2312" w:eastAsia="仿宋_GB2312" w:cs="仿宋_GB2312"/>
                <w:bCs/>
                <w:sz w:val="24"/>
              </w:rPr>
            </w:pPr>
            <w:r>
              <w:rPr>
                <w:rFonts w:hint="eastAsia" w:ascii="仿宋_GB2312" w:hAnsi="仿宋_GB2312" w:eastAsia="仿宋_GB2312" w:cs="仿宋_GB2312"/>
                <w:bCs/>
                <w:sz w:val="24"/>
              </w:rPr>
              <w:t>省委宣传部</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4" w:lineRule="exact"/>
              <w:textAlignment w:val="auto"/>
              <w:rPr>
                <w:rFonts w:ascii="仿宋_GB2312" w:hAnsi="仿宋_GB2312" w:eastAsia="仿宋_GB2312" w:cs="仿宋_GB2312"/>
                <w:bCs/>
                <w:sz w:val="24"/>
              </w:rPr>
            </w:pPr>
            <w:r>
              <w:rPr>
                <w:rFonts w:hint="eastAsia" w:ascii="仿宋_GB2312" w:hAnsi="仿宋_GB2312" w:eastAsia="仿宋_GB2312" w:cs="仿宋_GB2312"/>
                <w:bCs/>
                <w:sz w:val="24"/>
              </w:rPr>
              <w:t>中小学音乐课程、主题班会、校园文化及相关学校课程活动。</w:t>
            </w:r>
          </w:p>
        </w:tc>
      </w:tr>
    </w:tbl>
    <w:p>
      <w:pPr>
        <w:rPr>
          <w:rFonts w:hint="eastAsia"/>
        </w:rPr>
      </w:pPr>
    </w:p>
    <w:p>
      <w:pPr>
        <w:rPr>
          <w:rFonts w:hint="eastAsia"/>
        </w:rPr>
      </w:pPr>
    </w:p>
    <w:p/>
    <w:sectPr>
      <w:footerReference r:id="rId3" w:type="default"/>
      <w:footerReference r:id="rId4" w:type="even"/>
      <w:pgSz w:w="16838" w:h="11906" w:orient="landscape"/>
      <w:pgMar w:top="1531" w:right="2041" w:bottom="1531" w:left="1985" w:header="851" w:footer="1247" w:gutter="0"/>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pBdr>
        <w:between w:val="none" w:color="auto" w:sz="0" w:space="0"/>
      </w:pBdr>
      <w:ind w:left="315" w:leftChars="150" w:right="315" w:rightChars="150"/>
      <w:rPr>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Style w:val="5"/>
        <w:rFonts w:hint="default" w:ascii="Times New Roman" w:hAnsi="Times New Roman" w:cs="Times New Roman"/>
        <w:sz w:val="28"/>
        <w:szCs w:val="28"/>
      </w:rPr>
      <w:instrText xml:space="preserve"> PAGE  </w:instrText>
    </w:r>
    <w:r>
      <w:rPr>
        <w:rFonts w:hint="default" w:ascii="Times New Roman" w:hAnsi="Times New Roman" w:cs="Times New Roman"/>
        <w:sz w:val="28"/>
        <w:szCs w:val="28"/>
      </w:rPr>
      <w:fldChar w:fldCharType="separate"/>
    </w:r>
    <w:r>
      <w:rPr>
        <w:rStyle w:val="5"/>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B05256"/>
    <w:rsid w:val="0AEE5859"/>
    <w:rsid w:val="131A0C81"/>
    <w:rsid w:val="2FB05256"/>
    <w:rsid w:val="5B197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2024-06-14T08:28:00Z</dcterms:created>
  <dc:creator>z</dc:creator>
  <cp:lastModifiedBy>z</cp:lastModifiedBy>
  <dcterms:modified xsi:type="dcterms:W3CDTF">2024-06-14T08:28:55Z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