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临沂职业学院</w:t>
      </w: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2019年注册入学招生章程</w:t>
      </w:r>
    </w:p>
    <w:p>
      <w:pPr>
        <w:rPr>
          <w:rFonts w:hint="eastAsia"/>
        </w:rPr>
      </w:pPr>
    </w:p>
    <w:p>
      <w:pPr>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为做好201</w:t>
      </w:r>
      <w:r>
        <w:rPr>
          <w:rFonts w:hint="eastAsia" w:ascii="仿宋" w:hAnsi="仿宋" w:eastAsia="仿宋" w:cs="仿宋"/>
          <w:sz w:val="32"/>
          <w:szCs w:val="32"/>
          <w:lang w:val="en-US" w:eastAsia="zh-CN"/>
        </w:rPr>
        <w:t>9</w:t>
      </w:r>
      <w:r>
        <w:rPr>
          <w:rFonts w:hint="eastAsia" w:ascii="仿宋" w:hAnsi="仿宋" w:eastAsia="仿宋" w:cs="仿宋"/>
          <w:sz w:val="32"/>
          <w:szCs w:val="32"/>
        </w:rPr>
        <w:t>年注册入学招生工作，根据《山东省教育厅关于做好2019年专科（高职）注册入学招生工作的通知》，本着公开、公平、公正原则，特制定本章程。</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一、学院简介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（一）学院基本信息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学院全称：临沂职业学院</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学院代码：14195</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学院地址：山东省临沂市罗庄区湖东路63号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邮政编码：276017</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办学层次：高职（专科）</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办学类型：公办普通高等职业学院</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学院批准成立时间：2008年3月25日经山东省人民政府批准成立(批准文号为鲁政字[2008]78号)，2008年4月8日在国家教育部备案。</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（二） 办学基本条件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 地理环境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学院坐落在风景秀美、人文荟萃的历史文化名城、商贸物流之都、滨水生态之城、红色旅游城市、全国文明城市山东省临沂市。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 办学设施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临沂职业学院成立于2008年，学院主校区占地 511亩，建筑总面积18万平方米。</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现有固定资产总值2.24亿元，馆藏图书33.7万余册，电子图书15万册，仪器设备总值6500多万元。建有商贸物流、财务会计、建筑工程与管理、机械制造、电子信息、艺术设计、公共管理、餐饮旅游等8大类实训中心、123个校内实验实训室，拥有五轴联动加工中心、数控铣床、车削中心、航空模拟舱等各类先进实训设备4630台套，可开展248个实习实训项目和3大类21个工种的职业技能鉴定培训。拥有先进的多媒体教室、视听阅览室、多功能语音室、网络直播课堂等现代化教学设施，建有标准塑胶跑道、足球场、网球场、羽毛球场和体育馆等现代化体育设施。校内绿树成荫，环境优雅，文体活动纷呈，成才氛围浓厚，是莘莘学子求知成才的理想园地。</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 师资队伍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学院拥有一支以国家级和省级专业带头人、教学能手为骨干的教学科研队伍，现有教职工556人（含长期聘用教师80人），其中教授21人、副教授148人，硕士研究生以上学位185人，“双师型”教师183人，，国家、省、市级优秀教师、教学能手23人、劳动模范5人、首席技师3人，全国技术能手1人，振兴沂蒙劳动奖章获得者6人，享受省政府特殊津贴专家1人，山东省高等院校教育专家4人，临沂市社会科学专家库专家11人。省市级优秀教学团队4个，校外兼职教师93人。</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 院系设置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学院设有会计金融学院、商贸物流学院、机电工程学院、现代服务学院、建筑工程学院、信息工程学院六个二级学院。</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 办学理念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学院秉承“厚德强技，知行合一”的校训精神，采用素质教育、技能教育两条主线，公共课、专业课、拓展课三个平台，校内、校外两个实训基地，教、学、做、赛、研、创六位一体的“2326”人才培养模式，大力实施订单教育，积极探索现代学徒制育人模式，与300多家省内外知名企业和多所国内外知名院校达成校企、校际合作协议，在专业设置、课程开发、师资培训、人才培养、招生就业、资源共享等方面实现优势互补、互利共赢。形成了“5+3”、“3+2”一专多能人才培养特色、“O2O”线上理论学习与线下技能实践相结合教学特色、“中-高-本” 系统人才培养特色、“红色文化+工匠精神”校园文化特色。</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面向未来，临沂职业学院将坚持“围绕产业转，围绕就业干，围绕社会需求办”办学理念和“严管、善教、乐学”的育人理念，不断强化内涵建设，努力把学校建设成为具有鲜明特色和重要影响力的国内知名、省内一流高职院校。</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 招生就业情况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学院高度重视招生就业工作，成立招生就业工作领导小组，统筹安排招生就业工作。学院积极为毕业生和用人单位牵线搭桥，与山东临工集团、天元建设集团、鲁南制药集团、远通汽贸集团、蓝海国际大酒店、正科集团、中瑞电子、青岛海尔、青岛海信、鲁商集团、立晨物流集团、经信物流集团、新华印刷物流公司、华盛中天集团、沂州水泥集团、华盛江泉集团等百余家大型企业建立了人才培养合作关系，每年组织2次以上校园招聘会和多次专场招聘会。</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二、组织机构与职责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学院根据省教育厅有关规定，成立由学院党委书记、院长任组长、分管院长任副组长和有关部门负责人任成员的“临沂职业学院201</w:t>
      </w:r>
      <w:r>
        <w:rPr>
          <w:rFonts w:hint="eastAsia" w:ascii="仿宋" w:hAnsi="仿宋" w:eastAsia="仿宋" w:cs="仿宋"/>
          <w:sz w:val="32"/>
          <w:szCs w:val="32"/>
          <w:lang w:val="en-US" w:eastAsia="zh-CN"/>
        </w:rPr>
        <w:t>9</w:t>
      </w:r>
      <w:r>
        <w:rPr>
          <w:rFonts w:hint="eastAsia" w:ascii="仿宋" w:hAnsi="仿宋" w:eastAsia="仿宋" w:cs="仿宋"/>
          <w:sz w:val="32"/>
          <w:szCs w:val="32"/>
        </w:rPr>
        <w:t>年注册入学招生工作领导小组”，负责招生工作的有关政策，执行学院有关招生工作决议，研究制定学院有关招生工作规定，监督招生工作的具体实施，并做好考生信访接待工作及负责招生情况的解释和遗留问题的处理，接受社会监督，确保公平公正。</w:t>
      </w:r>
    </w:p>
    <w:p>
      <w:pPr>
        <w:rPr>
          <w:rFonts w:hint="eastAsia" w:ascii="仿宋" w:hAnsi="仿宋" w:eastAsia="仿宋" w:cs="仿宋"/>
          <w:sz w:val="32"/>
          <w:szCs w:val="32"/>
        </w:rPr>
      </w:pPr>
      <w:r>
        <w:rPr>
          <w:rFonts w:hint="eastAsia" w:ascii="仿宋" w:hAnsi="仿宋" w:eastAsia="仿宋" w:cs="仿宋"/>
          <w:sz w:val="32"/>
          <w:szCs w:val="32"/>
        </w:rPr>
        <w:t xml:space="preserve">组  长：徐化国、刘  磊      </w:t>
      </w:r>
    </w:p>
    <w:p>
      <w:pPr>
        <w:rPr>
          <w:rFonts w:hint="eastAsia" w:ascii="仿宋" w:hAnsi="仿宋" w:eastAsia="仿宋" w:cs="仿宋"/>
          <w:sz w:val="32"/>
          <w:szCs w:val="32"/>
        </w:rPr>
      </w:pPr>
      <w:r>
        <w:rPr>
          <w:rFonts w:hint="eastAsia" w:ascii="仿宋" w:hAnsi="仿宋" w:eastAsia="仿宋" w:cs="仿宋"/>
          <w:sz w:val="32"/>
          <w:szCs w:val="32"/>
        </w:rPr>
        <w:t>副组长：张金祥、滕向红</w:t>
      </w:r>
    </w:p>
    <w:p>
      <w:pPr>
        <w:rPr>
          <w:rFonts w:hint="eastAsia" w:ascii="仿宋" w:hAnsi="仿宋" w:eastAsia="仿宋" w:cs="仿宋"/>
          <w:sz w:val="32"/>
          <w:szCs w:val="32"/>
        </w:rPr>
      </w:pPr>
      <w:r>
        <w:rPr>
          <w:rFonts w:hint="eastAsia" w:ascii="仿宋" w:hAnsi="仿宋" w:eastAsia="仿宋" w:cs="仿宋"/>
          <w:sz w:val="32"/>
          <w:szCs w:val="32"/>
        </w:rPr>
        <w:t>成  员：尤洪举、谢宗强、王茂坤、程运申、朱永君、赵儒林、张传亮、刘明远、</w:t>
      </w:r>
      <w:r>
        <w:rPr>
          <w:rFonts w:hint="eastAsia" w:ascii="仿宋" w:hAnsi="仿宋" w:eastAsia="仿宋" w:cs="仿宋"/>
          <w:sz w:val="32"/>
          <w:szCs w:val="32"/>
          <w:lang w:eastAsia="zh-CN"/>
        </w:rPr>
        <w:t>宁良强、</w:t>
      </w:r>
      <w:r>
        <w:rPr>
          <w:rFonts w:hint="eastAsia" w:ascii="仿宋" w:hAnsi="仿宋" w:eastAsia="仿宋" w:cs="仿宋"/>
          <w:sz w:val="32"/>
          <w:szCs w:val="32"/>
        </w:rPr>
        <w:t>张洪忠、</w:t>
      </w:r>
      <w:r>
        <w:rPr>
          <w:rFonts w:hint="eastAsia" w:ascii="仿宋" w:hAnsi="仿宋" w:eastAsia="仿宋" w:cs="仿宋"/>
          <w:sz w:val="32"/>
          <w:szCs w:val="32"/>
          <w:lang w:eastAsia="zh-CN"/>
        </w:rPr>
        <w:t>李凤祥、</w:t>
      </w:r>
      <w:r>
        <w:rPr>
          <w:rFonts w:hint="eastAsia" w:ascii="仿宋" w:hAnsi="仿宋" w:eastAsia="仿宋" w:cs="仿宋"/>
          <w:sz w:val="32"/>
          <w:szCs w:val="32"/>
        </w:rPr>
        <w:t>张运良</w:t>
      </w:r>
    </w:p>
    <w:p>
      <w:pPr>
        <w:rPr>
          <w:rFonts w:hint="eastAsia" w:ascii="仿宋" w:hAnsi="仿宋" w:eastAsia="仿宋" w:cs="仿宋"/>
          <w:sz w:val="32"/>
          <w:szCs w:val="32"/>
        </w:rPr>
      </w:pPr>
      <w:r>
        <w:rPr>
          <w:rFonts w:hint="eastAsia" w:ascii="仿宋" w:hAnsi="仿宋" w:eastAsia="仿宋" w:cs="仿宋"/>
          <w:sz w:val="32"/>
          <w:szCs w:val="32"/>
        </w:rPr>
        <w:t>工作领导小组下设办公室，王茂坤任办公室主任，学院招生办公室负责招生录取等日常工作。</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三、招生专业与计划</w:t>
      </w:r>
    </w:p>
    <w:p>
      <w:pPr>
        <w:ind w:firstLine="560"/>
        <w:rPr>
          <w:rFonts w:hint="eastAsia" w:ascii="仿宋" w:hAnsi="仿宋" w:eastAsia="仿宋" w:cs="仿宋"/>
          <w:sz w:val="32"/>
          <w:szCs w:val="32"/>
        </w:rPr>
      </w:pPr>
      <w:r>
        <w:rPr>
          <w:rFonts w:hint="eastAsia" w:ascii="仿宋" w:hAnsi="仿宋" w:eastAsia="仿宋" w:cs="仿宋"/>
          <w:sz w:val="32"/>
          <w:szCs w:val="32"/>
        </w:rPr>
        <w:t>我院注册入学共有</w:t>
      </w:r>
      <w:r>
        <w:rPr>
          <w:rFonts w:hint="eastAsia" w:ascii="仿宋" w:hAnsi="仿宋" w:eastAsia="仿宋" w:cs="仿宋"/>
          <w:sz w:val="32"/>
          <w:szCs w:val="32"/>
          <w:lang w:val="en-US" w:eastAsia="zh-CN"/>
        </w:rPr>
        <w:t>19</w:t>
      </w:r>
      <w:r>
        <w:rPr>
          <w:rFonts w:hint="eastAsia" w:ascii="仿宋" w:hAnsi="仿宋" w:eastAsia="仿宋" w:cs="仿宋"/>
          <w:sz w:val="32"/>
          <w:szCs w:val="32"/>
        </w:rPr>
        <w:t>个专业计划招生</w:t>
      </w:r>
      <w:r>
        <w:rPr>
          <w:rFonts w:hint="eastAsia" w:ascii="仿宋" w:hAnsi="仿宋" w:eastAsia="仿宋" w:cs="仿宋"/>
          <w:sz w:val="32"/>
          <w:szCs w:val="32"/>
          <w:lang w:val="en-US" w:eastAsia="zh-CN"/>
        </w:rPr>
        <w:t>255</w:t>
      </w:r>
      <w:r>
        <w:rPr>
          <w:rFonts w:hint="eastAsia" w:ascii="仿宋" w:hAnsi="仿宋" w:eastAsia="仿宋" w:cs="仿宋"/>
          <w:sz w:val="32"/>
          <w:szCs w:val="32"/>
        </w:rPr>
        <w:t>人，其中文史类</w:t>
      </w:r>
      <w:r>
        <w:rPr>
          <w:rFonts w:hint="eastAsia" w:ascii="仿宋" w:hAnsi="仿宋" w:eastAsia="仿宋" w:cs="仿宋"/>
          <w:sz w:val="32"/>
          <w:szCs w:val="32"/>
          <w:lang w:val="en-US" w:eastAsia="zh-CN"/>
        </w:rPr>
        <w:t>103</w:t>
      </w:r>
      <w:r>
        <w:rPr>
          <w:rFonts w:hint="eastAsia" w:ascii="仿宋" w:hAnsi="仿宋" w:eastAsia="仿宋" w:cs="仿宋"/>
          <w:sz w:val="32"/>
          <w:szCs w:val="32"/>
        </w:rPr>
        <w:t>人、理工类</w:t>
      </w:r>
      <w:r>
        <w:rPr>
          <w:rFonts w:hint="eastAsia" w:ascii="仿宋" w:hAnsi="仿宋" w:eastAsia="仿宋" w:cs="仿宋"/>
          <w:sz w:val="32"/>
          <w:szCs w:val="32"/>
          <w:lang w:val="en-US" w:eastAsia="zh-CN"/>
        </w:rPr>
        <w:t>114</w:t>
      </w:r>
      <w:r>
        <w:rPr>
          <w:rFonts w:hint="eastAsia" w:ascii="仿宋" w:hAnsi="仿宋" w:eastAsia="仿宋" w:cs="仿宋"/>
          <w:sz w:val="32"/>
          <w:szCs w:val="32"/>
        </w:rPr>
        <w:t>人、春季高考</w:t>
      </w:r>
      <w:r>
        <w:rPr>
          <w:rFonts w:hint="eastAsia" w:ascii="仿宋" w:hAnsi="仿宋" w:eastAsia="仿宋" w:cs="仿宋"/>
          <w:sz w:val="32"/>
          <w:szCs w:val="32"/>
          <w:lang w:val="en-US" w:eastAsia="zh-CN"/>
        </w:rPr>
        <w:t>38</w:t>
      </w:r>
      <w:bookmarkStart w:id="0" w:name="_GoBack"/>
      <w:bookmarkEnd w:id="0"/>
      <w:r>
        <w:rPr>
          <w:rFonts w:hint="eastAsia" w:ascii="仿宋" w:hAnsi="仿宋" w:eastAsia="仿宋" w:cs="仿宋"/>
          <w:sz w:val="32"/>
          <w:szCs w:val="32"/>
        </w:rPr>
        <w:t>人。</w:t>
      </w:r>
    </w:p>
    <w:tbl>
      <w:tblPr>
        <w:tblW w:w="7860" w:type="dxa"/>
        <w:tblInd w:w="0" w:type="dxa"/>
        <w:shd w:val="clear"/>
        <w:tblLayout w:type="fixed"/>
        <w:tblCellMar>
          <w:top w:w="0" w:type="dxa"/>
          <w:left w:w="0" w:type="dxa"/>
          <w:bottom w:w="0" w:type="dxa"/>
          <w:right w:w="0" w:type="dxa"/>
        </w:tblCellMar>
      </w:tblPr>
      <w:tblGrid>
        <w:gridCol w:w="524"/>
        <w:gridCol w:w="1665"/>
        <w:gridCol w:w="1652"/>
        <w:gridCol w:w="780"/>
        <w:gridCol w:w="780"/>
        <w:gridCol w:w="780"/>
        <w:gridCol w:w="780"/>
        <w:gridCol w:w="899"/>
      </w:tblGrid>
      <w:tr>
        <w:tblPrEx>
          <w:shd w:val="clear"/>
          <w:tblLayout w:type="fixed"/>
          <w:tblCellMar>
            <w:top w:w="0" w:type="dxa"/>
            <w:left w:w="0" w:type="dxa"/>
            <w:bottom w:w="0" w:type="dxa"/>
            <w:right w:w="0" w:type="dxa"/>
          </w:tblCellMar>
        </w:tblPrEx>
        <w:trPr>
          <w:trHeight w:val="810" w:hRule="atLeast"/>
        </w:trPr>
        <w:tc>
          <w:tcPr>
            <w:tcW w:w="5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专业代码</w:t>
            </w:r>
          </w:p>
        </w:tc>
        <w:tc>
          <w:tcPr>
            <w:tcW w:w="16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专业名称</w:t>
            </w:r>
          </w:p>
        </w:tc>
        <w:tc>
          <w:tcPr>
            <w:tcW w:w="165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说明</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文史</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理工</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春考</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小计</w:t>
            </w:r>
          </w:p>
        </w:tc>
        <w:tc>
          <w:tcPr>
            <w:tcW w:w="8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收费标准（元/年）</w:t>
            </w:r>
          </w:p>
        </w:tc>
      </w:tr>
      <w:tr>
        <w:tblPrEx>
          <w:tblLayout w:type="fixed"/>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03</w:t>
            </w:r>
          </w:p>
        </w:tc>
        <w:tc>
          <w:tcPr>
            <w:tcW w:w="16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金融管理</w:t>
            </w:r>
          </w:p>
        </w:tc>
        <w:tc>
          <w:tcPr>
            <w:tcW w:w="165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w:t>
            </w:r>
          </w:p>
        </w:tc>
        <w:tc>
          <w:tcPr>
            <w:tcW w:w="89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4800</w:t>
            </w:r>
          </w:p>
        </w:tc>
      </w:tr>
      <w:tr>
        <w:tblPrEx>
          <w:tblLayout w:type="fixed"/>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06</w:t>
            </w:r>
          </w:p>
        </w:tc>
        <w:tc>
          <w:tcPr>
            <w:tcW w:w="16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国际商务</w:t>
            </w:r>
          </w:p>
        </w:tc>
        <w:tc>
          <w:tcPr>
            <w:tcW w:w="165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w:t>
            </w:r>
          </w:p>
        </w:tc>
        <w:tc>
          <w:tcPr>
            <w:tcW w:w="89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4800</w:t>
            </w:r>
          </w:p>
        </w:tc>
      </w:tr>
      <w:tr>
        <w:tblPrEx>
          <w:tblLayout w:type="fixed"/>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07</w:t>
            </w:r>
          </w:p>
        </w:tc>
        <w:tc>
          <w:tcPr>
            <w:tcW w:w="16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连锁经营管理</w:t>
            </w:r>
          </w:p>
        </w:tc>
        <w:tc>
          <w:tcPr>
            <w:tcW w:w="165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w:t>
            </w:r>
          </w:p>
        </w:tc>
        <w:tc>
          <w:tcPr>
            <w:tcW w:w="89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4800</w:t>
            </w:r>
          </w:p>
        </w:tc>
      </w:tr>
      <w:tr>
        <w:tblPrEx>
          <w:tblLayout w:type="fixed"/>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08</w:t>
            </w:r>
          </w:p>
        </w:tc>
        <w:tc>
          <w:tcPr>
            <w:tcW w:w="16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电子商务</w:t>
            </w:r>
          </w:p>
        </w:tc>
        <w:tc>
          <w:tcPr>
            <w:tcW w:w="165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w:t>
            </w:r>
          </w:p>
        </w:tc>
        <w:tc>
          <w:tcPr>
            <w:tcW w:w="89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4800</w:t>
            </w:r>
          </w:p>
        </w:tc>
      </w:tr>
      <w:tr>
        <w:tblPrEx>
          <w:tblLayout w:type="fixed"/>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09</w:t>
            </w:r>
          </w:p>
        </w:tc>
        <w:tc>
          <w:tcPr>
            <w:tcW w:w="16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物流信息技术</w:t>
            </w:r>
          </w:p>
        </w:tc>
        <w:tc>
          <w:tcPr>
            <w:tcW w:w="165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89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4800</w:t>
            </w:r>
          </w:p>
        </w:tc>
      </w:tr>
      <w:tr>
        <w:tblPrEx>
          <w:tblLayout w:type="fixed"/>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w:t>
            </w:r>
          </w:p>
        </w:tc>
        <w:tc>
          <w:tcPr>
            <w:tcW w:w="16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建设工程监理</w:t>
            </w:r>
          </w:p>
        </w:tc>
        <w:tc>
          <w:tcPr>
            <w:tcW w:w="165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w:t>
            </w:r>
          </w:p>
        </w:tc>
        <w:tc>
          <w:tcPr>
            <w:tcW w:w="89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5000</w:t>
            </w:r>
          </w:p>
        </w:tc>
      </w:tr>
      <w:tr>
        <w:tblPrEx>
          <w:tblLayout w:type="fixed"/>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6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环境艺术设计</w:t>
            </w:r>
          </w:p>
        </w:tc>
        <w:tc>
          <w:tcPr>
            <w:tcW w:w="165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89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4800</w:t>
            </w:r>
          </w:p>
        </w:tc>
      </w:tr>
      <w:tr>
        <w:tblPrEx>
          <w:tblLayout w:type="fixed"/>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w:t>
            </w:r>
          </w:p>
        </w:tc>
        <w:tc>
          <w:tcPr>
            <w:tcW w:w="16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机械制造与自动化</w:t>
            </w:r>
          </w:p>
        </w:tc>
        <w:tc>
          <w:tcPr>
            <w:tcW w:w="165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89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5000</w:t>
            </w:r>
          </w:p>
        </w:tc>
      </w:tr>
      <w:tr>
        <w:tblPrEx>
          <w:tblLayout w:type="fixed"/>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19</w:t>
            </w:r>
          </w:p>
        </w:tc>
        <w:tc>
          <w:tcPr>
            <w:tcW w:w="16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数控技术</w:t>
            </w:r>
          </w:p>
        </w:tc>
        <w:tc>
          <w:tcPr>
            <w:tcW w:w="165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c>
          <w:tcPr>
            <w:tcW w:w="89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5000</w:t>
            </w:r>
          </w:p>
        </w:tc>
      </w:tr>
      <w:tr>
        <w:tblPrEx>
          <w:tblLayout w:type="fixed"/>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16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工业机器人技术</w:t>
            </w:r>
          </w:p>
        </w:tc>
        <w:tc>
          <w:tcPr>
            <w:tcW w:w="165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89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5000</w:t>
            </w:r>
          </w:p>
        </w:tc>
      </w:tr>
      <w:tr>
        <w:tblPrEx>
          <w:tblLayout w:type="fixed"/>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22</w:t>
            </w:r>
          </w:p>
        </w:tc>
        <w:tc>
          <w:tcPr>
            <w:tcW w:w="16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电气自动化技术</w:t>
            </w:r>
          </w:p>
        </w:tc>
        <w:tc>
          <w:tcPr>
            <w:tcW w:w="165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89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5000</w:t>
            </w:r>
          </w:p>
        </w:tc>
      </w:tr>
      <w:tr>
        <w:tblPrEx>
          <w:tblLayout w:type="fixed"/>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29</w:t>
            </w:r>
          </w:p>
        </w:tc>
        <w:tc>
          <w:tcPr>
            <w:tcW w:w="16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云计算技术与应用</w:t>
            </w:r>
          </w:p>
        </w:tc>
        <w:tc>
          <w:tcPr>
            <w:tcW w:w="165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89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5000</w:t>
            </w:r>
          </w:p>
        </w:tc>
      </w:tr>
      <w:tr>
        <w:tblPrEx>
          <w:tblLayout w:type="fixed"/>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32</w:t>
            </w:r>
          </w:p>
        </w:tc>
        <w:tc>
          <w:tcPr>
            <w:tcW w:w="16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旅游管理</w:t>
            </w:r>
          </w:p>
        </w:tc>
        <w:tc>
          <w:tcPr>
            <w:tcW w:w="165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w:t>
            </w:r>
          </w:p>
        </w:tc>
        <w:tc>
          <w:tcPr>
            <w:tcW w:w="89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4800</w:t>
            </w:r>
          </w:p>
        </w:tc>
      </w:tr>
      <w:tr>
        <w:tblPrEx>
          <w:tblLayout w:type="fixed"/>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35</w:t>
            </w:r>
          </w:p>
        </w:tc>
        <w:tc>
          <w:tcPr>
            <w:tcW w:w="16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老年服务与管理</w:t>
            </w:r>
          </w:p>
        </w:tc>
        <w:tc>
          <w:tcPr>
            <w:tcW w:w="165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89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免费</w:t>
            </w:r>
          </w:p>
        </w:tc>
      </w:tr>
      <w:tr>
        <w:tblPrEx>
          <w:tblLayout w:type="fixed"/>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39</w:t>
            </w:r>
          </w:p>
        </w:tc>
        <w:tc>
          <w:tcPr>
            <w:tcW w:w="16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休闲体育</w:t>
            </w:r>
          </w:p>
        </w:tc>
        <w:tc>
          <w:tcPr>
            <w:tcW w:w="165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w:t>
            </w:r>
          </w:p>
        </w:tc>
        <w:tc>
          <w:tcPr>
            <w:tcW w:w="89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4800</w:t>
            </w:r>
          </w:p>
        </w:tc>
      </w:tr>
      <w:tr>
        <w:tblPrEx>
          <w:tblLayout w:type="fixed"/>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37</w:t>
            </w:r>
          </w:p>
        </w:tc>
        <w:tc>
          <w:tcPr>
            <w:tcW w:w="16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空中乘务</w:t>
            </w:r>
          </w:p>
        </w:tc>
        <w:tc>
          <w:tcPr>
            <w:tcW w:w="165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与中航天使校企合作</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89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8800</w:t>
            </w:r>
          </w:p>
        </w:tc>
      </w:tr>
      <w:tr>
        <w:tblPrEx>
          <w:tblLayout w:type="fixed"/>
          <w:tblCellMar>
            <w:top w:w="0" w:type="dxa"/>
            <w:left w:w="0" w:type="dxa"/>
            <w:bottom w:w="0" w:type="dxa"/>
            <w:right w:w="0" w:type="dxa"/>
          </w:tblCellMar>
        </w:tblPrEx>
        <w:trPr>
          <w:trHeight w:val="420" w:hRule="atLeast"/>
        </w:trPr>
        <w:tc>
          <w:tcPr>
            <w:tcW w:w="5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16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计算机应用技术</w:t>
            </w:r>
          </w:p>
        </w:tc>
        <w:tc>
          <w:tcPr>
            <w:tcW w:w="165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与临沂大智信息校企合作</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c>
          <w:tcPr>
            <w:tcW w:w="89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8800</w:t>
            </w:r>
          </w:p>
        </w:tc>
      </w:tr>
      <w:tr>
        <w:tblPrEx>
          <w:tblLayout w:type="fixed"/>
          <w:tblCellMar>
            <w:top w:w="0" w:type="dxa"/>
            <w:left w:w="0" w:type="dxa"/>
            <w:bottom w:w="0" w:type="dxa"/>
            <w:right w:w="0" w:type="dxa"/>
          </w:tblCellMar>
        </w:tblPrEx>
        <w:trPr>
          <w:trHeight w:val="450" w:hRule="atLeast"/>
        </w:trPr>
        <w:tc>
          <w:tcPr>
            <w:tcW w:w="5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34</w:t>
            </w:r>
          </w:p>
        </w:tc>
        <w:tc>
          <w:tcPr>
            <w:tcW w:w="16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社会福利事业管理（健身指导方向）</w:t>
            </w:r>
          </w:p>
        </w:tc>
        <w:tc>
          <w:tcPr>
            <w:tcW w:w="165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与艾尚（庆华）健身校企合作</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89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8800</w:t>
            </w:r>
          </w:p>
        </w:tc>
      </w:tr>
      <w:tr>
        <w:tblPrEx>
          <w:tblLayout w:type="fixed"/>
          <w:tblCellMar>
            <w:top w:w="0" w:type="dxa"/>
            <w:left w:w="0" w:type="dxa"/>
            <w:bottom w:w="0" w:type="dxa"/>
            <w:right w:w="0" w:type="dxa"/>
          </w:tblCellMar>
        </w:tblPrEx>
        <w:trPr>
          <w:trHeight w:val="630" w:hRule="atLeast"/>
        </w:trPr>
        <w:tc>
          <w:tcPr>
            <w:tcW w:w="5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47</w:t>
            </w:r>
          </w:p>
        </w:tc>
        <w:tc>
          <w:tcPr>
            <w:tcW w:w="16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机电一体化技术</w:t>
            </w:r>
          </w:p>
        </w:tc>
        <w:tc>
          <w:tcPr>
            <w:tcW w:w="165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临沂市技师学院高职技师合作培养（在技师学院就读）</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89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5000</w:t>
            </w:r>
          </w:p>
        </w:tc>
      </w:tr>
      <w:tr>
        <w:tblPrEx>
          <w:tblLayout w:type="fixed"/>
          <w:tblCellMar>
            <w:top w:w="0" w:type="dxa"/>
            <w:left w:w="0" w:type="dxa"/>
            <w:bottom w:w="0" w:type="dxa"/>
            <w:right w:w="0"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16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5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103</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114</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w:t>
            </w:r>
          </w:p>
        </w:tc>
        <w:tc>
          <w:tcPr>
            <w:tcW w:w="7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255</w:t>
            </w:r>
          </w:p>
        </w:tc>
        <w:tc>
          <w:tcPr>
            <w:tcW w:w="89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ind w:firstLine="56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我院招生专业和计划数以山东省教育招生考试院公布为准（9月9日16:00前）。</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四、报名条件及程序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（一）报名条件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1.2019年，参加我省春季高考、夏季高考，在普通高校统一招生录取时未被录取的考生均可申请本次注册入学招生。符合条件的考生应根据本人所参加春季高考或夏季高考的类别、科类，选择对应的学校和专业进行注册申请。</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春季高考技能拔尖人才未被录取的考生可直接申请，不受文化分数限制。</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参加我省专科（高职）院校建档立卡贫困家庭学生专项计划（以下简称“高职院校专项计划”），且未被录取的考生，可直接向开展高职院校专项计划的院校申请，在注册入学总计划内单列计划录取。</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考生填报1次注册入学志愿，均实行平行志愿。夏季高考文理类、艺术类、体育类及春季高考考生均可填报12个高校志愿，每个高校志愿可填报6个专业志愿及1个专业服从调剂志愿。考生可同时填报高校是否服从调剂志愿（选择高校服从调剂的考生视为服从调剂任何不满额的高校和相关专业）。</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同时参加春季高考和夏季高考的考生，如在集中录取阶段已被春季高考、夏季高考中的一类或两类录取，不能填报注册入学志愿；如考生春季高考、夏季高考均未被录取，只能选择其中一类填报注册入学志愿。</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.符合《普通高等学校招生体检工作指导意见》及有关补充规定。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（二）注册入学程序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考生申请注册入学，须凭身份证号、登录密码和手机短信验证密码，通过省教育招生考试院设立的注册入学网上管理平台进行注册，网址为http://wsbm.sdzk.cn。</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夏季高考文理类、艺术类、体育类及春季高考均进行1轮注册入学。注册入学包含考生填报注册入学志愿、院校审核与录取两个环节。</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考生填报注册入学志愿。符合条件的考生在规定时间和网址填报注册入学志愿。</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院校审核与录取。招生院校依据向社会公布的招生章程明确的注册入学录取办法，对提交注册入学申请志愿的考生进行审核，将审核通过的考生确定为院校录取考生。招生院校在招生计划数内确定本校录取考生名单。凡已成功注册的考生，不得再重新申请注册其他院校。</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录取规则</w:t>
      </w:r>
    </w:p>
    <w:p>
      <w:pPr>
        <w:shd w:val="clear" w:color="auto" w:fill="FFFFFF"/>
        <w:spacing w:line="360" w:lineRule="auto"/>
        <w:ind w:firstLine="482"/>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录取原则：学院招生录取工作严格遵守教育部和省教育厅、省教育招生考试院的有关政策和规定，坚持公平竞争、公正选拔、公开透明的原则，对达到注册入学最低申请资格线上的考生，严格以考生成绩为依据择优录取。</w:t>
      </w:r>
    </w:p>
    <w:p>
      <w:pPr>
        <w:shd w:val="clear" w:color="auto" w:fill="FFFFFF"/>
        <w:spacing w:line="360" w:lineRule="auto"/>
        <w:ind w:firstLine="482"/>
        <w:rPr>
          <w:rFonts w:hint="eastAsia" w:ascii="仿宋" w:hAnsi="仿宋" w:eastAsia="仿宋" w:cs="仿宋"/>
          <w:color w:val="auto"/>
          <w:sz w:val="32"/>
          <w:szCs w:val="32"/>
        </w:rPr>
      </w:pPr>
      <w:r>
        <w:rPr>
          <w:rFonts w:hint="eastAsia" w:ascii="仿宋" w:hAnsi="仿宋" w:eastAsia="仿宋" w:cs="仿宋"/>
          <w:b w:val="0"/>
          <w:bCs w:val="0"/>
          <w:color w:val="auto"/>
          <w:sz w:val="32"/>
          <w:szCs w:val="32"/>
        </w:rPr>
        <w:t>（二）录取规则：在省</w:t>
      </w:r>
      <w:r>
        <w:rPr>
          <w:rFonts w:hint="eastAsia" w:ascii="仿宋" w:hAnsi="仿宋" w:eastAsia="仿宋" w:cs="仿宋"/>
          <w:color w:val="auto"/>
          <w:sz w:val="32"/>
          <w:szCs w:val="32"/>
        </w:rPr>
        <w:t>下达的分专业注册入学招生计划内，根据考生高考成绩由高分到低分录取。每位考生允许填报6个专业志愿和1个是否服从专业调剂，按照“分数优先，遵循志愿”的原则确定考生专业。如第一志愿专业满额，再依次考虑二、三、四、五、六等志愿及是否愿意服从调剂录取，所报专业均不能录取且不服从专业调剂的考生我院不予录取。</w:t>
      </w:r>
    </w:p>
    <w:p>
      <w:pPr>
        <w:shd w:val="clear" w:color="auto" w:fill="FFFFFF"/>
        <w:spacing w:line="360" w:lineRule="auto"/>
        <w:ind w:firstLine="482"/>
        <w:rPr>
          <w:rFonts w:hint="eastAsia" w:ascii="仿宋" w:hAnsi="仿宋" w:eastAsia="仿宋" w:cs="仿宋"/>
          <w:color w:val="auto"/>
          <w:sz w:val="32"/>
          <w:szCs w:val="32"/>
        </w:rPr>
      </w:pPr>
      <w:r>
        <w:rPr>
          <w:rFonts w:hint="eastAsia" w:ascii="仿宋" w:hAnsi="仿宋" w:eastAsia="仿宋" w:cs="仿宋"/>
          <w:b w:val="0"/>
          <w:bCs w:val="0"/>
          <w:color w:val="auto"/>
          <w:sz w:val="32"/>
          <w:szCs w:val="32"/>
        </w:rPr>
        <w:t>（三）招生监督：</w:t>
      </w:r>
      <w:r>
        <w:rPr>
          <w:rFonts w:hint="eastAsia" w:ascii="仿宋" w:hAnsi="仿宋" w:eastAsia="仿宋" w:cs="仿宋"/>
          <w:color w:val="auto"/>
          <w:sz w:val="32"/>
          <w:szCs w:val="32"/>
        </w:rPr>
        <w:t>注册入学招生监督实行省教育招生考试院和学院纪检监察部门双重监督。学院招生办公室负责将经学院招生工作领导小组确定的注册入学预录取的考生上网公示，公示期结束后，如无异议，向省招生办上报并办理相关录取手续。</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七</w:t>
      </w:r>
      <w:r>
        <w:rPr>
          <w:rFonts w:hint="eastAsia" w:ascii="仿宋" w:hAnsi="仿宋" w:eastAsia="仿宋" w:cs="仿宋"/>
          <w:b/>
          <w:bCs/>
          <w:sz w:val="32"/>
          <w:szCs w:val="32"/>
        </w:rPr>
        <w:t>、时间安排</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（一）公布缺额计划：9月9日16:00前；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（二）考生填报注册入学志愿：9月10日13:00-17:00；</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（三）数据整理与投档：9月11日12:00前；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（四）院校下载数据、审核与录取：9月11日14:00-9月12日12:00；</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（五）调剂志愿投档与录取：9月12日14:00-17:00。</w:t>
      </w:r>
    </w:p>
    <w:p>
      <w:pPr>
        <w:rPr>
          <w:rFonts w:hint="eastAsia" w:ascii="仿宋" w:hAnsi="仿宋" w:eastAsia="仿宋" w:cs="仿宋"/>
          <w:sz w:val="32"/>
          <w:szCs w:val="32"/>
        </w:rPr>
      </w:pPr>
      <w:r>
        <w:rPr>
          <w:rFonts w:hint="eastAsia" w:ascii="仿宋" w:hAnsi="仿宋" w:eastAsia="仿宋" w:cs="仿宋"/>
          <w:sz w:val="32"/>
          <w:szCs w:val="32"/>
        </w:rPr>
        <w:t>相关高校须在9月16日前发放录取通知书，并及时办理报到注册手续。</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八</w:t>
      </w:r>
      <w:r>
        <w:rPr>
          <w:rFonts w:hint="eastAsia" w:ascii="仿宋" w:hAnsi="仿宋" w:eastAsia="仿宋" w:cs="仿宋"/>
          <w:b/>
          <w:bCs/>
          <w:sz w:val="32"/>
          <w:szCs w:val="32"/>
        </w:rPr>
        <w:t>、其它要求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（一）被录取的新生，须按规定时间来学院报到。因特殊原因不能按期报到者，应向学院招生办提出请假申请，经同意后方可延期报到，未经同意无故延期者，按自动放弃入学资格处理。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（二）新生入学后二个月内进行身体复查、新生资格审查。凡体检不符合《普通高等学校招生体检工作指导意见》或资格审查有舞弊行为者，学院将取消其入学资格。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（三）注册入学招生纳入国家统招计划，录取的学生属统招生，在校学习期间与参加普通高考录取的考生享受同等待遇，毕业时颁发与参加高考统一录取学生同样的毕业证书。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（四）本方案经学院招生工作领导小组审查通过，报省教育厅、省招办备案。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（五）本方案中未尽事宜由学院招生工作领导小组研究确定。</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九</w:t>
      </w:r>
      <w:r>
        <w:rPr>
          <w:rFonts w:hint="eastAsia" w:ascii="仿宋" w:hAnsi="仿宋" w:eastAsia="仿宋" w:cs="仿宋"/>
          <w:b/>
          <w:bCs/>
          <w:sz w:val="32"/>
          <w:szCs w:val="32"/>
        </w:rPr>
        <w:t>、联系方式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学校地址：山东省临沂市罗庄区湖东路63号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邮政编码：276017</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监督信访电话：0539-2872029</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招生咨询电话：0539-2872066、2872077</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学校网址：http:// www.</w:t>
      </w:r>
      <w:r>
        <w:rPr>
          <w:rFonts w:hint="eastAsia" w:ascii="仿宋" w:hAnsi="仿宋" w:eastAsia="仿宋" w:cs="仿宋"/>
          <w:sz w:val="32"/>
          <w:szCs w:val="32"/>
          <w:lang w:val="en-US" w:eastAsia="zh-CN"/>
        </w:rPr>
        <w:t>lyvc</w:t>
      </w:r>
      <w:r>
        <w:rPr>
          <w:rFonts w:hint="eastAsia" w:ascii="仿宋" w:hAnsi="仿宋" w:eastAsia="仿宋" w:cs="仿宋"/>
          <w:sz w:val="32"/>
          <w:szCs w:val="32"/>
        </w:rPr>
        <w:t>.edu.cn</w:t>
      </w:r>
    </w:p>
    <w:p>
      <w:pPr>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临沂职业学院</w:t>
      </w:r>
    </w:p>
    <w:p>
      <w:pPr>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年9月</w:t>
      </w:r>
      <w:r>
        <w:rPr>
          <w:rFonts w:hint="eastAsia" w:ascii="仿宋" w:hAnsi="仿宋" w:eastAsia="仿宋" w:cs="仿宋"/>
          <w:sz w:val="32"/>
          <w:szCs w:val="32"/>
          <w:lang w:val="en-US" w:eastAsia="zh-CN"/>
        </w:rPr>
        <w:t>5</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F6C35"/>
    <w:rsid w:val="2B577997"/>
    <w:rsid w:val="44AB4FAD"/>
    <w:rsid w:val="5D9342F2"/>
    <w:rsid w:val="64E10C24"/>
    <w:rsid w:val="6CDC29F5"/>
    <w:rsid w:val="7A0C3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98</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左边</cp:lastModifiedBy>
  <cp:lastPrinted>2019-09-06T02:32:00Z</cp:lastPrinted>
  <dcterms:modified xsi:type="dcterms:W3CDTF">2019-09-06T05:46:14Z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