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tabs>
          <w:tab w:val="right" w:leader="dot" w:pos="8834"/>
        </w:tabs>
        <w:spacing w:line="1200" w:lineRule="exact"/>
        <w:ind w:left="0"/>
        <w:jc w:val="center"/>
        <w:rPr>
          <w:rFonts w:eastAsia="方正小标宋简体"/>
          <w:bCs/>
          <w:color w:val="000000" w:themeColor="text1"/>
          <w:sz w:val="72"/>
          <w:szCs w:val="72"/>
          <w14:textFill>
            <w14:solidFill>
              <w14:schemeClr w14:val="tx1"/>
            </w14:solidFill>
          </w14:textFill>
        </w:rPr>
      </w:pPr>
      <w:bookmarkStart w:id="0" w:name="_Toc31995818"/>
      <w:bookmarkStart w:id="1" w:name="_Toc31995817"/>
    </w:p>
    <w:p>
      <w:pPr>
        <w:pStyle w:val="17"/>
        <w:tabs>
          <w:tab w:val="right" w:leader="dot" w:pos="8834"/>
        </w:tabs>
        <w:spacing w:line="1200" w:lineRule="exact"/>
        <w:ind w:left="0"/>
        <w:jc w:val="center"/>
        <w:rPr>
          <w:rFonts w:eastAsia="方正小标宋简体"/>
          <w:bCs/>
          <w:color w:val="000000" w:themeColor="text1"/>
          <w:sz w:val="66"/>
          <w:szCs w:val="72"/>
          <w14:textFill>
            <w14:solidFill>
              <w14:schemeClr w14:val="tx1"/>
            </w14:solidFill>
          </w14:textFill>
        </w:rPr>
      </w:pPr>
      <w:r>
        <w:rPr>
          <w:rFonts w:eastAsia="方正小标宋简体"/>
          <w:bCs/>
          <w:color w:val="000000" w:themeColor="text1"/>
          <w:sz w:val="66"/>
          <w:szCs w:val="72"/>
          <w14:textFill>
            <w14:solidFill>
              <w14:schemeClr w14:val="tx1"/>
            </w14:solidFill>
          </w14:textFill>
        </w:rPr>
        <w:t>山东省</w:t>
      </w:r>
    </w:p>
    <w:p>
      <w:pPr>
        <w:spacing w:line="1200" w:lineRule="exact"/>
        <w:jc w:val="center"/>
        <w:rPr>
          <w:rFonts w:ascii="Times New Roman" w:hAnsi="Times New Roman"/>
          <w:b/>
          <w:color w:val="000000" w:themeColor="text1"/>
          <w:spacing w:val="-14"/>
          <w:sz w:val="66"/>
          <w:szCs w:val="72"/>
          <w14:textFill>
            <w14:solidFill>
              <w14:schemeClr w14:val="tx1"/>
            </w14:solidFill>
          </w14:textFill>
        </w:rPr>
      </w:pPr>
      <w:r>
        <w:rPr>
          <w:rFonts w:ascii="Times New Roman" w:hAnsi="Times New Roman" w:eastAsia="方正小标宋简体"/>
          <w:color w:val="000000" w:themeColor="text1"/>
          <w:spacing w:val="-14"/>
          <w:sz w:val="66"/>
          <w:szCs w:val="72"/>
          <w14:textFill>
            <w14:solidFill>
              <w14:schemeClr w14:val="tx1"/>
            </w14:solidFill>
          </w14:textFill>
        </w:rPr>
        <w:t>高等职业教育质量年度报告</w:t>
      </w:r>
    </w:p>
    <w:p>
      <w:pPr>
        <w:spacing w:line="1200" w:lineRule="exact"/>
        <w:jc w:val="center"/>
        <w:rPr>
          <w:rFonts w:ascii="Times New Roman" w:hAnsi="Times New Roman" w:eastAsia="方正小标宋简体"/>
          <w:color w:val="000000" w:themeColor="text1"/>
          <w:sz w:val="68"/>
          <w:szCs w:val="72"/>
          <w14:textFill>
            <w14:solidFill>
              <w14:schemeClr w14:val="tx1"/>
            </w14:solidFill>
          </w14:textFill>
        </w:rPr>
      </w:pPr>
      <w:r>
        <w:rPr>
          <w:rFonts w:ascii="Times New Roman" w:hAnsi="Times New Roman" w:eastAsia="方正小标宋简体"/>
          <w:color w:val="000000" w:themeColor="text1"/>
          <w:sz w:val="68"/>
          <w:szCs w:val="72"/>
          <w14:textFill>
            <w14:solidFill>
              <w14:schemeClr w14:val="tx1"/>
            </w14:solidFill>
          </w14:textFill>
        </w:rPr>
        <w:t>（2022）</w:t>
      </w:r>
    </w:p>
    <w:p>
      <w:pPr>
        <w:pStyle w:val="17"/>
        <w:tabs>
          <w:tab w:val="right" w:leader="dot" w:pos="8834"/>
        </w:tabs>
        <w:ind w:left="0"/>
        <w:jc w:val="center"/>
        <w:rPr>
          <w:b/>
          <w:bCs/>
          <w:color w:val="000000" w:themeColor="text1"/>
          <w:sz w:val="44"/>
          <w:szCs w:val="44"/>
          <w14:textFill>
            <w14:solidFill>
              <w14:schemeClr w14:val="tx1"/>
            </w14:solidFill>
          </w14:textFill>
        </w:rPr>
      </w:pPr>
    </w:p>
    <w:p>
      <w:pPr>
        <w:pStyle w:val="17"/>
        <w:tabs>
          <w:tab w:val="right" w:leader="dot" w:pos="8834"/>
        </w:tabs>
        <w:ind w:left="0"/>
        <w:jc w:val="center"/>
        <w:rPr>
          <w:b/>
          <w:bCs/>
          <w:color w:val="000000" w:themeColor="text1"/>
          <w:sz w:val="44"/>
          <w:szCs w:val="44"/>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pStyle w:val="17"/>
        <w:tabs>
          <w:tab w:val="right" w:leader="dot" w:pos="8834"/>
        </w:tabs>
        <w:ind w:left="0"/>
        <w:jc w:val="center"/>
        <w:rPr>
          <w:b/>
          <w:bCs/>
          <w:color w:val="000000" w:themeColor="text1"/>
          <w:sz w:val="44"/>
          <w:szCs w:val="44"/>
          <w14:textFill>
            <w14:solidFill>
              <w14:schemeClr w14:val="tx1"/>
            </w14:solidFill>
          </w14:textFill>
        </w:rPr>
      </w:pPr>
    </w:p>
    <w:p>
      <w:pPr>
        <w:pStyle w:val="17"/>
        <w:tabs>
          <w:tab w:val="right" w:leader="dot" w:pos="8834"/>
        </w:tabs>
        <w:ind w:left="0"/>
        <w:jc w:val="center"/>
        <w:rPr>
          <w:b/>
          <w:bCs/>
          <w:color w:val="000000" w:themeColor="text1"/>
          <w:sz w:val="44"/>
          <w:szCs w:val="44"/>
          <w14:textFill>
            <w14:solidFill>
              <w14:schemeClr w14:val="tx1"/>
            </w14:solidFill>
          </w14:textFill>
        </w:rPr>
      </w:pPr>
    </w:p>
    <w:p>
      <w:pPr>
        <w:pStyle w:val="17"/>
        <w:tabs>
          <w:tab w:val="right" w:leader="dot" w:pos="8834"/>
        </w:tabs>
        <w:ind w:left="0"/>
        <w:jc w:val="center"/>
        <w:rPr>
          <w:b/>
          <w:bCs/>
          <w:color w:val="000000" w:themeColor="text1"/>
          <w:sz w:val="44"/>
          <w:szCs w:val="44"/>
          <w14:textFill>
            <w14:solidFill>
              <w14:schemeClr w14:val="tx1"/>
            </w14:solidFill>
          </w14:textFill>
        </w:rPr>
      </w:pPr>
    </w:p>
    <w:p/>
    <w:p/>
    <w:p/>
    <w:p/>
    <w:p/>
    <w:p/>
    <w:p/>
    <w:p/>
    <w:p/>
    <w:p>
      <w:pPr>
        <w:rPr>
          <w:rFonts w:hint="eastAsia"/>
        </w:rPr>
      </w:pPr>
    </w:p>
    <w:p/>
    <w:p/>
    <w:p/>
    <w:p>
      <w:pPr>
        <w:pStyle w:val="17"/>
        <w:tabs>
          <w:tab w:val="right" w:leader="dot" w:pos="8834"/>
        </w:tabs>
        <w:ind w:left="0"/>
        <w:jc w:val="center"/>
        <w:rPr>
          <w:rFonts w:ascii="黑体" w:hAnsi="黑体" w:eastAsia="黑体"/>
          <w:bCs/>
          <w:color w:val="000000" w:themeColor="text1"/>
          <w:sz w:val="36"/>
          <w:szCs w:val="36"/>
          <w14:textFill>
            <w14:solidFill>
              <w14:schemeClr w14:val="tx1"/>
            </w14:solidFill>
          </w14:textFill>
        </w:rPr>
      </w:pPr>
      <w:r>
        <w:rPr>
          <w:rFonts w:ascii="黑体" w:hAnsi="黑体" w:eastAsia="黑体"/>
          <w:bCs/>
          <w:color w:val="000000" w:themeColor="text1"/>
          <w:sz w:val="36"/>
          <w:szCs w:val="36"/>
          <w14:textFill>
            <w14:solidFill>
              <w14:schemeClr w14:val="tx1"/>
            </w14:solidFill>
          </w14:textFill>
        </w:rPr>
        <w:t>山东省教育厅</w:t>
      </w:r>
    </w:p>
    <w:p>
      <w:pPr>
        <w:pStyle w:val="17"/>
        <w:tabs>
          <w:tab w:val="right" w:leader="dot" w:pos="8834"/>
        </w:tabs>
        <w:ind w:left="0"/>
        <w:jc w:val="center"/>
        <w:rPr>
          <w:rFonts w:ascii="黑体" w:hAnsi="黑体" w:eastAsia="黑体"/>
          <w:bCs/>
          <w:color w:val="000000" w:themeColor="text1"/>
          <w:sz w:val="36"/>
          <w:szCs w:val="36"/>
          <w14:textFill>
            <w14:solidFill>
              <w14:schemeClr w14:val="tx1"/>
            </w14:solidFill>
          </w14:textFill>
        </w:rPr>
      </w:pPr>
      <w:r>
        <w:rPr>
          <w:rFonts w:ascii="黑体" w:hAnsi="黑体" w:eastAsia="黑体"/>
          <w:bCs/>
          <w:color w:val="000000" w:themeColor="text1"/>
          <w:sz w:val="36"/>
          <w:szCs w:val="36"/>
          <w14:textFill>
            <w14:solidFill>
              <w14:schemeClr w14:val="tx1"/>
            </w14:solidFill>
          </w14:textFill>
        </w:rPr>
        <w:t>2022年1月</w:t>
      </w:r>
    </w:p>
    <w:p>
      <w:pPr>
        <w:widowControl/>
        <w:jc w:val="left"/>
        <w:rPr>
          <w:rFonts w:ascii="黑体" w:hAnsi="黑体" w:eastAsia="黑体" w:cs="Times New Roman"/>
          <w:bCs/>
          <w:smallCaps/>
          <w:color w:val="000000" w:themeColor="text1"/>
          <w:kern w:val="0"/>
          <w:sz w:val="44"/>
          <w:szCs w:val="44"/>
          <w14:textFill>
            <w14:solidFill>
              <w14:schemeClr w14:val="tx1"/>
            </w14:solidFill>
          </w14:textFill>
        </w:rPr>
      </w:pPr>
      <w:r>
        <w:rPr>
          <w:rFonts w:ascii="黑体" w:hAnsi="黑体" w:eastAsia="黑体"/>
          <w:bCs/>
          <w:color w:val="000000" w:themeColor="text1"/>
          <w:sz w:val="44"/>
          <w:szCs w:val="44"/>
          <w14:textFill>
            <w14:solidFill>
              <w14:schemeClr w14:val="tx1"/>
            </w14:solidFill>
          </w14:textFill>
        </w:rPr>
        <w:br w:type="page"/>
      </w:r>
    </w:p>
    <w:p>
      <w:pPr>
        <w:pStyle w:val="17"/>
        <w:tabs>
          <w:tab w:val="right" w:leader="dot" w:pos="8834"/>
        </w:tabs>
        <w:ind w:left="0"/>
        <w:jc w:val="center"/>
        <w:rPr>
          <w:rFonts w:ascii="黑体" w:hAnsi="黑体" w:eastAsia="黑体"/>
          <w:bCs/>
          <w:color w:val="000000" w:themeColor="text1"/>
          <w:sz w:val="44"/>
          <w:szCs w:val="44"/>
          <w14:textFill>
            <w14:solidFill>
              <w14:schemeClr w14:val="tx1"/>
            </w14:solidFill>
          </w14:textFill>
        </w:rPr>
      </w:pPr>
    </w:p>
    <w:p>
      <w:pPr>
        <w:rPr>
          <w:rFonts w:ascii="Times New Roman" w:hAnsi="Times New Roman" w:eastAsia="仿宋_GB2312"/>
          <w:b/>
          <w:color w:val="000000" w:themeColor="text1"/>
          <w:sz w:val="28"/>
          <w:szCs w:val="28"/>
          <w14:textFill>
            <w14:solidFill>
              <w14:schemeClr w14:val="tx1"/>
            </w14:solidFill>
          </w14:textFill>
        </w:rPr>
      </w:pPr>
      <w:r>
        <w:rPr>
          <w:rFonts w:ascii="Times New Roman" w:hAnsi="Times New Roman" w:eastAsia="仿宋_GB2312"/>
          <w:b/>
          <w:color w:val="000000" w:themeColor="text1"/>
          <w:sz w:val="28"/>
          <w:szCs w:val="28"/>
          <w14:textFill>
            <w14:solidFill>
              <w14:schemeClr w14:val="tx1"/>
            </w14:solidFill>
          </w14:textFill>
        </w:rPr>
        <w:br w:type="page"/>
      </w:r>
    </w:p>
    <w:bookmarkEnd w:id="0"/>
    <w:bookmarkEnd w:id="1"/>
    <w:p>
      <w:pPr>
        <w:spacing w:line="520" w:lineRule="exact"/>
        <w:jc w:val="center"/>
        <w:outlineLvl w:val="0"/>
        <w:rPr>
          <w:rFonts w:ascii="方正小标宋简体" w:hAnsi="黑体" w:eastAsia="方正小标宋简体" w:cs="黑体"/>
          <w:color w:val="000000" w:themeColor="text1"/>
          <w:sz w:val="44"/>
          <w:szCs w:val="44"/>
          <w14:textFill>
            <w14:solidFill>
              <w14:schemeClr w14:val="tx1"/>
            </w14:solidFill>
          </w14:textFill>
        </w:rPr>
      </w:pPr>
      <w:bookmarkStart w:id="2" w:name="_Toc94172143"/>
      <w:bookmarkStart w:id="3" w:name="_Toc94172284"/>
      <w:bookmarkStart w:id="4" w:name="_Toc94183386"/>
    </w:p>
    <w:p>
      <w:pPr>
        <w:spacing w:line="520" w:lineRule="exact"/>
        <w:jc w:val="center"/>
        <w:outlineLvl w:val="0"/>
        <w:rPr>
          <w:rFonts w:ascii="方正小标宋简体" w:hAnsi="黑体" w:eastAsia="方正小标宋简体" w:cs="黑体"/>
          <w:color w:val="000000" w:themeColor="text1"/>
          <w:sz w:val="44"/>
          <w:szCs w:val="44"/>
          <w14:textFill>
            <w14:solidFill>
              <w14:schemeClr w14:val="tx1"/>
            </w14:solidFill>
          </w14:textFill>
        </w:rPr>
      </w:pPr>
    </w:p>
    <w:p>
      <w:pPr>
        <w:spacing w:line="520" w:lineRule="exact"/>
        <w:jc w:val="center"/>
        <w:outlineLvl w:val="0"/>
        <w:rPr>
          <w:rFonts w:ascii="方正小标宋简体" w:hAnsi="黑体" w:eastAsia="方正小标宋简体" w:cs="黑体"/>
          <w:color w:val="000000" w:themeColor="text1"/>
          <w:sz w:val="44"/>
          <w:szCs w:val="44"/>
          <w14:textFill>
            <w14:solidFill>
              <w14:schemeClr w14:val="tx1"/>
            </w14:solidFill>
          </w14:textFill>
        </w:rPr>
      </w:pPr>
      <w:r>
        <w:rPr>
          <w:rFonts w:hint="eastAsia" w:ascii="方正小标宋简体" w:hAnsi="黑体" w:eastAsia="方正小标宋简体" w:cs="黑体"/>
          <w:color w:val="000000" w:themeColor="text1"/>
          <w:sz w:val="44"/>
          <w:szCs w:val="44"/>
          <w14:textFill>
            <w14:solidFill>
              <w14:schemeClr w14:val="tx1"/>
            </w14:solidFill>
          </w14:textFill>
        </w:rPr>
        <w:t>前  言</w:t>
      </w:r>
      <w:bookmarkEnd w:id="2"/>
      <w:bookmarkEnd w:id="3"/>
      <w:bookmarkEnd w:id="4"/>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spacing w:line="52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bCs/>
          <w:color w:val="000000" w:themeColor="text1"/>
          <w:sz w:val="28"/>
          <w:szCs w:val="28"/>
          <w14:textFill>
            <w14:solidFill>
              <w14:schemeClr w14:val="tx1"/>
            </w14:solidFill>
          </w14:textFill>
        </w:rPr>
        <w:t>2021年，山东高等职业教育战线全面贯彻党的教育方针，认真落实全国职业教育大会、十九届六中全会精神和习近平总书记关于职业教育的重要论述，牢固树立新发展理念，贯彻落实中办国办《关于职业教育高质量发展的意见》、国务院《国家职业教育改革实施方案》和《教育部山东省人民政府关于整省推进提质培优建设职业教育创新发展高地的意见》，全力推进部省共建职业教育创新发展高地建设和国家“双高计划”建设，落实立德树人根本任务，坚持德技并修、知行合一，坚持服务高质量发展、促进高水平就业的办学方向，立足山东、扎根中国、放眼世界，大力推进产教融合、校企合作，在完善现代职教体系、</w:t>
      </w:r>
      <w:r>
        <w:rPr>
          <w:rFonts w:hint="eastAsia" w:ascii="仿宋_GB2312" w:hAnsi="Times New Roman" w:eastAsia="仿宋_GB2312"/>
          <w:color w:val="000000" w:themeColor="text1"/>
          <w:sz w:val="28"/>
          <w:szCs w:val="28"/>
          <w14:textFill>
            <w14:solidFill>
              <w14:schemeClr w14:val="tx1"/>
            </w14:solidFill>
          </w14:textFill>
        </w:rPr>
        <w:t>服务学生成长成才、服务山东新旧动能转换等方面贡献度明显提升。</w:t>
      </w:r>
    </w:p>
    <w:p>
      <w:pPr>
        <w:spacing w:line="52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根据教育部职成司《关于做好2022年职业教育质量年度报告编制、发布和报送工作的通知》（教职成司函〔2021〕37号）要求，以2021年全省独立设置的83所高职院校的《</w:t>
      </w:r>
      <w:bookmarkStart w:id="5" w:name="_Hlk91593287"/>
      <w:r>
        <w:rPr>
          <w:rFonts w:hint="eastAsia" w:ascii="仿宋_GB2312" w:hAnsi="Times New Roman" w:eastAsia="仿宋_GB2312"/>
          <w:color w:val="000000" w:themeColor="text1"/>
          <w:sz w:val="28"/>
          <w:szCs w:val="28"/>
          <w14:textFill>
            <w14:solidFill>
              <w14:schemeClr w14:val="tx1"/>
            </w14:solidFill>
          </w14:textFill>
        </w:rPr>
        <w:t>高等职业院校人才培养工作状态数据采集与管理平台2021</w:t>
      </w:r>
      <w:bookmarkEnd w:id="5"/>
      <w:r>
        <w:rPr>
          <w:rFonts w:hint="eastAsia" w:ascii="仿宋_GB2312" w:hAnsi="Times New Roman" w:eastAsia="仿宋_GB2312"/>
          <w:color w:val="000000" w:themeColor="text1"/>
          <w:sz w:val="28"/>
          <w:szCs w:val="28"/>
          <w14:textFill>
            <w14:solidFill>
              <w14:schemeClr w14:val="tx1"/>
            </w14:solidFill>
          </w14:textFill>
        </w:rPr>
        <w:t>》数据为基础，参考高职院校年度质量报告和指标，聚焦增强职业教育适应性，从体系构建、办学条件、学生发展、教育教学、服务贡献、职教吸引力、挑战与展望等方面，对山东省高职教育的发展进行全面分析总结，形成《山东省高等职业教育质量年度报告（2022）》。</w:t>
      </w:r>
    </w:p>
    <w:p>
      <w:pPr>
        <w:widowControl/>
        <w:jc w:val="left"/>
        <w:rPr>
          <w:rFonts w:ascii="仿宋_GB2312" w:hAnsi="Times New Roman" w:eastAsia="仿宋_GB2312"/>
          <w:color w:val="000000" w:themeColor="text1"/>
          <w:sz w:val="28"/>
          <w:szCs w:val="28"/>
          <w14:textFill>
            <w14:solidFill>
              <w14:schemeClr w14:val="tx1"/>
            </w14:solidFill>
          </w14:textFill>
        </w:rPr>
      </w:pPr>
      <w:r>
        <w:rPr>
          <w:rFonts w:ascii="仿宋_GB2312" w:hAnsi="Times New Roman" w:eastAsia="仿宋_GB2312"/>
          <w:color w:val="000000" w:themeColor="text1"/>
          <w:sz w:val="28"/>
          <w:szCs w:val="28"/>
          <w14:textFill>
            <w14:solidFill>
              <w14:schemeClr w14:val="tx1"/>
            </w14:solidFill>
          </w14:textFill>
        </w:rPr>
        <w:br w:type="page"/>
      </w: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widowControl/>
        <w:jc w:val="left"/>
        <w:rPr>
          <w:rFonts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br w:type="page"/>
      </w:r>
    </w:p>
    <w:p>
      <w:pPr>
        <w:spacing w:line="520" w:lineRule="exact"/>
        <w:jc w:val="center"/>
        <w:outlineLvl w:val="0"/>
        <w:rPr>
          <w:rFonts w:ascii="方正小标宋简体" w:hAnsi="黑体" w:eastAsia="方正小标宋简体" w:cs="黑体"/>
          <w:color w:val="000000" w:themeColor="text1"/>
          <w:sz w:val="44"/>
          <w:szCs w:val="44"/>
          <w14:textFill>
            <w14:solidFill>
              <w14:schemeClr w14:val="tx1"/>
            </w14:solidFill>
          </w14:textFill>
        </w:rPr>
      </w:pPr>
      <w:bookmarkStart w:id="6" w:name="_Toc94172285"/>
      <w:bookmarkStart w:id="7" w:name="_Toc94172144"/>
      <w:bookmarkStart w:id="8" w:name="_Toc91606463"/>
      <w:bookmarkStart w:id="9" w:name="_Toc94183387"/>
      <w:r>
        <w:rPr>
          <w:rFonts w:ascii="方正小标宋简体" w:hAnsi="黑体" w:eastAsia="方正小标宋简体" w:cs="黑体"/>
          <w:color w:val="000000" w:themeColor="text1"/>
          <w:sz w:val="44"/>
          <w:szCs w:val="44"/>
          <w14:textFill>
            <w14:solidFill>
              <w14:schemeClr w14:val="tx1"/>
            </w14:solidFill>
          </w14:textFill>
        </w:rPr>
        <w:t>目</w:t>
      </w:r>
      <w:r>
        <w:rPr>
          <w:rFonts w:hint="eastAsia" w:ascii="方正小标宋简体" w:hAnsi="黑体" w:eastAsia="方正小标宋简体" w:cs="黑体"/>
          <w:color w:val="000000" w:themeColor="text1"/>
          <w:sz w:val="44"/>
          <w:szCs w:val="44"/>
          <w14:textFill>
            <w14:solidFill>
              <w14:schemeClr w14:val="tx1"/>
            </w14:solidFill>
          </w14:textFill>
        </w:rPr>
        <w:t xml:space="preserve"> </w:t>
      </w:r>
      <w:r>
        <w:rPr>
          <w:rFonts w:ascii="方正小标宋简体" w:hAnsi="黑体" w:eastAsia="方正小标宋简体" w:cs="黑体"/>
          <w:color w:val="000000" w:themeColor="text1"/>
          <w:sz w:val="44"/>
          <w:szCs w:val="44"/>
          <w14:textFill>
            <w14:solidFill>
              <w14:schemeClr w14:val="tx1"/>
            </w14:solidFill>
          </w14:textFill>
        </w:rPr>
        <w:t xml:space="preserve"> 录</w:t>
      </w:r>
      <w:bookmarkEnd w:id="6"/>
      <w:bookmarkEnd w:id="7"/>
      <w:bookmarkEnd w:id="8"/>
      <w:bookmarkEnd w:id="9"/>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sdt>
      <w:sdtPr>
        <w:rPr>
          <w:rFonts w:asciiTheme="minorHAnsi" w:hAnsiTheme="minorHAnsi" w:eastAsiaTheme="minorEastAsia" w:cstheme="minorBidi"/>
          <w:color w:val="000000" w:themeColor="text1"/>
          <w:sz w:val="21"/>
          <w:szCs w:val="22"/>
          <w:lang w:val="zh-CN"/>
          <w14:textFill>
            <w14:solidFill>
              <w14:schemeClr w14:val="tx1"/>
            </w14:solidFill>
          </w14:textFill>
        </w:rPr>
        <w:id w:val="-1120538523"/>
        <w:docPartObj>
          <w:docPartGallery w:val="Table of Contents"/>
          <w:docPartUnique/>
        </w:docPartObj>
      </w:sdtPr>
      <w:sdtEndPr>
        <w:rPr>
          <w:rFonts w:asciiTheme="minorHAnsi" w:hAnsiTheme="minorHAnsi" w:eastAsiaTheme="minorEastAsia" w:cstheme="minorBidi"/>
          <w:b/>
          <w:bCs/>
          <w:color w:val="000000" w:themeColor="text1"/>
          <w:sz w:val="21"/>
          <w:szCs w:val="22"/>
          <w:lang w:val="zh-CN"/>
          <w14:textFill>
            <w14:solidFill>
              <w14:schemeClr w14:val="tx1"/>
            </w14:solidFill>
          </w14:textFill>
        </w:rPr>
      </w:sdtEndPr>
      <w:sdtContent>
        <w:p>
          <w:pPr>
            <w:pStyle w:val="13"/>
            <w:rPr>
              <w:rFonts w:asciiTheme="minorHAnsi" w:hAnsiTheme="minorHAnsi" w:eastAsiaTheme="minorEastAsia" w:cstheme="minorBidi"/>
              <w:sz w:val="21"/>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p>
        <w:p>
          <w:pPr>
            <w:pStyle w:val="13"/>
            <w:rPr>
              <w:rFonts w:asciiTheme="minorHAnsi" w:hAnsiTheme="minorHAnsi" w:eastAsiaTheme="minorEastAsia" w:cstheme="minorBidi"/>
              <w:sz w:val="21"/>
              <w:szCs w:val="22"/>
            </w:rPr>
          </w:pPr>
          <w:r>
            <w:fldChar w:fldCharType="begin"/>
          </w:r>
          <w:r>
            <w:instrText xml:space="preserve"> HYPERLINK \l "_Toc94183391" </w:instrText>
          </w:r>
          <w:r>
            <w:fldChar w:fldCharType="separate"/>
          </w:r>
          <w:r>
            <w:rPr>
              <w:rStyle w:val="25"/>
              <w:rFonts w:ascii="黑体" w:hAnsi="黑体" w:eastAsia="黑体"/>
            </w:rPr>
            <w:t>1.体系构建</w:t>
          </w:r>
          <w:r>
            <w:tab/>
          </w:r>
          <w:r>
            <w:fldChar w:fldCharType="begin"/>
          </w:r>
          <w:r>
            <w:instrText xml:space="preserve"> PAGEREF _Toc94183391 \h </w:instrText>
          </w:r>
          <w:r>
            <w:fldChar w:fldCharType="separate"/>
          </w:r>
          <w:r>
            <w:t>1</w:t>
          </w:r>
          <w:r>
            <w:fldChar w:fldCharType="end"/>
          </w:r>
          <w: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"_Toc94183392" </w:instrText>
          </w:r>
          <w:r>
            <w:fldChar w:fldCharType="separate"/>
          </w:r>
          <w:r>
            <w:rPr>
              <w:rStyle w:val="25"/>
              <w:rFonts w:ascii="宋体" w:hAnsi="宋体" w:cs="黑体"/>
              <w:sz w:val="24"/>
              <w:szCs w:val="24"/>
            </w:rPr>
            <w:t>1.1政策设计</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_Toc94183392 \h </w:instrText>
          </w:r>
          <w:r>
            <w:rPr>
              <w:rFonts w:ascii="宋体" w:hAnsi="宋体"/>
              <w:sz w:val="24"/>
              <w:szCs w:val="24"/>
            </w:rPr>
            <w:fldChar w:fldCharType="separate"/>
          </w:r>
          <w:r>
            <w:rPr>
              <w:rFonts w:ascii="宋体" w:hAnsi="宋体"/>
              <w:sz w:val="24"/>
              <w:szCs w:val="24"/>
            </w:rPr>
            <w:t>1</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"_Toc94183397" </w:instrText>
          </w:r>
          <w:r>
            <w:fldChar w:fldCharType="separate"/>
          </w:r>
          <w:r>
            <w:rPr>
              <w:rStyle w:val="25"/>
              <w:rFonts w:ascii="宋体" w:hAnsi="宋体" w:cs="黑体"/>
              <w:sz w:val="24"/>
              <w:szCs w:val="24"/>
            </w:rPr>
            <w:t>1.2 发展概况</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_Toc94183397 \h </w:instrText>
          </w:r>
          <w:r>
            <w:rPr>
              <w:rFonts w:ascii="宋体" w:hAnsi="宋体"/>
              <w:sz w:val="24"/>
              <w:szCs w:val="24"/>
            </w:rPr>
            <w:fldChar w:fldCharType="separate"/>
          </w:r>
          <w:r>
            <w:rPr>
              <w:rFonts w:ascii="宋体" w:hAnsi="宋体"/>
              <w:sz w:val="24"/>
              <w:szCs w:val="24"/>
            </w:rPr>
            <w:t>4</w:t>
          </w:r>
          <w:r>
            <w:rPr>
              <w:rFonts w:ascii="宋体" w:hAnsi="宋体"/>
              <w:sz w:val="24"/>
              <w:szCs w:val="24"/>
            </w:rPr>
            <w:fldChar w:fldCharType="end"/>
          </w:r>
          <w:r>
            <w:rPr>
              <w:rFonts w:ascii="宋体" w:hAnsi="宋体"/>
              <w:sz w:val="24"/>
              <w:szCs w:val="24"/>
            </w:rPr>
            <w:fldChar w:fldCharType="end"/>
          </w:r>
        </w:p>
        <w:p>
          <w:pPr>
            <w:pStyle w:val="13"/>
            <w:rPr>
              <w:rFonts w:asciiTheme="minorHAnsi" w:hAnsiTheme="minorHAnsi" w:eastAsiaTheme="minorEastAsia" w:cstheme="minorBidi"/>
              <w:sz w:val="21"/>
              <w:szCs w:val="22"/>
            </w:rPr>
          </w:pPr>
          <w:r>
            <w:fldChar w:fldCharType="begin"/>
          </w:r>
          <w:r>
            <w:instrText xml:space="preserve"> HYPERLINK \l "_Toc94183407" </w:instrText>
          </w:r>
          <w:r>
            <w:fldChar w:fldCharType="separate"/>
          </w:r>
          <w:r>
            <w:rPr>
              <w:rStyle w:val="25"/>
              <w:rFonts w:ascii="黑体" w:hAnsi="黑体" w:eastAsia="黑体"/>
            </w:rPr>
            <w:t>2.办学条件</w:t>
          </w:r>
          <w:r>
            <w:tab/>
          </w:r>
          <w:r>
            <w:fldChar w:fldCharType="begin"/>
          </w:r>
          <w:r>
            <w:instrText xml:space="preserve"> PAGEREF _Toc94183407 \h </w:instrText>
          </w:r>
          <w:r>
            <w:fldChar w:fldCharType="separate"/>
          </w:r>
          <w:r>
            <w:t>10</w:t>
          </w:r>
          <w:r>
            <w:fldChar w:fldCharType="end"/>
          </w:r>
          <w:r>
            <w:fldChar w:fldCharType="end"/>
          </w:r>
        </w:p>
        <w:p>
          <w:pPr>
            <w:pStyle w:val="17"/>
            <w:tabs>
              <w:tab w:val="right" w:leader="dot" w:pos="8834"/>
            </w:tabs>
            <w:spacing w:line="360" w:lineRule="auto"/>
            <w:ind w:left="221"/>
            <w:rPr>
              <w:rStyle w:val="25"/>
              <w:rFonts w:ascii="宋体" w:hAnsi="宋体" w:cs="黑体"/>
              <w:sz w:val="24"/>
              <w:szCs w:val="24"/>
              <w:u w:val="none"/>
            </w:rPr>
          </w:pPr>
          <w:r>
            <w:rPr>
              <w:rStyle w:val="25"/>
              <w:rFonts w:ascii="宋体" w:hAnsi="宋体" w:cs="黑体"/>
              <w:color w:val="auto"/>
              <w:sz w:val="24"/>
              <w:szCs w:val="24"/>
              <w:u w:val="none"/>
            </w:rPr>
            <w:t>2.1推进职业教育高质量发展</w:t>
          </w:r>
          <w:r>
            <w:rPr>
              <w:rStyle w:val="25"/>
              <w:rFonts w:ascii="宋体" w:hAnsi="宋体" w:cs="黑体"/>
              <w:color w:val="auto"/>
              <w:sz w:val="24"/>
              <w:szCs w:val="24"/>
              <w:u w:val="none"/>
            </w:rPr>
            <w:tab/>
          </w:r>
          <w:r>
            <w:rPr>
              <w:rStyle w:val="25"/>
              <w:rFonts w:hint="eastAsia" w:ascii="宋体" w:hAnsi="宋体" w:cs="黑体"/>
              <w:color w:val="auto"/>
              <w:sz w:val="24"/>
              <w:szCs w:val="24"/>
              <w:u w:val="none"/>
            </w:rPr>
            <w:t>10</w:t>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"_Toc94183409" </w:instrText>
          </w:r>
          <w:r>
            <w:fldChar w:fldCharType="separate"/>
          </w:r>
          <w:r>
            <w:rPr>
              <w:rStyle w:val="25"/>
              <w:rFonts w:ascii="宋体" w:hAnsi="宋体" w:cs="黑体"/>
              <w:sz w:val="24"/>
              <w:szCs w:val="24"/>
            </w:rPr>
            <w:t>2.2资源投入</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_Toc94183409 \h </w:instrText>
          </w:r>
          <w:r>
            <w:rPr>
              <w:rStyle w:val="25"/>
              <w:rFonts w:ascii="宋体" w:hAnsi="宋体" w:cs="黑体"/>
              <w:sz w:val="24"/>
              <w:szCs w:val="24"/>
            </w:rPr>
            <w:fldChar w:fldCharType="separate"/>
          </w:r>
          <w:r>
            <w:rPr>
              <w:rStyle w:val="25"/>
              <w:rFonts w:ascii="宋体" w:hAnsi="宋体" w:cs="黑体"/>
              <w:sz w:val="24"/>
              <w:szCs w:val="24"/>
            </w:rPr>
            <w:t>11</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"_Toc94183412" </w:instrText>
          </w:r>
          <w:r>
            <w:fldChar w:fldCharType="separate"/>
          </w:r>
          <w:r>
            <w:rPr>
              <w:rStyle w:val="25"/>
              <w:rFonts w:ascii="宋体" w:hAnsi="宋体" w:cs="黑体"/>
              <w:sz w:val="24"/>
              <w:szCs w:val="24"/>
            </w:rPr>
            <w:t>2.3经费保障</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_Toc94183412 \h </w:instrText>
          </w:r>
          <w:r>
            <w:rPr>
              <w:rStyle w:val="25"/>
              <w:rFonts w:ascii="宋体" w:hAnsi="宋体" w:cs="黑体"/>
              <w:sz w:val="24"/>
              <w:szCs w:val="24"/>
            </w:rPr>
            <w:fldChar w:fldCharType="separate"/>
          </w:r>
          <w:r>
            <w:rPr>
              <w:rStyle w:val="25"/>
              <w:rFonts w:ascii="宋体" w:hAnsi="宋体" w:cs="黑体"/>
              <w:sz w:val="24"/>
              <w:szCs w:val="24"/>
            </w:rPr>
            <w:t>13</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"_Toc94183415" </w:instrText>
          </w:r>
          <w:r>
            <w:fldChar w:fldCharType="separate"/>
          </w:r>
          <w:r>
            <w:rPr>
              <w:rStyle w:val="25"/>
              <w:rFonts w:ascii="宋体" w:hAnsi="宋体" w:cs="黑体"/>
              <w:sz w:val="24"/>
              <w:szCs w:val="24"/>
            </w:rPr>
            <w:t>2.4师资队伍</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_Toc94183415 \h </w:instrText>
          </w:r>
          <w:r>
            <w:rPr>
              <w:rStyle w:val="25"/>
              <w:rFonts w:ascii="宋体" w:hAnsi="宋体" w:cs="黑体"/>
              <w:sz w:val="24"/>
              <w:szCs w:val="24"/>
            </w:rPr>
            <w:fldChar w:fldCharType="separate"/>
          </w:r>
          <w:r>
            <w:rPr>
              <w:rStyle w:val="25"/>
              <w:rFonts w:ascii="宋体" w:hAnsi="宋体" w:cs="黑体"/>
              <w:sz w:val="24"/>
              <w:szCs w:val="24"/>
            </w:rPr>
            <w:t>15</w:t>
          </w:r>
          <w:r>
            <w:rPr>
              <w:rStyle w:val="25"/>
              <w:rFonts w:ascii="宋体" w:hAnsi="宋体" w:cs="黑体"/>
              <w:sz w:val="24"/>
              <w:szCs w:val="24"/>
            </w:rPr>
            <w:fldChar w:fldCharType="end"/>
          </w:r>
          <w:r>
            <w:rPr>
              <w:rStyle w:val="25"/>
              <w:rFonts w:ascii="宋体" w:hAnsi="宋体" w:cs="黑体"/>
              <w:sz w:val="24"/>
              <w:szCs w:val="24"/>
            </w:rPr>
            <w:fldChar w:fldCharType="end"/>
          </w:r>
        </w:p>
        <w:p>
          <w:pPr>
            <w:pStyle w:val="13"/>
            <w:rPr>
              <w:rFonts w:asciiTheme="minorHAnsi" w:hAnsiTheme="minorHAnsi" w:eastAsiaTheme="minorEastAsia" w:cstheme="minorBidi"/>
              <w:sz w:val="21"/>
              <w:szCs w:val="22"/>
            </w:rPr>
          </w:pPr>
          <w:r>
            <w:fldChar w:fldCharType="begin"/>
          </w:r>
          <w:r>
            <w:instrText xml:space="preserve"> HYPERLINK \l "_Toc94183421" </w:instrText>
          </w:r>
          <w:r>
            <w:fldChar w:fldCharType="separate"/>
          </w:r>
          <w:r>
            <w:rPr>
              <w:rStyle w:val="25"/>
              <w:rFonts w:ascii="黑体" w:hAnsi="黑体" w:eastAsia="黑体"/>
            </w:rPr>
            <w:t>3.教育教学</w:t>
          </w:r>
          <w:r>
            <w:tab/>
          </w:r>
          <w:r>
            <w:fldChar w:fldCharType="begin"/>
          </w:r>
          <w:r>
            <w:instrText xml:space="preserve"> PAGEREF _Toc94183421 \h </w:instrText>
          </w:r>
          <w:r>
            <w:fldChar w:fldCharType="separate"/>
          </w:r>
          <w:r>
            <w:t>19</w:t>
          </w:r>
          <w:r>
            <w:fldChar w:fldCharType="end"/>
          </w:r>
          <w: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"_Toc94183422" </w:instrText>
          </w:r>
          <w:r>
            <w:fldChar w:fldCharType="separate"/>
          </w:r>
          <w:r>
            <w:rPr>
              <w:rStyle w:val="25"/>
              <w:rFonts w:ascii="宋体" w:hAnsi="宋体" w:cs="黑体"/>
              <w:sz w:val="24"/>
              <w:szCs w:val="24"/>
            </w:rPr>
            <w:t>3.1治理体系</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_Toc94183422 \h </w:instrText>
          </w:r>
          <w:r>
            <w:rPr>
              <w:rStyle w:val="25"/>
              <w:rFonts w:ascii="宋体" w:hAnsi="宋体" w:cs="黑体"/>
              <w:sz w:val="24"/>
              <w:szCs w:val="24"/>
            </w:rPr>
            <w:fldChar w:fldCharType="separate"/>
          </w:r>
          <w:r>
            <w:rPr>
              <w:rStyle w:val="25"/>
              <w:rFonts w:ascii="宋体" w:hAnsi="宋体" w:cs="黑体"/>
              <w:sz w:val="24"/>
              <w:szCs w:val="24"/>
            </w:rPr>
            <w:t>19</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"_Toc94183426" </w:instrText>
          </w:r>
          <w:r>
            <w:fldChar w:fldCharType="separate"/>
          </w:r>
          <w:r>
            <w:rPr>
              <w:rStyle w:val="25"/>
              <w:rFonts w:ascii="宋体" w:hAnsi="宋体" w:cs="黑体"/>
              <w:sz w:val="24"/>
              <w:szCs w:val="24"/>
            </w:rPr>
            <w:t>3.2“双元”育人</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_Toc94183426 \h </w:instrText>
          </w:r>
          <w:r>
            <w:rPr>
              <w:rStyle w:val="25"/>
              <w:rFonts w:ascii="宋体" w:hAnsi="宋体" w:cs="黑体"/>
              <w:sz w:val="24"/>
              <w:szCs w:val="24"/>
            </w:rPr>
            <w:fldChar w:fldCharType="separate"/>
          </w:r>
          <w:r>
            <w:rPr>
              <w:rStyle w:val="25"/>
              <w:rFonts w:ascii="宋体" w:hAnsi="宋体" w:cs="黑体"/>
              <w:sz w:val="24"/>
              <w:szCs w:val="24"/>
            </w:rPr>
            <w:t>20</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"_Toc94183434" </w:instrText>
          </w:r>
          <w:r>
            <w:fldChar w:fldCharType="separate"/>
          </w:r>
          <w:r>
            <w:rPr>
              <w:rStyle w:val="25"/>
              <w:rFonts w:ascii="宋体" w:hAnsi="宋体" w:cs="黑体"/>
              <w:sz w:val="24"/>
              <w:szCs w:val="24"/>
            </w:rPr>
            <w:t>3.3专业（群）建设</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_Toc94183434 \h </w:instrText>
          </w:r>
          <w:r>
            <w:rPr>
              <w:rStyle w:val="25"/>
              <w:rFonts w:ascii="宋体" w:hAnsi="宋体" w:cs="黑体"/>
              <w:sz w:val="24"/>
              <w:szCs w:val="24"/>
            </w:rPr>
            <w:fldChar w:fldCharType="separate"/>
          </w:r>
          <w:r>
            <w:rPr>
              <w:rStyle w:val="25"/>
              <w:rFonts w:ascii="宋体" w:hAnsi="宋体" w:cs="黑体"/>
              <w:sz w:val="24"/>
              <w:szCs w:val="24"/>
            </w:rPr>
            <w:t>23</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"_Toc94183446" </w:instrText>
          </w:r>
          <w:r>
            <w:fldChar w:fldCharType="separate"/>
          </w:r>
          <w:r>
            <w:rPr>
              <w:rStyle w:val="25"/>
              <w:rFonts w:ascii="宋体" w:hAnsi="宋体" w:cs="黑体"/>
              <w:sz w:val="24"/>
              <w:szCs w:val="24"/>
            </w:rPr>
            <w:t>3.4课程改革</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_Toc94183446 \h </w:instrText>
          </w:r>
          <w:r>
            <w:rPr>
              <w:rStyle w:val="25"/>
              <w:rFonts w:ascii="宋体" w:hAnsi="宋体" w:cs="黑体"/>
              <w:sz w:val="24"/>
              <w:szCs w:val="24"/>
            </w:rPr>
            <w:fldChar w:fldCharType="separate"/>
          </w:r>
          <w:r>
            <w:rPr>
              <w:rStyle w:val="25"/>
              <w:rFonts w:ascii="宋体" w:hAnsi="宋体" w:cs="黑体"/>
              <w:sz w:val="24"/>
              <w:szCs w:val="24"/>
            </w:rPr>
            <w:t>28</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"_Toc94183453" </w:instrText>
          </w:r>
          <w:r>
            <w:fldChar w:fldCharType="separate"/>
          </w:r>
          <w:r>
            <w:rPr>
              <w:rStyle w:val="25"/>
              <w:rFonts w:ascii="宋体" w:hAnsi="宋体" w:cs="黑体"/>
              <w:sz w:val="24"/>
              <w:szCs w:val="24"/>
            </w:rPr>
            <w:t>3.5质量保障</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_Toc94183453 \h </w:instrText>
          </w:r>
          <w:r>
            <w:rPr>
              <w:rStyle w:val="25"/>
              <w:rFonts w:ascii="宋体" w:hAnsi="宋体" w:cs="黑体"/>
              <w:sz w:val="24"/>
              <w:szCs w:val="24"/>
            </w:rPr>
            <w:fldChar w:fldCharType="separate"/>
          </w:r>
          <w:r>
            <w:rPr>
              <w:rStyle w:val="25"/>
              <w:rFonts w:ascii="宋体" w:hAnsi="宋体" w:cs="黑体"/>
              <w:sz w:val="24"/>
              <w:szCs w:val="24"/>
            </w:rPr>
            <w:t>31</w:t>
          </w:r>
          <w:r>
            <w:rPr>
              <w:rStyle w:val="25"/>
              <w:rFonts w:ascii="宋体" w:hAnsi="宋体" w:cs="黑体"/>
              <w:sz w:val="24"/>
              <w:szCs w:val="24"/>
            </w:rPr>
            <w:fldChar w:fldCharType="end"/>
          </w:r>
          <w:r>
            <w:rPr>
              <w:rStyle w:val="25"/>
              <w:rFonts w:ascii="宋体" w:hAnsi="宋体" w:cs="黑体"/>
              <w:sz w:val="24"/>
              <w:szCs w:val="24"/>
            </w:rPr>
            <w:fldChar w:fldCharType="end"/>
          </w:r>
        </w:p>
        <w:p>
          <w:pPr>
            <w:pStyle w:val="13"/>
            <w:rPr>
              <w:rFonts w:asciiTheme="minorHAnsi" w:hAnsiTheme="minorHAnsi" w:eastAsiaTheme="minorEastAsia" w:cstheme="minorBidi"/>
              <w:sz w:val="21"/>
              <w:szCs w:val="22"/>
            </w:rPr>
          </w:pPr>
          <w:r>
            <w:fldChar w:fldCharType="begin"/>
          </w:r>
          <w:r>
            <w:instrText xml:space="preserve"> HYPERLINK \l "_Toc94183459" </w:instrText>
          </w:r>
          <w:r>
            <w:fldChar w:fldCharType="separate"/>
          </w:r>
          <w:r>
            <w:rPr>
              <w:rStyle w:val="25"/>
              <w:rFonts w:ascii="黑体" w:hAnsi="黑体" w:eastAsia="黑体"/>
            </w:rPr>
            <w:t>4  学生发展</w:t>
          </w:r>
          <w:r>
            <w:tab/>
          </w:r>
          <w:r>
            <w:fldChar w:fldCharType="begin"/>
          </w:r>
          <w:r>
            <w:instrText xml:space="preserve"> PAGEREF _Toc94183459 \h </w:instrText>
          </w:r>
          <w:r>
            <w:fldChar w:fldCharType="separate"/>
          </w:r>
          <w:r>
            <w:t>33</w:t>
          </w:r>
          <w:r>
            <w:fldChar w:fldCharType="end"/>
          </w:r>
          <w: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"_Toc94183460" </w:instrText>
          </w:r>
          <w:r>
            <w:fldChar w:fldCharType="separate"/>
          </w:r>
          <w:r>
            <w:rPr>
              <w:rStyle w:val="25"/>
              <w:rFonts w:ascii="宋体" w:hAnsi="宋体" w:cs="黑体"/>
              <w:sz w:val="24"/>
              <w:szCs w:val="24"/>
            </w:rPr>
            <w:t>4.1育人成效</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_Toc94183460 \h </w:instrText>
          </w:r>
          <w:r>
            <w:rPr>
              <w:rStyle w:val="25"/>
              <w:rFonts w:ascii="宋体" w:hAnsi="宋体" w:cs="黑体"/>
              <w:sz w:val="24"/>
              <w:szCs w:val="24"/>
            </w:rPr>
            <w:fldChar w:fldCharType="separate"/>
          </w:r>
          <w:r>
            <w:rPr>
              <w:rStyle w:val="25"/>
              <w:rFonts w:ascii="宋体" w:hAnsi="宋体" w:cs="黑体"/>
              <w:sz w:val="24"/>
              <w:szCs w:val="24"/>
            </w:rPr>
            <w:t>33</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"_Toc94183470" </w:instrText>
          </w:r>
          <w:r>
            <w:fldChar w:fldCharType="separate"/>
          </w:r>
          <w:r>
            <w:rPr>
              <w:rStyle w:val="25"/>
              <w:rFonts w:ascii="宋体" w:hAnsi="宋体" w:cs="黑体"/>
              <w:sz w:val="24"/>
              <w:szCs w:val="24"/>
            </w:rPr>
            <w:t>4.2就业质量</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_Toc94183470 \h </w:instrText>
          </w:r>
          <w:r>
            <w:rPr>
              <w:rStyle w:val="25"/>
              <w:rFonts w:ascii="宋体" w:hAnsi="宋体" w:cs="黑体"/>
              <w:sz w:val="24"/>
              <w:szCs w:val="24"/>
            </w:rPr>
            <w:fldChar w:fldCharType="separate"/>
          </w:r>
          <w:r>
            <w:rPr>
              <w:rStyle w:val="25"/>
              <w:rFonts w:ascii="宋体" w:hAnsi="宋体" w:cs="黑体"/>
              <w:sz w:val="24"/>
              <w:szCs w:val="24"/>
            </w:rPr>
            <w:t>37</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"_Toc94183479" </w:instrText>
          </w:r>
          <w:r>
            <w:fldChar w:fldCharType="separate"/>
          </w:r>
          <w:r>
            <w:rPr>
              <w:rStyle w:val="25"/>
              <w:rFonts w:ascii="宋体" w:hAnsi="宋体" w:cs="黑体"/>
              <w:sz w:val="24"/>
              <w:szCs w:val="24"/>
            </w:rPr>
            <w:t>4.3就业特征</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_Toc94183479 \h </w:instrText>
          </w:r>
          <w:r>
            <w:rPr>
              <w:rStyle w:val="25"/>
              <w:rFonts w:ascii="宋体" w:hAnsi="宋体" w:cs="黑体"/>
              <w:sz w:val="24"/>
              <w:szCs w:val="24"/>
            </w:rPr>
            <w:fldChar w:fldCharType="separate"/>
          </w:r>
          <w:r>
            <w:rPr>
              <w:rStyle w:val="25"/>
              <w:rFonts w:ascii="宋体" w:hAnsi="宋体" w:cs="黑体"/>
              <w:sz w:val="24"/>
              <w:szCs w:val="24"/>
            </w:rPr>
            <w:t>39</w:t>
          </w:r>
          <w:r>
            <w:rPr>
              <w:rStyle w:val="25"/>
              <w:rFonts w:ascii="宋体" w:hAnsi="宋体" w:cs="黑体"/>
              <w:sz w:val="24"/>
              <w:szCs w:val="24"/>
            </w:rPr>
            <w:fldChar w:fldCharType="end"/>
          </w:r>
          <w:r>
            <w:rPr>
              <w:rStyle w:val="25"/>
              <w:rFonts w:ascii="宋体" w:hAnsi="宋体" w:cs="黑体"/>
              <w:sz w:val="24"/>
              <w:szCs w:val="24"/>
            </w:rPr>
            <w:fldChar w:fldCharType="end"/>
          </w:r>
        </w:p>
        <w:p>
          <w:pPr>
            <w:pStyle w:val="13"/>
            <w:rPr>
              <w:rFonts w:asciiTheme="minorHAnsi" w:hAnsiTheme="minorHAnsi" w:eastAsiaTheme="minorEastAsia" w:cstheme="minorBidi"/>
              <w:sz w:val="21"/>
              <w:szCs w:val="22"/>
            </w:rPr>
          </w:pPr>
          <w:r>
            <w:fldChar w:fldCharType="begin"/>
          </w:r>
          <w:r>
            <w:instrText xml:space="preserve"> HYPERLINK \l "_Toc94183487" </w:instrText>
          </w:r>
          <w:r>
            <w:fldChar w:fldCharType="separate"/>
          </w:r>
          <w:r>
            <w:rPr>
              <w:rStyle w:val="25"/>
              <w:rFonts w:ascii="黑体" w:hAnsi="黑体" w:eastAsia="黑体"/>
            </w:rPr>
            <w:t>5.服务贡献</w:t>
          </w:r>
          <w:r>
            <w:tab/>
          </w:r>
          <w:r>
            <w:fldChar w:fldCharType="begin"/>
          </w:r>
          <w:r>
            <w:instrText xml:space="preserve"> PAGEREF _Toc94183487 \h </w:instrText>
          </w:r>
          <w:r>
            <w:fldChar w:fldCharType="separate"/>
          </w:r>
          <w:r>
            <w:t>43</w:t>
          </w:r>
          <w:r>
            <w:fldChar w:fldCharType="end"/>
          </w:r>
          <w: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"_Toc94183489" </w:instrText>
          </w:r>
          <w:r>
            <w:fldChar w:fldCharType="separate"/>
          </w:r>
          <w:r>
            <w:rPr>
              <w:rStyle w:val="25"/>
              <w:rFonts w:ascii="宋体" w:hAnsi="宋体" w:cs="黑体"/>
              <w:sz w:val="24"/>
              <w:szCs w:val="24"/>
            </w:rPr>
            <w:t>5.1人才输送</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_Toc94183489 \h </w:instrText>
          </w:r>
          <w:r>
            <w:rPr>
              <w:rStyle w:val="25"/>
              <w:rFonts w:ascii="宋体" w:hAnsi="宋体" w:cs="黑体"/>
              <w:sz w:val="24"/>
              <w:szCs w:val="24"/>
            </w:rPr>
            <w:fldChar w:fldCharType="separate"/>
          </w:r>
          <w:r>
            <w:rPr>
              <w:rStyle w:val="25"/>
              <w:rFonts w:ascii="宋体" w:hAnsi="宋体" w:cs="黑体"/>
              <w:sz w:val="24"/>
              <w:szCs w:val="24"/>
            </w:rPr>
            <w:t>44</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"_Toc94183491" </w:instrText>
          </w:r>
          <w:r>
            <w:fldChar w:fldCharType="separate"/>
          </w:r>
          <w:r>
            <w:rPr>
              <w:rStyle w:val="25"/>
              <w:rFonts w:ascii="宋体" w:hAnsi="宋体" w:cs="黑体"/>
              <w:sz w:val="24"/>
              <w:szCs w:val="24"/>
            </w:rPr>
            <w:t>5.2科技服务</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_Toc94183491 \h </w:instrText>
          </w:r>
          <w:r>
            <w:rPr>
              <w:rStyle w:val="25"/>
              <w:rFonts w:ascii="宋体" w:hAnsi="宋体" w:cs="黑体"/>
              <w:sz w:val="24"/>
              <w:szCs w:val="24"/>
            </w:rPr>
            <w:fldChar w:fldCharType="separate"/>
          </w:r>
          <w:r>
            <w:rPr>
              <w:rStyle w:val="25"/>
              <w:rFonts w:ascii="宋体" w:hAnsi="宋体" w:cs="黑体"/>
              <w:sz w:val="24"/>
              <w:szCs w:val="24"/>
            </w:rPr>
            <w:t>45</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"_Toc94183496" </w:instrText>
          </w:r>
          <w:r>
            <w:fldChar w:fldCharType="separate"/>
          </w:r>
          <w:r>
            <w:rPr>
              <w:rStyle w:val="25"/>
              <w:rFonts w:ascii="宋体" w:hAnsi="宋体" w:cs="黑体"/>
              <w:sz w:val="24"/>
              <w:szCs w:val="24"/>
            </w:rPr>
            <w:t>5.3社会培训</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_Toc94183496 \h </w:instrText>
          </w:r>
          <w:r>
            <w:rPr>
              <w:rStyle w:val="25"/>
              <w:rFonts w:ascii="宋体" w:hAnsi="宋体" w:cs="黑体"/>
              <w:sz w:val="24"/>
              <w:szCs w:val="24"/>
            </w:rPr>
            <w:fldChar w:fldCharType="separate"/>
          </w:r>
          <w:r>
            <w:rPr>
              <w:rStyle w:val="25"/>
              <w:rFonts w:ascii="宋体" w:hAnsi="宋体" w:cs="黑体"/>
              <w:sz w:val="24"/>
              <w:szCs w:val="24"/>
            </w:rPr>
            <w:t>48</w:t>
          </w:r>
          <w:r>
            <w:rPr>
              <w:rStyle w:val="25"/>
              <w:rFonts w:ascii="宋体" w:hAnsi="宋体" w:cs="黑体"/>
              <w:sz w:val="24"/>
              <w:szCs w:val="24"/>
            </w:rPr>
            <w:fldChar w:fldCharType="end"/>
          </w:r>
          <w:r>
            <w:rPr>
              <w:rStyle w:val="25"/>
              <w:rFonts w:ascii="宋体" w:hAnsi="宋体" w:cs="黑体"/>
              <w:sz w:val="24"/>
              <w:szCs w:val="24"/>
            </w:rPr>
            <w:fldChar w:fldCharType="end"/>
          </w:r>
        </w:p>
        <w:p>
          <w:pPr>
            <w:pStyle w:val="13"/>
            <w:rPr>
              <w:rFonts w:asciiTheme="minorHAnsi" w:hAnsiTheme="minorHAnsi" w:eastAsiaTheme="minorEastAsia" w:cstheme="minorBidi"/>
              <w:sz w:val="21"/>
              <w:szCs w:val="22"/>
            </w:rPr>
          </w:pPr>
          <w:r>
            <w:fldChar w:fldCharType="begin"/>
          </w:r>
          <w:r>
            <w:instrText xml:space="preserve"> HYPERLINK \l "_Toc94183499" </w:instrText>
          </w:r>
          <w:r>
            <w:fldChar w:fldCharType="separate"/>
          </w:r>
          <w:r>
            <w:rPr>
              <w:rStyle w:val="25"/>
              <w:rFonts w:ascii="黑体" w:hAnsi="黑体" w:eastAsia="黑体"/>
            </w:rPr>
            <w:t>6.职教吸引力</w:t>
          </w:r>
          <w:r>
            <w:tab/>
          </w:r>
          <w:r>
            <w:fldChar w:fldCharType="begin"/>
          </w:r>
          <w:r>
            <w:instrText xml:space="preserve"> PAGEREF _Toc94183499 \h </w:instrText>
          </w:r>
          <w:r>
            <w:fldChar w:fldCharType="separate"/>
          </w:r>
          <w:r>
            <w:t>53</w:t>
          </w:r>
          <w:r>
            <w:fldChar w:fldCharType="end"/>
          </w:r>
          <w: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"_Toc94183501" </w:instrText>
          </w:r>
          <w:r>
            <w:fldChar w:fldCharType="separate"/>
          </w:r>
          <w:r>
            <w:rPr>
              <w:rStyle w:val="25"/>
              <w:rFonts w:ascii="宋体" w:hAnsi="宋体" w:cs="黑体"/>
              <w:sz w:val="24"/>
              <w:szCs w:val="24"/>
            </w:rPr>
            <w:t>6.1招生报到情况</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_Toc94183501 \h </w:instrText>
          </w:r>
          <w:r>
            <w:rPr>
              <w:rStyle w:val="25"/>
              <w:rFonts w:ascii="宋体" w:hAnsi="宋体" w:cs="黑体"/>
              <w:sz w:val="24"/>
              <w:szCs w:val="24"/>
            </w:rPr>
            <w:fldChar w:fldCharType="separate"/>
          </w:r>
          <w:r>
            <w:rPr>
              <w:rStyle w:val="25"/>
              <w:rFonts w:ascii="宋体" w:hAnsi="宋体" w:cs="黑体"/>
              <w:sz w:val="24"/>
              <w:szCs w:val="24"/>
            </w:rPr>
            <w:t>53</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"_Toc94183503" </w:instrText>
          </w:r>
          <w:r>
            <w:fldChar w:fldCharType="separate"/>
          </w:r>
          <w:r>
            <w:rPr>
              <w:rStyle w:val="25"/>
              <w:rFonts w:ascii="宋体" w:hAnsi="宋体" w:cs="黑体"/>
              <w:sz w:val="24"/>
              <w:szCs w:val="24"/>
            </w:rPr>
            <w:t>6.2学生与雇主满意度</w:t>
          </w:r>
          <w:r>
            <w:rPr>
              <w:rStyle w:val="25"/>
              <w:rFonts w:ascii="宋体" w:hAnsi="宋体" w:cs="黑体"/>
              <w:sz w:val="24"/>
              <w:szCs w:val="24"/>
            </w:rPr>
            <w:tab/>
          </w:r>
          <w:bookmarkStart w:id="687" w:name="_GoBack"/>
          <w:bookmarkEnd w:id="687"/>
          <w:r>
            <w:rPr>
              <w:rStyle w:val="25"/>
              <w:rFonts w:ascii="宋体" w:hAnsi="宋体" w:cs="黑体"/>
              <w:sz w:val="24"/>
              <w:szCs w:val="24"/>
            </w:rPr>
            <w:fldChar w:fldCharType="begin"/>
          </w:r>
          <w:r>
            <w:rPr>
              <w:rStyle w:val="25"/>
              <w:rFonts w:ascii="宋体" w:hAnsi="宋体" w:cs="黑体"/>
              <w:sz w:val="24"/>
              <w:szCs w:val="24"/>
            </w:rPr>
            <w:instrText xml:space="preserve"> PAGEREF _Toc94183503 \h </w:instrText>
          </w:r>
          <w:r>
            <w:rPr>
              <w:rStyle w:val="25"/>
              <w:rFonts w:ascii="宋体" w:hAnsi="宋体" w:cs="黑体"/>
              <w:sz w:val="24"/>
              <w:szCs w:val="24"/>
            </w:rPr>
            <w:fldChar w:fldCharType="separate"/>
          </w:r>
          <w:r>
            <w:rPr>
              <w:rStyle w:val="25"/>
              <w:rFonts w:ascii="宋体" w:hAnsi="宋体" w:cs="黑体"/>
              <w:sz w:val="24"/>
              <w:szCs w:val="24"/>
            </w:rPr>
            <w:t>54</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"_Toc94183506" </w:instrText>
          </w:r>
          <w:r>
            <w:fldChar w:fldCharType="separate"/>
          </w:r>
          <w:r>
            <w:rPr>
              <w:rStyle w:val="25"/>
              <w:rFonts w:ascii="宋体" w:hAnsi="宋体" w:cs="黑体"/>
              <w:sz w:val="24"/>
              <w:szCs w:val="24"/>
            </w:rPr>
            <w:t>6.3社会影响</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_Toc94183506 \h </w:instrText>
          </w:r>
          <w:r>
            <w:rPr>
              <w:rStyle w:val="25"/>
              <w:rFonts w:ascii="宋体" w:hAnsi="宋体" w:cs="黑体"/>
              <w:sz w:val="24"/>
              <w:szCs w:val="24"/>
            </w:rPr>
            <w:fldChar w:fldCharType="separate"/>
          </w:r>
          <w:r>
            <w:rPr>
              <w:rStyle w:val="25"/>
              <w:rFonts w:ascii="宋体" w:hAnsi="宋体" w:cs="黑体"/>
              <w:sz w:val="24"/>
              <w:szCs w:val="24"/>
            </w:rPr>
            <w:t>56</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"_Toc94183508" </w:instrText>
          </w:r>
          <w:r>
            <w:fldChar w:fldCharType="separate"/>
          </w:r>
          <w:r>
            <w:rPr>
              <w:rStyle w:val="25"/>
              <w:rFonts w:ascii="宋体" w:hAnsi="宋体" w:cs="黑体"/>
              <w:sz w:val="24"/>
              <w:szCs w:val="24"/>
            </w:rPr>
            <w:t>6.4国际影响</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_Toc94183508 \h </w:instrText>
          </w:r>
          <w:r>
            <w:rPr>
              <w:rStyle w:val="25"/>
              <w:rFonts w:ascii="宋体" w:hAnsi="宋体" w:cs="黑体"/>
              <w:sz w:val="24"/>
              <w:szCs w:val="24"/>
            </w:rPr>
            <w:fldChar w:fldCharType="separate"/>
          </w:r>
          <w:r>
            <w:rPr>
              <w:rStyle w:val="25"/>
              <w:rFonts w:ascii="宋体" w:hAnsi="宋体" w:cs="黑体"/>
              <w:sz w:val="24"/>
              <w:szCs w:val="24"/>
            </w:rPr>
            <w:t>57</w:t>
          </w:r>
          <w:r>
            <w:rPr>
              <w:rStyle w:val="25"/>
              <w:rFonts w:ascii="宋体" w:hAnsi="宋体" w:cs="黑体"/>
              <w:sz w:val="24"/>
              <w:szCs w:val="24"/>
            </w:rPr>
            <w:fldChar w:fldCharType="end"/>
          </w:r>
          <w:r>
            <w:rPr>
              <w:rStyle w:val="25"/>
              <w:rFonts w:ascii="宋体" w:hAnsi="宋体" w:cs="黑体"/>
              <w:sz w:val="24"/>
              <w:szCs w:val="24"/>
            </w:rPr>
            <w:fldChar w:fldCharType="end"/>
          </w:r>
        </w:p>
        <w:p>
          <w:pPr>
            <w:pStyle w:val="13"/>
            <w:rPr>
              <w:rFonts w:asciiTheme="minorHAnsi" w:hAnsiTheme="minorHAnsi" w:eastAsiaTheme="minorEastAsia" w:cstheme="minorBidi"/>
              <w:sz w:val="21"/>
              <w:szCs w:val="22"/>
            </w:rPr>
          </w:pPr>
          <w:r>
            <w:fldChar w:fldCharType="begin"/>
          </w:r>
          <w:r>
            <w:instrText xml:space="preserve"> HYPERLINK \l "_Toc94183511" </w:instrText>
          </w:r>
          <w:r>
            <w:fldChar w:fldCharType="separate"/>
          </w:r>
          <w:r>
            <w:rPr>
              <w:rStyle w:val="25"/>
              <w:rFonts w:ascii="黑体" w:hAnsi="黑体" w:eastAsia="黑体"/>
            </w:rPr>
            <w:t>7.挑战与展望</w:t>
          </w:r>
          <w:r>
            <w:tab/>
          </w:r>
          <w:r>
            <w:fldChar w:fldCharType="begin"/>
          </w:r>
          <w:r>
            <w:instrText xml:space="preserve"> PAGEREF _Toc94183511 \h </w:instrText>
          </w:r>
          <w:r>
            <w:fldChar w:fldCharType="separate"/>
          </w:r>
          <w:r>
            <w:t>61</w:t>
          </w:r>
          <w:r>
            <w:fldChar w:fldCharType="end"/>
          </w:r>
          <w: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"_Toc94183512" </w:instrText>
          </w:r>
          <w:r>
            <w:fldChar w:fldCharType="separate"/>
          </w:r>
          <w:r>
            <w:rPr>
              <w:rStyle w:val="25"/>
              <w:rFonts w:ascii="宋体" w:hAnsi="宋体" w:cs="黑体"/>
              <w:sz w:val="24"/>
              <w:szCs w:val="24"/>
            </w:rPr>
            <w:t>7.1 提升高职教育供给与经济社会发展需求的匹配度，增强职业教育适应性</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_Toc94183512 \h </w:instrText>
          </w:r>
          <w:r>
            <w:rPr>
              <w:rStyle w:val="25"/>
              <w:rFonts w:ascii="宋体" w:hAnsi="宋体" w:cs="黑体"/>
              <w:sz w:val="24"/>
              <w:szCs w:val="24"/>
            </w:rPr>
            <w:fldChar w:fldCharType="separate"/>
          </w:r>
          <w:r>
            <w:rPr>
              <w:rStyle w:val="25"/>
              <w:rFonts w:ascii="宋体" w:hAnsi="宋体" w:cs="黑体"/>
              <w:sz w:val="24"/>
              <w:szCs w:val="24"/>
            </w:rPr>
            <w:t>61</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"_Toc94183513" </w:instrText>
          </w:r>
          <w:r>
            <w:fldChar w:fldCharType="separate"/>
          </w:r>
          <w:r>
            <w:rPr>
              <w:rStyle w:val="25"/>
              <w:rFonts w:ascii="宋体" w:hAnsi="宋体" w:cs="黑体"/>
              <w:sz w:val="24"/>
              <w:szCs w:val="24"/>
            </w:rPr>
            <w:t xml:space="preserve">7.2 </w:t>
          </w:r>
          <w:r>
            <w:rPr>
              <w:rStyle w:val="25"/>
              <w:rFonts w:hint="eastAsia" w:ascii="宋体" w:hAnsi="宋体" w:cs="黑体"/>
              <w:sz w:val="24"/>
              <w:szCs w:val="24"/>
              <w:lang w:val="en-US" w:eastAsia="zh-CN"/>
            </w:rPr>
            <w:t>稳</w:t>
          </w:r>
          <w:r>
            <w:rPr>
              <w:rStyle w:val="25"/>
              <w:rFonts w:ascii="宋体" w:hAnsi="宋体" w:cs="黑体"/>
              <w:sz w:val="24"/>
              <w:szCs w:val="24"/>
            </w:rPr>
            <w:t>步发展本科层次职业教育，完善现代职业教育体系</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_Toc94183513 \h </w:instrText>
          </w:r>
          <w:r>
            <w:rPr>
              <w:rStyle w:val="25"/>
              <w:rFonts w:ascii="宋体" w:hAnsi="宋体" w:cs="黑体"/>
              <w:sz w:val="24"/>
              <w:szCs w:val="24"/>
            </w:rPr>
            <w:fldChar w:fldCharType="separate"/>
          </w:r>
          <w:r>
            <w:rPr>
              <w:rStyle w:val="25"/>
              <w:rFonts w:ascii="宋体" w:hAnsi="宋体" w:cs="黑体"/>
              <w:sz w:val="24"/>
              <w:szCs w:val="24"/>
            </w:rPr>
            <w:t>61</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"_Toc94183514" </w:instrText>
          </w:r>
          <w:r>
            <w:fldChar w:fldCharType="separate"/>
          </w:r>
          <w:r>
            <w:rPr>
              <w:rStyle w:val="25"/>
              <w:rFonts w:ascii="宋体" w:hAnsi="宋体" w:cs="黑体"/>
              <w:sz w:val="24"/>
              <w:szCs w:val="24"/>
            </w:rPr>
            <w:t>7.3 打造高职教育教师发展高地，助推职业教育高质量发展</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_Toc94183514 \h </w:instrText>
          </w:r>
          <w:r>
            <w:rPr>
              <w:rStyle w:val="25"/>
              <w:rFonts w:ascii="宋体" w:hAnsi="宋体" w:cs="黑体"/>
              <w:sz w:val="24"/>
              <w:szCs w:val="24"/>
            </w:rPr>
            <w:fldChar w:fldCharType="separate"/>
          </w:r>
          <w:r>
            <w:rPr>
              <w:rStyle w:val="25"/>
              <w:rFonts w:ascii="宋体" w:hAnsi="宋体" w:cs="黑体"/>
              <w:sz w:val="24"/>
              <w:szCs w:val="24"/>
            </w:rPr>
            <w:t>61</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"_Toc94183515" </w:instrText>
          </w:r>
          <w:r>
            <w:fldChar w:fldCharType="separate"/>
          </w:r>
          <w:r>
            <w:rPr>
              <w:rStyle w:val="25"/>
              <w:rFonts w:ascii="宋体" w:hAnsi="宋体" w:cs="黑体"/>
              <w:sz w:val="24"/>
              <w:szCs w:val="24"/>
            </w:rPr>
            <w:t>7.4 构建多元办学格局，实现治理体系和治理能力现代化</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_Toc94183515 \h </w:instrText>
          </w:r>
          <w:r>
            <w:rPr>
              <w:rStyle w:val="25"/>
              <w:rFonts w:ascii="宋体" w:hAnsi="宋体" w:cs="黑体"/>
              <w:sz w:val="24"/>
              <w:szCs w:val="24"/>
            </w:rPr>
            <w:fldChar w:fldCharType="separate"/>
          </w:r>
          <w:r>
            <w:rPr>
              <w:rStyle w:val="25"/>
              <w:rFonts w:ascii="宋体" w:hAnsi="宋体" w:cs="黑体"/>
              <w:sz w:val="24"/>
              <w:szCs w:val="24"/>
            </w:rPr>
            <w:t>62</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"_Toc94183516" </w:instrText>
          </w:r>
          <w:r>
            <w:fldChar w:fldCharType="separate"/>
          </w:r>
          <w:r>
            <w:rPr>
              <w:rStyle w:val="25"/>
              <w:rFonts w:ascii="宋体" w:hAnsi="宋体" w:cs="黑体"/>
              <w:sz w:val="24"/>
              <w:szCs w:val="24"/>
            </w:rPr>
            <w:t>7.5 加强职业教育理论研究，凝练职教高地建设经验和制度模式</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_Toc94183516 \h </w:instrText>
          </w:r>
          <w:r>
            <w:rPr>
              <w:rStyle w:val="25"/>
              <w:rFonts w:ascii="宋体" w:hAnsi="宋体" w:cs="黑体"/>
              <w:sz w:val="24"/>
              <w:szCs w:val="24"/>
            </w:rPr>
            <w:fldChar w:fldCharType="separate"/>
          </w:r>
          <w:r>
            <w:rPr>
              <w:rStyle w:val="25"/>
              <w:rFonts w:ascii="宋体" w:hAnsi="宋体" w:cs="黑体"/>
              <w:sz w:val="24"/>
              <w:szCs w:val="24"/>
            </w:rPr>
            <w:t>62</w:t>
          </w:r>
          <w:r>
            <w:rPr>
              <w:rStyle w:val="25"/>
              <w:rFonts w:ascii="宋体" w:hAnsi="宋体" w:cs="黑体"/>
              <w:sz w:val="24"/>
              <w:szCs w:val="24"/>
            </w:rPr>
            <w:fldChar w:fldCharType="end"/>
          </w:r>
          <w:r>
            <w:rPr>
              <w:rStyle w:val="25"/>
              <w:rFonts w:ascii="宋体" w:hAnsi="宋体" w:cs="黑体"/>
              <w:sz w:val="24"/>
              <w:szCs w:val="24"/>
            </w:rPr>
            <w:fldChar w:fldCharType="end"/>
          </w:r>
        </w:p>
        <w:p>
          <w:pPr>
            <w:pStyle w:val="13"/>
            <w:rPr>
              <w:rStyle w:val="25"/>
              <w:rFonts w:ascii="黑体" w:hAnsi="黑体" w:eastAsia="黑体"/>
            </w:rPr>
          </w:pPr>
          <w:r>
            <w:fldChar w:fldCharType="begin"/>
          </w:r>
          <w:r>
            <w:instrText xml:space="preserve"> HYPERLINK \l "_Toc94183517" </w:instrText>
          </w:r>
          <w:r>
            <w:fldChar w:fldCharType="separate"/>
          </w:r>
          <w:r>
            <w:rPr>
              <w:rStyle w:val="25"/>
              <w:rFonts w:ascii="黑体" w:hAnsi="黑体" w:eastAsia="黑体"/>
            </w:rPr>
            <w:t>附件</w:t>
          </w:r>
          <w:r>
            <w:rPr>
              <w:rStyle w:val="25"/>
              <w:rFonts w:ascii="黑体" w:hAnsi="黑体" w:eastAsia="黑体"/>
            </w:rPr>
            <w:tab/>
          </w:r>
          <w:r>
            <w:rPr>
              <w:rStyle w:val="25"/>
              <w:rFonts w:ascii="黑体" w:hAnsi="黑体" w:eastAsia="黑体"/>
            </w:rPr>
            <w:fldChar w:fldCharType="begin"/>
          </w:r>
          <w:r>
            <w:rPr>
              <w:rStyle w:val="25"/>
              <w:rFonts w:ascii="黑体" w:hAnsi="黑体" w:eastAsia="黑体"/>
            </w:rPr>
            <w:instrText xml:space="preserve"> PAGEREF _Toc94183517 \h </w:instrText>
          </w:r>
          <w:r>
            <w:rPr>
              <w:rStyle w:val="25"/>
              <w:rFonts w:ascii="黑体" w:hAnsi="黑体" w:eastAsia="黑体"/>
            </w:rPr>
            <w:fldChar w:fldCharType="separate"/>
          </w:r>
          <w:r>
            <w:rPr>
              <w:rStyle w:val="25"/>
              <w:rFonts w:ascii="黑体" w:hAnsi="黑体" w:eastAsia="黑体"/>
            </w:rPr>
            <w:t>64</w:t>
          </w:r>
          <w:r>
            <w:rPr>
              <w:rStyle w:val="25"/>
              <w:rFonts w:ascii="黑体" w:hAnsi="黑体" w:eastAsia="黑体"/>
            </w:rPr>
            <w:fldChar w:fldCharType="end"/>
          </w:r>
          <w:r>
            <w:rPr>
              <w:rStyle w:val="25"/>
              <w:rFonts w:ascii="黑体" w:hAnsi="黑体" w:eastAsia="黑体"/>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"_Toc94183518" </w:instrText>
          </w:r>
          <w:r>
            <w:fldChar w:fldCharType="separate"/>
          </w:r>
          <w:r>
            <w:rPr>
              <w:rStyle w:val="25"/>
              <w:rFonts w:ascii="宋体" w:hAnsi="宋体" w:cs="黑体"/>
              <w:sz w:val="24"/>
              <w:szCs w:val="24"/>
            </w:rPr>
            <w:t>表1  计分卡</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_Toc94183518 \h </w:instrText>
          </w:r>
          <w:r>
            <w:rPr>
              <w:rStyle w:val="25"/>
              <w:rFonts w:ascii="宋体" w:hAnsi="宋体" w:cs="黑体"/>
              <w:sz w:val="24"/>
              <w:szCs w:val="24"/>
            </w:rPr>
            <w:fldChar w:fldCharType="separate"/>
          </w:r>
          <w:r>
            <w:rPr>
              <w:rStyle w:val="25"/>
              <w:rFonts w:ascii="宋体" w:hAnsi="宋体" w:cs="黑体"/>
              <w:sz w:val="24"/>
              <w:szCs w:val="24"/>
            </w:rPr>
            <w:t>64</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"_Toc94183519" </w:instrText>
          </w:r>
          <w:r>
            <w:fldChar w:fldCharType="separate"/>
          </w:r>
          <w:r>
            <w:rPr>
              <w:rStyle w:val="25"/>
              <w:rFonts w:ascii="宋体" w:hAnsi="宋体" w:cs="黑体"/>
              <w:sz w:val="24"/>
              <w:szCs w:val="24"/>
            </w:rPr>
            <w:t>表2  学生反馈表</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_Toc94183519 \h </w:instrText>
          </w:r>
          <w:r>
            <w:rPr>
              <w:rStyle w:val="25"/>
              <w:rFonts w:ascii="宋体" w:hAnsi="宋体" w:cs="黑体"/>
              <w:sz w:val="24"/>
              <w:szCs w:val="24"/>
            </w:rPr>
            <w:fldChar w:fldCharType="separate"/>
          </w:r>
          <w:r>
            <w:rPr>
              <w:rStyle w:val="25"/>
              <w:rFonts w:ascii="宋体" w:hAnsi="宋体" w:cs="黑体"/>
              <w:sz w:val="24"/>
              <w:szCs w:val="24"/>
            </w:rPr>
            <w:t>65</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"_Toc94183520" </w:instrText>
          </w:r>
          <w:r>
            <w:fldChar w:fldCharType="separate"/>
          </w:r>
          <w:r>
            <w:rPr>
              <w:rStyle w:val="25"/>
              <w:rFonts w:ascii="宋体" w:hAnsi="宋体" w:cs="黑体"/>
              <w:sz w:val="24"/>
              <w:szCs w:val="24"/>
            </w:rPr>
            <w:t>表3  教学资源表</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_Toc94183520 \h </w:instrText>
          </w:r>
          <w:r>
            <w:rPr>
              <w:rStyle w:val="25"/>
              <w:rFonts w:ascii="宋体" w:hAnsi="宋体" w:cs="黑体"/>
              <w:sz w:val="24"/>
              <w:szCs w:val="24"/>
            </w:rPr>
            <w:fldChar w:fldCharType="separate"/>
          </w:r>
          <w:r>
            <w:rPr>
              <w:rStyle w:val="25"/>
              <w:rFonts w:ascii="宋体" w:hAnsi="宋体" w:cs="黑体"/>
              <w:sz w:val="24"/>
              <w:szCs w:val="24"/>
            </w:rPr>
            <w:t>66</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"_Toc94183521" </w:instrText>
          </w:r>
          <w:r>
            <w:fldChar w:fldCharType="separate"/>
          </w:r>
          <w:r>
            <w:rPr>
              <w:rStyle w:val="25"/>
              <w:rFonts w:ascii="宋体" w:hAnsi="宋体" w:cs="黑体"/>
              <w:sz w:val="24"/>
              <w:szCs w:val="24"/>
            </w:rPr>
            <w:t>表4  国际影响表</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_Toc94183521 \h </w:instrText>
          </w:r>
          <w:r>
            <w:rPr>
              <w:rStyle w:val="25"/>
              <w:rFonts w:ascii="宋体" w:hAnsi="宋体" w:cs="黑体"/>
              <w:sz w:val="24"/>
              <w:szCs w:val="24"/>
            </w:rPr>
            <w:fldChar w:fldCharType="separate"/>
          </w:r>
          <w:r>
            <w:rPr>
              <w:rStyle w:val="25"/>
              <w:rFonts w:ascii="宋体" w:hAnsi="宋体" w:cs="黑体"/>
              <w:sz w:val="24"/>
              <w:szCs w:val="24"/>
            </w:rPr>
            <w:t>67</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"_Toc94183522" </w:instrText>
          </w:r>
          <w:r>
            <w:fldChar w:fldCharType="separate"/>
          </w:r>
          <w:r>
            <w:rPr>
              <w:rStyle w:val="25"/>
              <w:rFonts w:ascii="宋体" w:hAnsi="宋体" w:cs="黑体"/>
              <w:sz w:val="24"/>
              <w:szCs w:val="24"/>
            </w:rPr>
            <w:t>表5  服务贡献表</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_Toc94183522 \h </w:instrText>
          </w:r>
          <w:r>
            <w:rPr>
              <w:rStyle w:val="25"/>
              <w:rFonts w:ascii="宋体" w:hAnsi="宋体" w:cs="黑体"/>
              <w:sz w:val="24"/>
              <w:szCs w:val="24"/>
            </w:rPr>
            <w:fldChar w:fldCharType="separate"/>
          </w:r>
          <w:r>
            <w:rPr>
              <w:rStyle w:val="25"/>
              <w:rFonts w:ascii="宋体" w:hAnsi="宋体" w:cs="黑体"/>
              <w:sz w:val="24"/>
              <w:szCs w:val="24"/>
            </w:rPr>
            <w:t>68</w:t>
          </w:r>
          <w:r>
            <w:rPr>
              <w:rStyle w:val="25"/>
              <w:rFonts w:ascii="宋体" w:hAnsi="宋体" w:cs="黑体"/>
              <w:sz w:val="24"/>
              <w:szCs w:val="24"/>
            </w:rPr>
            <w:fldChar w:fldCharType="end"/>
          </w:r>
          <w:r>
            <w:rPr>
              <w:rStyle w:val="25"/>
              <w:rFonts w:ascii="宋体" w:hAnsi="宋体" w:cs="黑体"/>
              <w:sz w:val="24"/>
              <w:szCs w:val="24"/>
            </w:rPr>
            <w:fldChar w:fldCharType="end"/>
          </w:r>
        </w:p>
        <w:p>
          <w:pPr>
            <w:pStyle w:val="17"/>
            <w:tabs>
              <w:tab w:val="right" w:leader="dot" w:pos="8834"/>
            </w:tabs>
            <w:spacing w:line="360" w:lineRule="auto"/>
            <w:ind w:left="221"/>
            <w:rPr>
              <w:rStyle w:val="25"/>
              <w:rFonts w:ascii="宋体" w:hAnsi="宋体" w:cs="黑体"/>
              <w:sz w:val="24"/>
              <w:szCs w:val="24"/>
            </w:rPr>
          </w:pPr>
          <w:r>
            <w:fldChar w:fldCharType="begin"/>
          </w:r>
          <w:r>
            <w:instrText xml:space="preserve"> HYPERLINK \l "_Toc94183523" </w:instrText>
          </w:r>
          <w:r>
            <w:fldChar w:fldCharType="separate"/>
          </w:r>
          <w:r>
            <w:rPr>
              <w:rStyle w:val="25"/>
              <w:rFonts w:ascii="宋体" w:hAnsi="宋体" w:cs="黑体"/>
              <w:sz w:val="24"/>
              <w:szCs w:val="24"/>
            </w:rPr>
            <w:t>表6  落实政策表</w:t>
          </w:r>
          <w:r>
            <w:rPr>
              <w:rStyle w:val="25"/>
              <w:rFonts w:ascii="宋体" w:hAnsi="宋体" w:cs="黑体"/>
              <w:sz w:val="24"/>
              <w:szCs w:val="24"/>
            </w:rPr>
            <w:tab/>
          </w:r>
          <w:r>
            <w:rPr>
              <w:rStyle w:val="25"/>
              <w:rFonts w:ascii="宋体" w:hAnsi="宋体" w:cs="黑体"/>
              <w:sz w:val="24"/>
              <w:szCs w:val="24"/>
            </w:rPr>
            <w:fldChar w:fldCharType="begin"/>
          </w:r>
          <w:r>
            <w:rPr>
              <w:rStyle w:val="25"/>
              <w:rFonts w:ascii="宋体" w:hAnsi="宋体" w:cs="黑体"/>
              <w:sz w:val="24"/>
              <w:szCs w:val="24"/>
            </w:rPr>
            <w:instrText xml:space="preserve"> PAGEREF _Toc94183523 \h </w:instrText>
          </w:r>
          <w:r>
            <w:rPr>
              <w:rStyle w:val="25"/>
              <w:rFonts w:ascii="宋体" w:hAnsi="宋体" w:cs="黑体"/>
              <w:sz w:val="24"/>
              <w:szCs w:val="24"/>
            </w:rPr>
            <w:fldChar w:fldCharType="separate"/>
          </w:r>
          <w:r>
            <w:rPr>
              <w:rStyle w:val="25"/>
              <w:rFonts w:ascii="宋体" w:hAnsi="宋体" w:cs="黑体"/>
              <w:sz w:val="24"/>
              <w:szCs w:val="24"/>
            </w:rPr>
            <w:t>69</w:t>
          </w:r>
          <w:r>
            <w:rPr>
              <w:rStyle w:val="25"/>
              <w:rFonts w:ascii="宋体" w:hAnsi="宋体" w:cs="黑体"/>
              <w:sz w:val="24"/>
              <w:szCs w:val="24"/>
            </w:rPr>
            <w:fldChar w:fldCharType="end"/>
          </w:r>
          <w:r>
            <w:rPr>
              <w:rStyle w:val="25"/>
              <w:rFonts w:ascii="宋体" w:hAnsi="宋体" w:cs="黑体"/>
              <w:sz w:val="24"/>
              <w:szCs w:val="24"/>
            </w:rPr>
            <w:fldChar w:fldCharType="end"/>
          </w:r>
        </w:p>
        <w:p>
          <w:pPr>
            <w:spacing w:line="360" w:lineRule="auto"/>
            <w:rPr>
              <w:color w:val="000000" w:themeColor="text1"/>
              <w14:textFill>
                <w14:solidFill>
                  <w14:schemeClr w14:val="tx1"/>
                </w14:solidFill>
              </w14:textFill>
            </w:rPr>
          </w:pPr>
          <w:r>
            <w:rPr>
              <w:b/>
              <w:bCs/>
              <w:color w:val="000000" w:themeColor="text1"/>
              <w:lang w:val="zh-CN"/>
              <w14:textFill>
                <w14:solidFill>
                  <w14:schemeClr w14:val="tx1"/>
                </w14:solidFill>
              </w14:textFill>
            </w:rPr>
            <w:fldChar w:fldCharType="end"/>
          </w:r>
        </w:p>
      </w:sdtContent>
    </w:sdt>
    <w:p>
      <w:pPr>
        <w:spacing w:line="360" w:lineRule="auto"/>
        <w:ind w:firstLine="560" w:firstLineChars="200"/>
        <w:rPr>
          <w:rFonts w:ascii="仿宋_GB2312" w:eastAsia="仿宋_GB2312"/>
          <w:color w:val="000000" w:themeColor="text1"/>
          <w:sz w:val="28"/>
          <w:szCs w:val="28"/>
          <w14:textFill>
            <w14:solidFill>
              <w14:schemeClr w14:val="tx1"/>
            </w14:solidFill>
          </w14:textFill>
        </w:rPr>
      </w:pPr>
    </w:p>
    <w:p>
      <w:pPr>
        <w:widowControl/>
        <w:jc w:val="left"/>
        <w:rPr>
          <w:rFonts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br w:type="page"/>
      </w:r>
    </w:p>
    <w:p>
      <w:pPr>
        <w:spacing w:before="156" w:beforeLines="50" w:after="156" w:afterLines="50"/>
        <w:jc w:val="center"/>
        <w:outlineLvl w:val="0"/>
        <w:rPr>
          <w:rFonts w:ascii="方正小标宋简体" w:hAnsi="黑体" w:eastAsia="方正小标宋简体" w:cs="黑体"/>
          <w:color w:val="000000" w:themeColor="text1"/>
          <w:sz w:val="44"/>
          <w:szCs w:val="44"/>
          <w14:textFill>
            <w14:solidFill>
              <w14:schemeClr w14:val="tx1"/>
            </w14:solidFill>
          </w14:textFill>
        </w:rPr>
      </w:pPr>
      <w:bookmarkStart w:id="10" w:name="_Toc91606464"/>
      <w:bookmarkStart w:id="11" w:name="_Toc94183388"/>
      <w:bookmarkStart w:id="12" w:name="_Toc94172286"/>
      <w:bookmarkStart w:id="13" w:name="_Toc94172145"/>
      <w:r>
        <w:rPr>
          <w:rFonts w:hint="eastAsia" w:ascii="方正小标宋简体" w:hAnsi="黑体" w:eastAsia="方正小标宋简体" w:cs="黑体"/>
          <w:color w:val="000000" w:themeColor="text1"/>
          <w:sz w:val="44"/>
          <w:szCs w:val="44"/>
          <w14:textFill>
            <w14:solidFill>
              <w14:schemeClr w14:val="tx1"/>
            </w14:solidFill>
          </w14:textFill>
        </w:rPr>
        <w:t>图表目录</w:t>
      </w:r>
      <w:bookmarkEnd w:id="10"/>
      <w:r>
        <w:rPr>
          <w:rFonts w:hint="eastAsia" w:ascii="方正小标宋简体" w:hAnsi="黑体" w:eastAsia="方正小标宋简体" w:cs="黑体"/>
          <w:color w:val="000000" w:themeColor="text1"/>
          <w:sz w:val="44"/>
          <w:szCs w:val="44"/>
          <w14:textFill>
            <w14:solidFill>
              <w14:schemeClr w14:val="tx1"/>
            </w14:solidFill>
          </w14:textFill>
        </w:rPr>
        <w:t>-1</w:t>
      </w:r>
      <w:bookmarkEnd w:id="11"/>
      <w:bookmarkEnd w:id="12"/>
      <w:bookmarkEnd w:id="13"/>
    </w:p>
    <w:sdt>
      <w:sdtPr>
        <w:rPr>
          <w:rFonts w:asciiTheme="minorHAnsi" w:hAnsiTheme="minorHAnsi" w:eastAsiaTheme="minorEastAsia" w:cstheme="minorBidi"/>
          <w:color w:val="000000" w:themeColor="text1"/>
          <w:sz w:val="21"/>
          <w:szCs w:val="22"/>
          <w:lang w:val="zh-CN"/>
          <w14:textFill>
            <w14:solidFill>
              <w14:schemeClr w14:val="tx1"/>
            </w14:solidFill>
          </w14:textFill>
        </w:rPr>
        <w:id w:val="-997182220"/>
        <w:docPartObj>
          <w:docPartGallery w:val="Table of Contents"/>
          <w:docPartUnique/>
        </w:docPartObj>
      </w:sdtPr>
      <w:sdtEndPr>
        <w:rPr>
          <w:rFonts w:ascii="宋体" w:hAnsi="宋体" w:eastAsia="宋体" w:cstheme="minorBidi"/>
          <w:color w:val="000000" w:themeColor="text1"/>
          <w:sz w:val="24"/>
          <w:szCs w:val="24"/>
          <w:lang w:val="zh-CN"/>
          <w14:textFill>
            <w14:solidFill>
              <w14:schemeClr w14:val="tx1"/>
            </w14:solidFill>
          </w14:textFill>
        </w:rPr>
      </w:sdtEndPr>
      <w:sdtContent>
        <w:p>
          <w:pPr>
            <w:pStyle w:val="13"/>
            <w:rPr>
              <w:sz w:val="24"/>
              <w:szCs w:val="24"/>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TOC \o "1-3" \h \z \u </w:instrText>
          </w:r>
          <w:r>
            <w:rPr>
              <w:color w:val="000000" w:themeColor="text1"/>
              <w:sz w:val="24"/>
              <w:szCs w:val="24"/>
              <w14:textFill>
                <w14:solidFill>
                  <w14:schemeClr w14:val="tx1"/>
                </w14:solidFill>
              </w14:textFill>
            </w:rPr>
            <w:fldChar w:fldCharType="separate"/>
          </w:r>
        </w:p>
        <w:p>
          <w:pPr>
            <w:pStyle w:val="8"/>
            <w:spacing w:line="360" w:lineRule="auto"/>
            <w:rPr>
              <w:rFonts w:ascii="宋体" w:hAnsi="宋体" w:eastAsia="宋体"/>
              <w:sz w:val="24"/>
              <w:szCs w:val="24"/>
            </w:rPr>
          </w:pPr>
          <w:r>
            <w:fldChar w:fldCharType="begin"/>
          </w:r>
          <w:r>
            <w:instrText xml:space="preserve"> HYPERLINK \l "_Toc94172156" </w:instrText>
          </w:r>
          <w:r>
            <w:fldChar w:fldCharType="separate"/>
          </w:r>
          <w:r>
            <w:rPr>
              <w:rStyle w:val="25"/>
              <w:rFonts w:ascii="宋体" w:hAnsi="宋体" w:eastAsia="宋体"/>
              <w:sz w:val="24"/>
              <w:szCs w:val="24"/>
            </w:rPr>
            <w:t>图1-1 2017-2021年山东省高职专科学校数/所</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_Toc94172156 \h </w:instrText>
          </w:r>
          <w:r>
            <w:rPr>
              <w:rFonts w:ascii="宋体" w:hAnsi="宋体" w:eastAsia="宋体"/>
              <w:sz w:val="24"/>
              <w:szCs w:val="24"/>
            </w:rPr>
            <w:fldChar w:fldCharType="separate"/>
          </w:r>
          <w:r>
            <w:rPr>
              <w:rFonts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"_Toc94172157" </w:instrText>
          </w:r>
          <w:r>
            <w:fldChar w:fldCharType="separate"/>
          </w:r>
          <w:r>
            <w:rPr>
              <w:rStyle w:val="25"/>
              <w:rFonts w:ascii="宋体" w:hAnsi="宋体" w:eastAsia="宋体"/>
              <w:sz w:val="24"/>
              <w:szCs w:val="24"/>
            </w:rPr>
            <w:t>图1-2 2017-2021年山东省高职专科学校在校生数/万人</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_Toc94172157 \h </w:instrText>
          </w:r>
          <w:r>
            <w:rPr>
              <w:rFonts w:ascii="宋体" w:hAnsi="宋体" w:eastAsia="宋体"/>
              <w:sz w:val="24"/>
              <w:szCs w:val="24"/>
            </w:rPr>
            <w:fldChar w:fldCharType="separate"/>
          </w:r>
          <w:r>
            <w:rPr>
              <w:rFonts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"_Toc94172158" </w:instrText>
          </w:r>
          <w:r>
            <w:fldChar w:fldCharType="separate"/>
          </w:r>
          <w:r>
            <w:rPr>
              <w:rStyle w:val="25"/>
              <w:rFonts w:ascii="宋体" w:hAnsi="宋体" w:eastAsia="宋体"/>
              <w:sz w:val="24"/>
              <w:szCs w:val="24"/>
            </w:rPr>
            <w:t>图1-3 2021年山东省高职专科学校地市分布情况/所</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_Toc94172158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"_Toc94172159" </w:instrText>
          </w:r>
          <w:r>
            <w:fldChar w:fldCharType="separate"/>
          </w:r>
          <w:r>
            <w:rPr>
              <w:rStyle w:val="25"/>
              <w:rFonts w:ascii="宋体" w:hAnsi="宋体" w:eastAsia="宋体"/>
              <w:sz w:val="24"/>
              <w:szCs w:val="24"/>
            </w:rPr>
            <w:t>图1-4 2021年山东省高职专科学校在校生地市分布情况（人）</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_Toc94172159 \h </w:instrText>
          </w:r>
          <w:r>
            <w:rPr>
              <w:rFonts w:ascii="宋体" w:hAnsi="宋体" w:eastAsia="宋体"/>
              <w:sz w:val="24"/>
              <w:szCs w:val="24"/>
            </w:rPr>
            <w:fldChar w:fldCharType="separate"/>
          </w:r>
          <w:r>
            <w:rPr>
              <w:rFonts w:ascii="宋体" w:hAnsi="宋体" w:eastAsia="宋体"/>
              <w:sz w:val="24"/>
              <w:szCs w:val="24"/>
            </w:rPr>
            <w:t>7</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"_Toc94172162" </w:instrText>
          </w:r>
          <w:r>
            <w:fldChar w:fldCharType="separate"/>
          </w:r>
          <w:r>
            <w:rPr>
              <w:rStyle w:val="25"/>
              <w:rFonts w:ascii="宋体" w:hAnsi="宋体" w:eastAsia="宋体"/>
              <w:sz w:val="24"/>
              <w:szCs w:val="24"/>
            </w:rPr>
            <w:t>图1-5 2017-2021年山东省山东省高职专科学校招生计划结构占比变化情况（%）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_Toc94172162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"_Toc94172163" </w:instrText>
          </w:r>
          <w:r>
            <w:fldChar w:fldCharType="separate"/>
          </w:r>
          <w:r>
            <w:rPr>
              <w:rStyle w:val="25"/>
              <w:rFonts w:ascii="宋体" w:hAnsi="宋体" w:eastAsia="宋体"/>
              <w:sz w:val="24"/>
              <w:szCs w:val="24"/>
            </w:rPr>
            <w:t>图1-6 2021年山东省普通专科毕业生专业分布（%）</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_Toc94172163 \h </w:instrText>
          </w:r>
          <w:r>
            <w:rPr>
              <w:rFonts w:ascii="宋体" w:hAnsi="宋体" w:eastAsia="宋体"/>
              <w:sz w:val="24"/>
              <w:szCs w:val="24"/>
            </w:rPr>
            <w:fldChar w:fldCharType="separate"/>
          </w:r>
          <w:r>
            <w:rPr>
              <w:rFonts w:ascii="宋体" w:hAnsi="宋体" w:eastAsia="宋体"/>
              <w:sz w:val="24"/>
              <w:szCs w:val="24"/>
            </w:rPr>
            <w:t>9</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"_Toc94172170" </w:instrText>
          </w:r>
          <w:r>
            <w:fldChar w:fldCharType="separate"/>
          </w:r>
          <w:r>
            <w:rPr>
              <w:rStyle w:val="25"/>
              <w:rFonts w:ascii="宋体" w:hAnsi="宋体" w:eastAsia="宋体"/>
              <w:sz w:val="24"/>
              <w:szCs w:val="24"/>
            </w:rPr>
            <w:t>图2-1 2017—2021年山东省高职院校教育经费总投入及增幅</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_Toc94172170 \h </w:instrText>
          </w:r>
          <w:r>
            <w:rPr>
              <w:rFonts w:ascii="宋体" w:hAnsi="宋体" w:eastAsia="宋体"/>
              <w:sz w:val="24"/>
              <w:szCs w:val="24"/>
            </w:rPr>
            <w:fldChar w:fldCharType="separate"/>
          </w:r>
          <w:r>
            <w:rPr>
              <w:rFonts w:ascii="宋体" w:hAnsi="宋体" w:eastAsia="宋体"/>
              <w:sz w:val="24"/>
              <w:szCs w:val="24"/>
            </w:rPr>
            <w:t>14</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"_Toc94172193" </w:instrText>
          </w:r>
          <w:r>
            <w:fldChar w:fldCharType="separate"/>
          </w:r>
          <w:r>
            <w:rPr>
              <w:rStyle w:val="25"/>
              <w:rFonts w:ascii="宋体" w:hAnsi="宋体" w:eastAsia="宋体"/>
              <w:sz w:val="24"/>
              <w:szCs w:val="24"/>
            </w:rPr>
            <w:t>图3-1 2017-2020年山东高职院校专业设置及规模示意图</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_Toc94172193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"_Toc94172198" </w:instrText>
          </w:r>
          <w:r>
            <w:fldChar w:fldCharType="separate"/>
          </w:r>
          <w:r>
            <w:rPr>
              <w:rStyle w:val="25"/>
              <w:rFonts w:ascii="宋体" w:hAnsi="宋体" w:eastAsia="宋体"/>
              <w:sz w:val="24"/>
              <w:szCs w:val="24"/>
            </w:rPr>
            <w:t>图3-2 专业结构与产业领域对应关系示意图</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_Toc94172198 \h </w:instrText>
          </w:r>
          <w:r>
            <w:rPr>
              <w:rFonts w:ascii="宋体" w:hAnsi="宋体" w:eastAsia="宋体"/>
              <w:sz w:val="24"/>
              <w:szCs w:val="24"/>
            </w:rPr>
            <w:fldChar w:fldCharType="separate"/>
          </w:r>
          <w:r>
            <w:rPr>
              <w:rFonts w:ascii="宋体" w:hAnsi="宋体" w:eastAsia="宋体"/>
              <w:sz w:val="24"/>
              <w:szCs w:val="24"/>
            </w:rPr>
            <w:t>26</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"_Toc94172226" </w:instrText>
          </w:r>
          <w:r>
            <w:fldChar w:fldCharType="separate"/>
          </w:r>
          <w:r>
            <w:rPr>
              <w:rStyle w:val="25"/>
              <w:rFonts w:ascii="宋体" w:hAnsi="宋体" w:eastAsia="宋体"/>
              <w:sz w:val="24"/>
              <w:szCs w:val="24"/>
            </w:rPr>
            <w:t>图4-1 2017-2021年山东高职院校国（境）外职业技能赛事获奖情况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_Toc94172226 \h </w:instrText>
          </w:r>
          <w:r>
            <w:rPr>
              <w:rFonts w:ascii="宋体" w:hAnsi="宋体" w:eastAsia="宋体"/>
              <w:sz w:val="24"/>
              <w:szCs w:val="24"/>
            </w:rPr>
            <w:fldChar w:fldCharType="separate"/>
          </w:r>
          <w:r>
            <w:rPr>
              <w:rFonts w:ascii="宋体" w:hAnsi="宋体" w:eastAsia="宋体"/>
              <w:sz w:val="24"/>
              <w:szCs w:val="24"/>
            </w:rPr>
            <w:t>36</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"_Toc94172230" </w:instrText>
          </w:r>
          <w:r>
            <w:fldChar w:fldCharType="separate"/>
          </w:r>
          <w:r>
            <w:rPr>
              <w:rStyle w:val="25"/>
              <w:rFonts w:ascii="宋体" w:hAnsi="宋体" w:eastAsia="宋体"/>
              <w:sz w:val="24"/>
              <w:szCs w:val="24"/>
            </w:rPr>
            <w:t>图4-2 近五届山东省高职毕业生就业率</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_Toc94172230 \h </w:instrText>
          </w:r>
          <w:r>
            <w:rPr>
              <w:rFonts w:ascii="宋体" w:hAnsi="宋体" w:eastAsia="宋体"/>
              <w:sz w:val="24"/>
              <w:szCs w:val="24"/>
            </w:rPr>
            <w:fldChar w:fldCharType="separate"/>
          </w:r>
          <w:r>
            <w:rPr>
              <w:rFonts w:ascii="宋体" w:hAnsi="宋体" w:eastAsia="宋体"/>
              <w:sz w:val="24"/>
              <w:szCs w:val="24"/>
            </w:rPr>
            <w:t>37</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"_Toc94172232" </w:instrText>
          </w:r>
          <w:r>
            <w:fldChar w:fldCharType="separate"/>
          </w:r>
          <w:r>
            <w:rPr>
              <w:rStyle w:val="25"/>
              <w:rFonts w:ascii="宋体" w:hAnsi="宋体" w:eastAsia="宋体"/>
              <w:sz w:val="24"/>
              <w:szCs w:val="24"/>
            </w:rPr>
            <w:t>图4-3 近五届山东省高职毕业生月收入情况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_Toc94172232 \h </w:instrText>
          </w:r>
          <w:r>
            <w:rPr>
              <w:rFonts w:ascii="宋体" w:hAnsi="宋体" w:eastAsia="宋体"/>
              <w:sz w:val="24"/>
              <w:szCs w:val="24"/>
            </w:rPr>
            <w:fldChar w:fldCharType="separate"/>
          </w:r>
          <w:r>
            <w:rPr>
              <w:rFonts w:ascii="宋体" w:hAnsi="宋体" w:eastAsia="宋体"/>
              <w:sz w:val="24"/>
              <w:szCs w:val="24"/>
            </w:rPr>
            <w:t>38</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"_Toc94172234" </w:instrText>
          </w:r>
          <w:r>
            <w:fldChar w:fldCharType="separate"/>
          </w:r>
          <w:r>
            <w:rPr>
              <w:rStyle w:val="25"/>
              <w:rFonts w:ascii="宋体" w:hAnsi="宋体" w:eastAsia="宋体"/>
              <w:sz w:val="24"/>
              <w:szCs w:val="24"/>
            </w:rPr>
            <w:t>图4-4 近五届山东省高职毕业生理工农医类专业相关度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_Toc94172234 \h </w:instrText>
          </w:r>
          <w:r>
            <w:rPr>
              <w:rFonts w:ascii="宋体" w:hAnsi="宋体" w:eastAsia="宋体"/>
              <w:sz w:val="24"/>
              <w:szCs w:val="24"/>
            </w:rPr>
            <w:fldChar w:fldCharType="separate"/>
          </w:r>
          <w:r>
            <w:rPr>
              <w:rFonts w:ascii="宋体" w:hAnsi="宋体" w:eastAsia="宋体"/>
              <w:sz w:val="24"/>
              <w:szCs w:val="24"/>
            </w:rPr>
            <w:t>38</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"_Toc94172236" </w:instrText>
          </w:r>
          <w:r>
            <w:fldChar w:fldCharType="separate"/>
          </w:r>
          <w:r>
            <w:rPr>
              <w:rStyle w:val="25"/>
              <w:rFonts w:ascii="宋体" w:hAnsi="宋体" w:eastAsia="宋体"/>
              <w:sz w:val="24"/>
              <w:szCs w:val="24"/>
            </w:rPr>
            <w:t>图4-5 近五届山东省高职毕业生母校满意度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_Toc94172236 \h </w:instrText>
          </w:r>
          <w:r>
            <w:rPr>
              <w:rFonts w:ascii="宋体" w:hAnsi="宋体" w:eastAsia="宋体"/>
              <w:sz w:val="24"/>
              <w:szCs w:val="24"/>
            </w:rPr>
            <w:fldChar w:fldCharType="separate"/>
          </w:r>
          <w:r>
            <w:rPr>
              <w:rFonts w:ascii="宋体" w:hAnsi="宋体" w:eastAsia="宋体"/>
              <w:sz w:val="24"/>
              <w:szCs w:val="24"/>
            </w:rPr>
            <w:t>39</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"_Toc94172241" </w:instrText>
          </w:r>
          <w:r>
            <w:fldChar w:fldCharType="separate"/>
          </w:r>
          <w:r>
            <w:rPr>
              <w:rStyle w:val="25"/>
              <w:rFonts w:ascii="宋体" w:hAnsi="宋体" w:eastAsia="宋体" w:cs="宋体"/>
              <w:sz w:val="24"/>
              <w:szCs w:val="24"/>
            </w:rPr>
            <w:t>图4-6 山东高职2014-2018届毕业生毕业三年后职位晋升情况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_Toc94172241 \h </w:instrText>
          </w:r>
          <w:r>
            <w:rPr>
              <w:rFonts w:ascii="宋体" w:hAnsi="宋体" w:eastAsia="宋体"/>
              <w:sz w:val="24"/>
              <w:szCs w:val="24"/>
            </w:rPr>
            <w:fldChar w:fldCharType="separate"/>
          </w:r>
          <w:r>
            <w:rPr>
              <w:rFonts w:ascii="宋体" w:hAnsi="宋体" w:eastAsia="宋体"/>
              <w:sz w:val="24"/>
              <w:szCs w:val="24"/>
            </w:rPr>
            <w:t>40</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"_Toc94172243" </w:instrText>
          </w:r>
          <w:r>
            <w:fldChar w:fldCharType="separate"/>
          </w:r>
          <w:r>
            <w:rPr>
              <w:rStyle w:val="25"/>
              <w:rFonts w:ascii="宋体" w:hAnsi="宋体" w:eastAsia="宋体"/>
              <w:sz w:val="24"/>
              <w:szCs w:val="24"/>
            </w:rPr>
            <w:t>图4-7 近五届山东高职毕业生自主创业比例</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_Toc94172243 \h </w:instrText>
          </w:r>
          <w:r>
            <w:rPr>
              <w:rFonts w:ascii="宋体" w:hAnsi="宋体" w:eastAsia="宋体"/>
              <w:sz w:val="24"/>
              <w:szCs w:val="24"/>
            </w:rPr>
            <w:fldChar w:fldCharType="separate"/>
          </w:r>
          <w:r>
            <w:rPr>
              <w:rFonts w:ascii="宋体" w:hAnsi="宋体" w:eastAsia="宋体"/>
              <w:sz w:val="24"/>
              <w:szCs w:val="24"/>
            </w:rPr>
            <w:t>41</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"_Toc94172248" </w:instrText>
          </w:r>
          <w:r>
            <w:fldChar w:fldCharType="separate"/>
          </w:r>
          <w:r>
            <w:rPr>
              <w:rStyle w:val="25"/>
              <w:rFonts w:ascii="宋体" w:hAnsi="宋体" w:eastAsia="宋体"/>
              <w:sz w:val="24"/>
              <w:szCs w:val="24"/>
            </w:rPr>
            <w:t>图5-1 2019-2020年高职院校毕业生就业去向</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_Toc94172248 \h </w:instrText>
          </w:r>
          <w:r>
            <w:rPr>
              <w:rFonts w:ascii="宋体" w:hAnsi="宋体" w:eastAsia="宋体"/>
              <w:sz w:val="24"/>
              <w:szCs w:val="24"/>
            </w:rPr>
            <w:fldChar w:fldCharType="separate"/>
          </w:r>
          <w:r>
            <w:rPr>
              <w:rFonts w:ascii="宋体" w:hAnsi="宋体" w:eastAsia="宋体"/>
              <w:sz w:val="24"/>
              <w:szCs w:val="24"/>
            </w:rPr>
            <w:t>44</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"_Toc94172250" </w:instrText>
          </w:r>
          <w:r>
            <w:fldChar w:fldCharType="separate"/>
          </w:r>
          <w:r>
            <w:rPr>
              <w:rStyle w:val="25"/>
              <w:rFonts w:ascii="宋体" w:hAnsi="宋体" w:eastAsia="宋体"/>
              <w:sz w:val="24"/>
              <w:szCs w:val="24"/>
            </w:rPr>
            <w:t>图5-2 近五年技术服务到款额情况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_Toc94172250 \h </w:instrText>
          </w:r>
          <w:r>
            <w:rPr>
              <w:rFonts w:ascii="宋体" w:hAnsi="宋体" w:eastAsia="宋体"/>
              <w:sz w:val="24"/>
              <w:szCs w:val="24"/>
            </w:rPr>
            <w:fldChar w:fldCharType="separate"/>
          </w:r>
          <w:r>
            <w:rPr>
              <w:rFonts w:ascii="宋体" w:hAnsi="宋体" w:eastAsia="宋体"/>
              <w:sz w:val="24"/>
              <w:szCs w:val="24"/>
            </w:rPr>
            <w:t>46</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"_Toc94172260" </w:instrText>
          </w:r>
          <w:r>
            <w:fldChar w:fldCharType="separate"/>
          </w:r>
          <w:r>
            <w:rPr>
              <w:rStyle w:val="25"/>
              <w:rFonts w:ascii="宋体" w:hAnsi="宋体" w:eastAsia="宋体"/>
              <w:sz w:val="24"/>
              <w:szCs w:val="24"/>
            </w:rPr>
            <w:t>图6-1 2017—2021年山东省高等职业院校实际报到率/%</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_Toc94172260 \h </w:instrText>
          </w:r>
          <w:r>
            <w:rPr>
              <w:rFonts w:ascii="宋体" w:hAnsi="宋体" w:eastAsia="宋体"/>
              <w:sz w:val="24"/>
              <w:szCs w:val="24"/>
            </w:rPr>
            <w:fldChar w:fldCharType="separate"/>
          </w:r>
          <w:r>
            <w:rPr>
              <w:rFonts w:ascii="宋体" w:hAnsi="宋体" w:eastAsia="宋体"/>
              <w:sz w:val="24"/>
              <w:szCs w:val="24"/>
            </w:rPr>
            <w:t>54</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"_Toc94172262" </w:instrText>
          </w:r>
          <w:r>
            <w:fldChar w:fldCharType="separate"/>
          </w:r>
          <w:r>
            <w:rPr>
              <w:rStyle w:val="25"/>
              <w:rFonts w:ascii="宋体" w:hAnsi="宋体" w:eastAsia="宋体"/>
              <w:sz w:val="24"/>
              <w:szCs w:val="24"/>
            </w:rPr>
            <w:t>图6-2 2017—2021届山东省高等职业院校毕业生对母校满意度/%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_Toc94172262 \h </w:instrText>
          </w:r>
          <w:r>
            <w:rPr>
              <w:rFonts w:ascii="宋体" w:hAnsi="宋体" w:eastAsia="宋体"/>
              <w:sz w:val="24"/>
              <w:szCs w:val="24"/>
            </w:rPr>
            <w:fldChar w:fldCharType="separate"/>
          </w:r>
          <w:r>
            <w:rPr>
              <w:rFonts w:ascii="宋体" w:hAnsi="宋体" w:eastAsia="宋体"/>
              <w:sz w:val="24"/>
              <w:szCs w:val="24"/>
            </w:rPr>
            <w:t>55</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"_Toc94172263" </w:instrText>
          </w:r>
          <w:r>
            <w:fldChar w:fldCharType="separate"/>
          </w:r>
          <w:r>
            <w:rPr>
              <w:rStyle w:val="25"/>
              <w:rFonts w:ascii="宋体" w:hAnsi="宋体" w:eastAsia="宋体"/>
              <w:sz w:val="24"/>
              <w:szCs w:val="24"/>
            </w:rPr>
            <w:t>图6-3 2017—2021届山东省高等职业院校毕业生的雇主满意度/%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_Toc94172263 \h </w:instrText>
          </w:r>
          <w:r>
            <w:rPr>
              <w:rFonts w:ascii="宋体" w:hAnsi="宋体" w:eastAsia="宋体"/>
              <w:sz w:val="24"/>
              <w:szCs w:val="24"/>
            </w:rPr>
            <w:fldChar w:fldCharType="separate"/>
          </w:r>
          <w:r>
            <w:rPr>
              <w:rFonts w:ascii="宋体" w:hAnsi="宋体" w:eastAsia="宋体"/>
              <w:sz w:val="24"/>
              <w:szCs w:val="24"/>
            </w:rPr>
            <w:t>55</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"_Toc94172265" </w:instrText>
          </w:r>
          <w:r>
            <w:fldChar w:fldCharType="separate"/>
          </w:r>
          <w:r>
            <w:rPr>
              <w:rStyle w:val="25"/>
              <w:rFonts w:ascii="宋体" w:hAnsi="宋体" w:eastAsia="宋体"/>
              <w:sz w:val="24"/>
              <w:szCs w:val="24"/>
            </w:rPr>
            <w:t>图6-4 2017—2021年山东省高等职业院校社会捐赠收入/亿元</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_Toc94172265 \h </w:instrText>
          </w:r>
          <w:r>
            <w:rPr>
              <w:rFonts w:ascii="宋体" w:hAnsi="宋体" w:eastAsia="宋体"/>
              <w:sz w:val="24"/>
              <w:szCs w:val="24"/>
            </w:rPr>
            <w:fldChar w:fldCharType="separate"/>
          </w:r>
          <w:r>
            <w:rPr>
              <w:rFonts w:ascii="宋体" w:hAnsi="宋体" w:eastAsia="宋体"/>
              <w:sz w:val="24"/>
              <w:szCs w:val="24"/>
            </w:rPr>
            <w:t>56</w:t>
          </w:r>
          <w:r>
            <w:rPr>
              <w:rFonts w:ascii="宋体" w:hAnsi="宋体" w:eastAsia="宋体"/>
              <w:sz w:val="24"/>
              <w:szCs w:val="24"/>
            </w:rPr>
            <w:fldChar w:fldCharType="end"/>
          </w:r>
          <w:r>
            <w:rPr>
              <w:rFonts w:ascii="宋体" w:hAnsi="宋体" w:eastAsia="宋体"/>
              <w:sz w:val="24"/>
              <w:szCs w:val="24"/>
            </w:rPr>
            <w:fldChar w:fldCharType="end"/>
          </w:r>
        </w:p>
        <w:p>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lang w:val="zh-CN"/>
              <w14:textFill>
                <w14:solidFill>
                  <w14:schemeClr w14:val="tx1"/>
                </w14:solidFill>
              </w14:textFill>
            </w:rPr>
            <w:fldChar w:fldCharType="end"/>
          </w:r>
        </w:p>
      </w:sdtContent>
    </w:sdt>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spacing w:before="156" w:beforeLines="50" w:after="156" w:afterLines="50"/>
        <w:jc w:val="center"/>
        <w:outlineLvl w:val="0"/>
        <w:rPr>
          <w:rFonts w:ascii="方正小标宋简体" w:hAnsi="黑体" w:eastAsia="方正小标宋简体" w:cs="黑体"/>
          <w:color w:val="000000" w:themeColor="text1"/>
          <w:sz w:val="44"/>
          <w:szCs w:val="44"/>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br w:type="page"/>
      </w:r>
      <w:bookmarkStart w:id="14" w:name="_Toc94172146"/>
      <w:bookmarkStart w:id="15" w:name="_Toc94172287"/>
      <w:bookmarkStart w:id="16" w:name="_Toc94183389"/>
      <w:r>
        <w:rPr>
          <w:rFonts w:hint="eastAsia" w:ascii="方正小标宋简体" w:hAnsi="黑体" w:eastAsia="方正小标宋简体" w:cs="黑体"/>
          <w:color w:val="000000" w:themeColor="text1"/>
          <w:sz w:val="44"/>
          <w:szCs w:val="44"/>
          <w14:textFill>
            <w14:solidFill>
              <w14:schemeClr w14:val="tx1"/>
            </w14:solidFill>
          </w14:textFill>
        </w:rPr>
        <w:t>图表目录-</w:t>
      </w:r>
      <w:r>
        <w:rPr>
          <w:rFonts w:ascii="方正小标宋简体" w:hAnsi="黑体" w:eastAsia="方正小标宋简体" w:cs="黑体"/>
          <w:color w:val="000000" w:themeColor="text1"/>
          <w:sz w:val="44"/>
          <w:szCs w:val="44"/>
          <w14:textFill>
            <w14:solidFill>
              <w14:schemeClr w14:val="tx1"/>
            </w14:solidFill>
          </w14:textFill>
        </w:rPr>
        <w:t>2</w:t>
      </w:r>
      <w:bookmarkEnd w:id="14"/>
      <w:bookmarkEnd w:id="15"/>
      <w:bookmarkEnd w:id="16"/>
    </w:p>
    <w:sdt>
      <w:sdtPr>
        <w:rPr>
          <w:rFonts w:asciiTheme="minorHAnsi" w:hAnsiTheme="minorHAnsi" w:eastAsiaTheme="minorEastAsia" w:cstheme="minorBidi"/>
          <w:color w:val="000000" w:themeColor="text1"/>
          <w:sz w:val="21"/>
          <w:szCs w:val="22"/>
          <w:lang w:val="zh-CN"/>
          <w14:textFill>
            <w14:solidFill>
              <w14:schemeClr w14:val="tx1"/>
            </w14:solidFill>
          </w14:textFill>
        </w:rPr>
        <w:id w:val="1931147632"/>
        <w:docPartObj>
          <w:docPartGallery w:val="Table of Contents"/>
          <w:docPartUnique/>
        </w:docPartObj>
      </w:sdtPr>
      <w:sdtEndPr>
        <w:rPr>
          <w:rFonts w:asciiTheme="minorHAnsi" w:hAnsiTheme="minorHAnsi" w:eastAsiaTheme="minorEastAsia" w:cstheme="minorBidi"/>
          <w:b/>
          <w:bCs/>
          <w:color w:val="000000" w:themeColor="text1"/>
          <w:sz w:val="24"/>
          <w:szCs w:val="24"/>
          <w:lang w:val="zh-CN"/>
          <w14:textFill>
            <w14:solidFill>
              <w14:schemeClr w14:val="tx1"/>
            </w14:solidFill>
          </w14:textFill>
        </w:rPr>
      </w:sdtEndPr>
      <w:sdtContent>
        <w:p>
          <w:pPr>
            <w:pStyle w:val="13"/>
            <w:rPr>
              <w:rFonts w:cstheme="minorBidi"/>
              <w:sz w:val="24"/>
              <w:szCs w:val="24"/>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TOC \o "1-3" \h \z \u </w:instrText>
          </w:r>
          <w:r>
            <w:rPr>
              <w:color w:val="000000" w:themeColor="text1"/>
              <w:sz w:val="24"/>
              <w:szCs w:val="24"/>
              <w14:textFill>
                <w14:solidFill>
                  <w14:schemeClr w14:val="tx1"/>
                </w14:solidFill>
              </w14:textFill>
            </w:rPr>
            <w:fldChar w:fldCharType="separate"/>
          </w:r>
        </w:p>
        <w:p>
          <w:pPr>
            <w:pStyle w:val="8"/>
            <w:spacing w:line="360" w:lineRule="auto"/>
            <w:rPr>
              <w:rFonts w:ascii="宋体" w:hAnsi="宋体" w:eastAsia="宋体"/>
              <w:sz w:val="24"/>
              <w:szCs w:val="24"/>
            </w:rPr>
          </w:pPr>
          <w:r>
            <w:fldChar w:fldCharType="begin"/>
          </w:r>
          <w:r>
            <w:instrText xml:space="preserve"> HYPERLINK \l "_Toc91606483" </w:instrText>
          </w:r>
          <w:r>
            <w:fldChar w:fldCharType="separate"/>
          </w:r>
          <w:r>
            <w:rPr>
              <w:rStyle w:val="25"/>
              <w:rFonts w:ascii="宋体" w:hAnsi="宋体" w:eastAsia="宋体"/>
              <w:sz w:val="24"/>
              <w:szCs w:val="24"/>
            </w:rPr>
            <w:t>表2-1 2021年山东省高职院校落实政策表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_Toc91606483 \h </w:instrText>
          </w:r>
          <w:r>
            <w:rPr>
              <w:rFonts w:ascii="宋体" w:hAnsi="宋体" w:eastAsia="宋体"/>
              <w:sz w:val="24"/>
              <w:szCs w:val="24"/>
            </w:rPr>
            <w:fldChar w:fldCharType="separate"/>
          </w:r>
          <w:r>
            <w:rPr>
              <w:rFonts w:ascii="宋体" w:hAnsi="宋体" w:eastAsia="宋体"/>
              <w:sz w:val="24"/>
              <w:szCs w:val="24"/>
            </w:rPr>
            <w:t>10</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"_Toc91606485" </w:instrText>
          </w:r>
          <w:r>
            <w:fldChar w:fldCharType="separate"/>
          </w:r>
          <w:r>
            <w:rPr>
              <w:rStyle w:val="25"/>
              <w:rFonts w:ascii="宋体" w:hAnsi="宋体" w:eastAsia="宋体"/>
              <w:sz w:val="24"/>
              <w:szCs w:val="24"/>
            </w:rPr>
            <w:t>表2-2 山东高职院校基本办学条件一览表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_Toc91606485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"_Toc91606491" </w:instrText>
          </w:r>
          <w:r>
            <w:fldChar w:fldCharType="separate"/>
          </w:r>
          <w:r>
            <w:rPr>
              <w:rStyle w:val="25"/>
              <w:rFonts w:ascii="宋体" w:hAnsi="宋体" w:eastAsia="宋体"/>
              <w:sz w:val="24"/>
              <w:szCs w:val="24"/>
            </w:rPr>
            <w:t>表2-3 2017—2021年职业院校生师比变动情况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_Toc91606491 \h </w:instrText>
          </w:r>
          <w:r>
            <w:rPr>
              <w:rFonts w:ascii="宋体" w:hAnsi="宋体" w:eastAsia="宋体"/>
              <w:sz w:val="24"/>
              <w:szCs w:val="24"/>
            </w:rPr>
            <w:fldChar w:fldCharType="separate"/>
          </w:r>
          <w:r>
            <w:rPr>
              <w:rFonts w:ascii="宋体" w:hAnsi="宋体" w:eastAsia="宋体"/>
              <w:sz w:val="24"/>
              <w:szCs w:val="24"/>
            </w:rPr>
            <w:t>16</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"_Toc91606492" </w:instrText>
          </w:r>
          <w:r>
            <w:fldChar w:fldCharType="separate"/>
          </w:r>
          <w:r>
            <w:rPr>
              <w:rStyle w:val="25"/>
              <w:rFonts w:ascii="宋体" w:hAnsi="宋体" w:eastAsia="宋体"/>
              <w:sz w:val="24"/>
              <w:szCs w:val="24"/>
            </w:rPr>
            <w:t>表2-4 山东省高职院校教师队伍结构表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_Toc91606492 \h </w:instrText>
          </w:r>
          <w:r>
            <w:rPr>
              <w:rFonts w:ascii="宋体" w:hAnsi="宋体" w:eastAsia="宋体"/>
              <w:sz w:val="24"/>
              <w:szCs w:val="24"/>
            </w:rPr>
            <w:fldChar w:fldCharType="separate"/>
          </w:r>
          <w:r>
            <w:rPr>
              <w:rFonts w:ascii="宋体" w:hAnsi="宋体" w:eastAsia="宋体"/>
              <w:sz w:val="24"/>
              <w:szCs w:val="24"/>
            </w:rPr>
            <w:t>16</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"_Toc91606494" </w:instrText>
          </w:r>
          <w:r>
            <w:fldChar w:fldCharType="separate"/>
          </w:r>
          <w:r>
            <w:rPr>
              <w:rStyle w:val="25"/>
              <w:rFonts w:ascii="宋体" w:hAnsi="宋体" w:eastAsia="宋体"/>
              <w:sz w:val="24"/>
              <w:szCs w:val="24"/>
            </w:rPr>
            <w:t>表2-5 国家级职业教育教师教学创新团队立项建设单位</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_Toc91606494 \h </w:instrText>
          </w:r>
          <w:r>
            <w:rPr>
              <w:rFonts w:ascii="宋体" w:hAnsi="宋体" w:eastAsia="宋体"/>
              <w:sz w:val="24"/>
              <w:szCs w:val="24"/>
            </w:rPr>
            <w:fldChar w:fldCharType="separate"/>
          </w:r>
          <w:r>
            <w:rPr>
              <w:rFonts w:ascii="宋体" w:hAnsi="宋体" w:eastAsia="宋体"/>
              <w:sz w:val="24"/>
              <w:szCs w:val="24"/>
            </w:rPr>
            <w:t>18</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"_Toc91606507" </w:instrText>
          </w:r>
          <w:r>
            <w:fldChar w:fldCharType="separate"/>
          </w:r>
          <w:r>
            <w:rPr>
              <w:rStyle w:val="25"/>
              <w:rFonts w:ascii="宋体" w:hAnsi="宋体" w:eastAsia="宋体"/>
              <w:sz w:val="24"/>
              <w:szCs w:val="24"/>
            </w:rPr>
            <w:t>表3-1 山东入选第二批示范性职业教育集团（联盟）培育单位名单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_Toc91606507 \h </w:instrText>
          </w:r>
          <w:r>
            <w:rPr>
              <w:rFonts w:ascii="宋体" w:hAnsi="宋体" w:eastAsia="宋体"/>
              <w:sz w:val="24"/>
              <w:szCs w:val="24"/>
            </w:rPr>
            <w:fldChar w:fldCharType="separate"/>
          </w:r>
          <w:r>
            <w:rPr>
              <w:rFonts w:ascii="宋体" w:hAnsi="宋体" w:eastAsia="宋体"/>
              <w:sz w:val="24"/>
              <w:szCs w:val="24"/>
            </w:rPr>
            <w:t>21</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"_Toc91606513" </w:instrText>
          </w:r>
          <w:r>
            <w:fldChar w:fldCharType="separate"/>
          </w:r>
          <w:r>
            <w:rPr>
              <w:rStyle w:val="25"/>
              <w:rFonts w:ascii="宋体" w:hAnsi="宋体" w:eastAsia="宋体"/>
              <w:sz w:val="24"/>
              <w:szCs w:val="24"/>
            </w:rPr>
            <w:t>表3-2 山东省2021年高职院校专业大类在校生规模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_Toc91606513 \h </w:instrText>
          </w:r>
          <w:r>
            <w:rPr>
              <w:rFonts w:ascii="宋体" w:hAnsi="宋体" w:eastAsia="宋体"/>
              <w:sz w:val="24"/>
              <w:szCs w:val="24"/>
            </w:rPr>
            <w:fldChar w:fldCharType="separate"/>
          </w:r>
          <w:r>
            <w:rPr>
              <w:rFonts w:ascii="宋体" w:hAnsi="宋体" w:eastAsia="宋体"/>
              <w:sz w:val="24"/>
              <w:szCs w:val="24"/>
            </w:rPr>
            <w:t>24</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"_Toc91606514" </w:instrText>
          </w:r>
          <w:r>
            <w:fldChar w:fldCharType="separate"/>
          </w:r>
          <w:r>
            <w:rPr>
              <w:rStyle w:val="25"/>
              <w:rFonts w:ascii="宋体" w:hAnsi="宋体" w:eastAsia="宋体"/>
              <w:sz w:val="24"/>
              <w:szCs w:val="24"/>
            </w:rPr>
            <w:t>表3-3 山东省2020年高职院校在校人数前10名专业</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_Toc91606514 \h </w:instrText>
          </w:r>
          <w:r>
            <w:rPr>
              <w:rFonts w:ascii="宋体" w:hAnsi="宋体" w:eastAsia="宋体"/>
              <w:sz w:val="24"/>
              <w:szCs w:val="24"/>
            </w:rPr>
            <w:fldChar w:fldCharType="separate"/>
          </w:r>
          <w:r>
            <w:rPr>
              <w:rFonts w:ascii="宋体" w:hAnsi="宋体" w:eastAsia="宋体"/>
              <w:sz w:val="24"/>
              <w:szCs w:val="24"/>
            </w:rPr>
            <w:t>25</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"_Toc91606516" </w:instrText>
          </w:r>
          <w:r>
            <w:fldChar w:fldCharType="separate"/>
          </w:r>
          <w:r>
            <w:rPr>
              <w:rStyle w:val="25"/>
              <w:rFonts w:ascii="宋体" w:hAnsi="宋体" w:eastAsia="宋体"/>
              <w:sz w:val="24"/>
              <w:szCs w:val="24"/>
            </w:rPr>
            <w:t>表3-4 山东省高职专业与十强产业领域对接情况表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_Toc91606516 \h </w:instrText>
          </w:r>
          <w:r>
            <w:rPr>
              <w:rFonts w:ascii="宋体" w:hAnsi="宋体" w:eastAsia="宋体"/>
              <w:sz w:val="24"/>
              <w:szCs w:val="24"/>
            </w:rPr>
            <w:fldChar w:fldCharType="separate"/>
          </w:r>
          <w:r>
            <w:rPr>
              <w:rFonts w:ascii="宋体" w:hAnsi="宋体" w:eastAsia="宋体"/>
              <w:sz w:val="24"/>
              <w:szCs w:val="24"/>
            </w:rPr>
            <w:t>26</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"_Toc91606519" </w:instrText>
          </w:r>
          <w:r>
            <w:fldChar w:fldCharType="separate"/>
          </w:r>
          <w:r>
            <w:rPr>
              <w:rStyle w:val="25"/>
              <w:rFonts w:ascii="宋体" w:hAnsi="宋体" w:eastAsia="宋体"/>
              <w:sz w:val="24"/>
              <w:szCs w:val="24"/>
            </w:rPr>
            <w:t>表3-5 山东省2021年高职院校专业调整优化情况统计表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_Toc91606519 \h </w:instrText>
          </w:r>
          <w:r>
            <w:rPr>
              <w:rFonts w:ascii="宋体" w:hAnsi="宋体" w:eastAsia="宋体"/>
              <w:sz w:val="24"/>
              <w:szCs w:val="24"/>
            </w:rPr>
            <w:fldChar w:fldCharType="separate"/>
          </w:r>
          <w:r>
            <w:rPr>
              <w:rFonts w:ascii="宋体" w:hAnsi="宋体" w:eastAsia="宋体"/>
              <w:sz w:val="24"/>
              <w:szCs w:val="24"/>
            </w:rPr>
            <w:t>27</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"_Toc91606526" </w:instrText>
          </w:r>
          <w:r>
            <w:fldChar w:fldCharType="separate"/>
          </w:r>
          <w:r>
            <w:rPr>
              <w:rStyle w:val="25"/>
              <w:rFonts w:ascii="宋体" w:hAnsi="宋体" w:eastAsia="宋体"/>
              <w:sz w:val="24"/>
              <w:szCs w:val="24"/>
            </w:rPr>
            <w:t>表3-6 山东省高职院校校企合作开发课程和教材情况（2017-2021年）</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_Toc91606526 \h </w:instrText>
          </w:r>
          <w:r>
            <w:rPr>
              <w:rFonts w:ascii="宋体" w:hAnsi="宋体" w:eastAsia="宋体"/>
              <w:sz w:val="24"/>
              <w:szCs w:val="24"/>
            </w:rPr>
            <w:fldChar w:fldCharType="separate"/>
          </w:r>
          <w:r>
            <w:rPr>
              <w:rFonts w:ascii="宋体" w:hAnsi="宋体" w:eastAsia="宋体"/>
              <w:sz w:val="24"/>
              <w:szCs w:val="24"/>
            </w:rPr>
            <w:t>30</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"_Toc91606539" </w:instrText>
          </w:r>
          <w:r>
            <w:fldChar w:fldCharType="separate"/>
          </w:r>
          <w:r>
            <w:rPr>
              <w:rStyle w:val="25"/>
              <w:rFonts w:ascii="宋体" w:hAnsi="宋体" w:eastAsia="宋体"/>
              <w:sz w:val="24"/>
              <w:szCs w:val="24"/>
            </w:rPr>
            <w:t>表4-1 山东高职院校毕业生职业资格证书情况（2017—2021年）</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_Toc91606539 \h </w:instrText>
          </w:r>
          <w:r>
            <w:rPr>
              <w:rFonts w:ascii="宋体" w:hAnsi="宋体" w:eastAsia="宋体"/>
              <w:sz w:val="24"/>
              <w:szCs w:val="24"/>
            </w:rPr>
            <w:fldChar w:fldCharType="separate"/>
          </w:r>
          <w:r>
            <w:rPr>
              <w:rFonts w:ascii="宋体" w:hAnsi="宋体" w:eastAsia="宋体"/>
              <w:sz w:val="24"/>
              <w:szCs w:val="24"/>
            </w:rPr>
            <w:t>35</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"_Toc91606556" </w:instrText>
          </w:r>
          <w:r>
            <w:fldChar w:fldCharType="separate"/>
          </w:r>
          <w:r>
            <w:rPr>
              <w:rStyle w:val="25"/>
              <w:rFonts w:ascii="宋体" w:hAnsi="宋体" w:eastAsia="宋体"/>
              <w:sz w:val="24"/>
              <w:szCs w:val="24"/>
            </w:rPr>
            <w:t>表4-2 2020-2021届山东高职院校毕业生就业去向</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_Toc91606556 \h </w:instrText>
          </w:r>
          <w:r>
            <w:rPr>
              <w:rFonts w:ascii="宋体" w:hAnsi="宋体" w:eastAsia="宋体"/>
              <w:sz w:val="24"/>
              <w:szCs w:val="24"/>
            </w:rPr>
            <w:fldChar w:fldCharType="separate"/>
          </w:r>
          <w:r>
            <w:rPr>
              <w:rFonts w:ascii="宋体" w:hAnsi="宋体" w:eastAsia="宋体"/>
              <w:sz w:val="24"/>
              <w:szCs w:val="24"/>
            </w:rPr>
            <w:t>40</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"_Toc91606563" </w:instrText>
          </w:r>
          <w:r>
            <w:fldChar w:fldCharType="separate"/>
          </w:r>
          <w:r>
            <w:rPr>
              <w:rStyle w:val="25"/>
              <w:rFonts w:ascii="宋体" w:hAnsi="宋体" w:eastAsia="宋体"/>
              <w:sz w:val="24"/>
              <w:szCs w:val="24"/>
            </w:rPr>
            <w:t>表5-1 山东省高职院校服务贡献表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_Toc91606563 \h </w:instrText>
          </w:r>
          <w:r>
            <w:rPr>
              <w:rFonts w:ascii="宋体" w:hAnsi="宋体" w:eastAsia="宋体"/>
              <w:sz w:val="24"/>
              <w:szCs w:val="24"/>
            </w:rPr>
            <w:fldChar w:fldCharType="separate"/>
          </w:r>
          <w:r>
            <w:rPr>
              <w:rFonts w:ascii="宋体" w:hAnsi="宋体" w:eastAsia="宋体"/>
              <w:sz w:val="24"/>
              <w:szCs w:val="24"/>
            </w:rPr>
            <w:t>43</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"_Toc91606569" </w:instrText>
          </w:r>
          <w:r>
            <w:fldChar w:fldCharType="separate"/>
          </w:r>
          <w:r>
            <w:rPr>
              <w:rStyle w:val="25"/>
              <w:rFonts w:ascii="宋体" w:hAnsi="宋体" w:eastAsia="宋体"/>
              <w:sz w:val="24"/>
              <w:szCs w:val="24"/>
            </w:rPr>
            <w:t>表5-2 山东省2021年技术交易到款额超200万高职院校一览表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_Toc91606569 \h </w:instrText>
          </w:r>
          <w:r>
            <w:rPr>
              <w:rFonts w:ascii="宋体" w:hAnsi="宋体" w:eastAsia="宋体"/>
              <w:sz w:val="24"/>
              <w:szCs w:val="24"/>
            </w:rPr>
            <w:fldChar w:fldCharType="separate"/>
          </w:r>
          <w:r>
            <w:rPr>
              <w:rFonts w:ascii="宋体" w:hAnsi="宋体" w:eastAsia="宋体"/>
              <w:sz w:val="24"/>
              <w:szCs w:val="24"/>
            </w:rPr>
            <w:t>47</w:t>
          </w:r>
          <w:r>
            <w:rPr>
              <w:rFonts w:ascii="宋体" w:hAnsi="宋体" w:eastAsia="宋体"/>
              <w:sz w:val="24"/>
              <w:szCs w:val="24"/>
            </w:rPr>
            <w:fldChar w:fldCharType="end"/>
          </w:r>
          <w:r>
            <w:rPr>
              <w:rFonts w:ascii="宋体" w:hAnsi="宋体" w:eastAsia="宋体"/>
              <w:sz w:val="24"/>
              <w:szCs w:val="24"/>
            </w:rPr>
            <w:fldChar w:fldCharType="end"/>
          </w:r>
        </w:p>
        <w:p>
          <w:pPr>
            <w:pStyle w:val="8"/>
            <w:spacing w:line="360" w:lineRule="auto"/>
            <w:rPr>
              <w:rFonts w:ascii="宋体" w:hAnsi="宋体" w:eastAsia="宋体"/>
              <w:sz w:val="24"/>
              <w:szCs w:val="24"/>
            </w:rPr>
          </w:pPr>
          <w:r>
            <w:fldChar w:fldCharType="begin"/>
          </w:r>
          <w:r>
            <w:instrText xml:space="preserve"> HYPERLINK \l "_Toc91606584" </w:instrText>
          </w:r>
          <w:r>
            <w:fldChar w:fldCharType="separate"/>
          </w:r>
          <w:r>
            <w:rPr>
              <w:rStyle w:val="25"/>
              <w:rFonts w:ascii="宋体" w:hAnsi="宋体" w:eastAsia="宋体"/>
              <w:sz w:val="24"/>
              <w:szCs w:val="24"/>
            </w:rPr>
            <w:t>表6-1 山东省高等职业院校国际影响表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_Toc91606584 \h </w:instrText>
          </w:r>
          <w:r>
            <w:rPr>
              <w:rFonts w:ascii="宋体" w:hAnsi="宋体" w:eastAsia="宋体"/>
              <w:sz w:val="24"/>
              <w:szCs w:val="24"/>
            </w:rPr>
            <w:fldChar w:fldCharType="separate"/>
          </w:r>
          <w:r>
            <w:rPr>
              <w:rFonts w:ascii="宋体" w:hAnsi="宋体" w:eastAsia="宋体"/>
              <w:sz w:val="24"/>
              <w:szCs w:val="24"/>
            </w:rPr>
            <w:t>59</w:t>
          </w:r>
          <w:r>
            <w:rPr>
              <w:rFonts w:ascii="宋体" w:hAnsi="宋体" w:eastAsia="宋体"/>
              <w:sz w:val="24"/>
              <w:szCs w:val="24"/>
            </w:rPr>
            <w:fldChar w:fldCharType="end"/>
          </w:r>
          <w:r>
            <w:rPr>
              <w:rFonts w:ascii="宋体" w:hAnsi="宋体" w:eastAsia="宋体"/>
              <w:sz w:val="24"/>
              <w:szCs w:val="24"/>
            </w:rPr>
            <w:fldChar w:fldCharType="end"/>
          </w:r>
        </w:p>
        <w:p>
          <w:pPr>
            <w:spacing w:line="360" w:lineRule="auto"/>
            <w:ind w:firstLine="482" w:firstLineChars="200"/>
            <w:rPr>
              <w:rFonts w:ascii="宋体" w:hAnsi="宋体" w:eastAsia="宋体"/>
              <w:color w:val="000000" w:themeColor="text1"/>
              <w:sz w:val="24"/>
              <w:szCs w:val="24"/>
              <w14:textFill>
                <w14:solidFill>
                  <w14:schemeClr w14:val="tx1"/>
                </w14:solidFill>
              </w14:textFill>
            </w:rPr>
          </w:pPr>
          <w:r>
            <w:rPr>
              <w:rFonts w:ascii="宋体" w:hAnsi="宋体" w:eastAsia="宋体"/>
              <w:b/>
              <w:bCs/>
              <w:color w:val="000000" w:themeColor="text1"/>
              <w:sz w:val="24"/>
              <w:szCs w:val="24"/>
              <w:lang w:val="zh-CN"/>
              <w14:textFill>
                <w14:solidFill>
                  <w14:schemeClr w14:val="tx1"/>
                </w14:solidFill>
              </w14:textFill>
            </w:rPr>
            <w:fldChar w:fldCharType="end"/>
          </w:r>
        </w:p>
      </w:sdtContent>
    </w:sdt>
    <w:p>
      <w:pPr>
        <w:widowControl/>
        <w:jc w:val="left"/>
        <w:rPr>
          <w:rFonts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br w:type="page"/>
      </w:r>
    </w:p>
    <w:p>
      <w:pPr>
        <w:spacing w:before="156" w:beforeLines="50" w:after="156" w:afterLines="50"/>
        <w:jc w:val="center"/>
        <w:outlineLvl w:val="0"/>
        <w:rPr>
          <w:rFonts w:ascii="方正小标宋简体" w:hAnsi="黑体" w:eastAsia="方正小标宋简体" w:cs="黑体"/>
          <w:color w:val="000000" w:themeColor="text1"/>
          <w:sz w:val="44"/>
          <w:szCs w:val="44"/>
          <w14:textFill>
            <w14:solidFill>
              <w14:schemeClr w14:val="tx1"/>
            </w14:solidFill>
          </w14:textFill>
        </w:rPr>
      </w:pPr>
      <w:bookmarkStart w:id="17" w:name="_Toc94183390"/>
      <w:bookmarkStart w:id="18" w:name="_Toc94172147"/>
      <w:bookmarkStart w:id="19" w:name="_Toc94172288"/>
      <w:bookmarkStart w:id="20" w:name="_Toc91606465"/>
      <w:r>
        <w:rPr>
          <w:rFonts w:hint="eastAsia" w:ascii="方正小标宋简体" w:hAnsi="黑体" w:eastAsia="方正小标宋简体" w:cs="黑体"/>
          <w:color w:val="000000" w:themeColor="text1"/>
          <w:sz w:val="44"/>
          <w:szCs w:val="44"/>
          <w14:textFill>
            <w14:solidFill>
              <w14:schemeClr w14:val="tx1"/>
            </w14:solidFill>
          </w14:textFill>
        </w:rPr>
        <w:t>专栏目录</w:t>
      </w:r>
      <w:bookmarkEnd w:id="17"/>
      <w:bookmarkEnd w:id="18"/>
      <w:bookmarkEnd w:id="19"/>
      <w:bookmarkEnd w:id="20"/>
    </w:p>
    <w:sdt>
      <w:sdtPr>
        <w:rPr>
          <w:rFonts w:asciiTheme="minorHAnsi" w:hAnsiTheme="minorHAnsi" w:eastAsiaTheme="minorEastAsia" w:cstheme="minorBidi"/>
          <w:color w:val="000000" w:themeColor="text1"/>
          <w:sz w:val="21"/>
          <w:szCs w:val="22"/>
          <w:lang w:val="zh-CN"/>
          <w14:textFill>
            <w14:solidFill>
              <w14:schemeClr w14:val="tx1"/>
            </w14:solidFill>
          </w14:textFill>
        </w:rPr>
        <w:id w:val="-974825240"/>
        <w:docPartObj>
          <w:docPartGallery w:val="Table of Contents"/>
          <w:docPartUnique/>
        </w:docPartObj>
      </w:sdtPr>
      <w:sdtEndPr>
        <w:rPr>
          <w:rFonts w:asciiTheme="minorHAnsi" w:hAnsiTheme="minorHAnsi" w:eastAsiaTheme="minorEastAsia" w:cstheme="minorBidi"/>
          <w:color w:val="000000" w:themeColor="text1"/>
          <w:sz w:val="24"/>
          <w:szCs w:val="24"/>
          <w:lang w:val="zh-CN"/>
          <w14:textFill>
            <w14:solidFill>
              <w14:schemeClr w14:val="tx1"/>
            </w14:solidFill>
          </w14:textFill>
        </w:rPr>
      </w:sdtEndPr>
      <w:sdtContent>
        <w:p>
          <w:pPr>
            <w:pStyle w:val="13"/>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TOC \o "1-3" \h \z \u </w:instrText>
          </w:r>
          <w:r>
            <w:rPr>
              <w:color w:val="000000" w:themeColor="text1"/>
              <w:sz w:val="24"/>
              <w:szCs w:val="24"/>
              <w14:textFill>
                <w14:solidFill>
                  <w14:schemeClr w14:val="tx1"/>
                </w14:solidFill>
              </w14:textFill>
            </w:rPr>
            <w:fldChar w:fldCharType="separate"/>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"_Toc94172309" </w:instrText>
          </w:r>
          <w:r>
            <w:fldChar w:fldCharType="separate"/>
          </w:r>
          <w:r>
            <w:rPr>
              <w:rStyle w:val="25"/>
              <w:rFonts w:ascii="宋体" w:hAnsi="宋体" w:cs="黑体"/>
              <w:sz w:val="24"/>
              <w:szCs w:val="24"/>
            </w:rPr>
            <w:t>专栏2-1 “互联网+”教育教学，提升职业教育信息化建设水平</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_Toc94172309 \h </w:instrText>
          </w:r>
          <w:r>
            <w:rPr>
              <w:rFonts w:ascii="宋体" w:hAnsi="宋体"/>
              <w:sz w:val="24"/>
              <w:szCs w:val="24"/>
            </w:rPr>
            <w:fldChar w:fldCharType="separate"/>
          </w:r>
          <w:r>
            <w:rPr>
              <w:rFonts w:ascii="宋体" w:hAnsi="宋体"/>
              <w:sz w:val="24"/>
              <w:szCs w:val="24"/>
            </w:rPr>
            <w:t>13</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"_Toc94172312" </w:instrText>
          </w:r>
          <w:r>
            <w:fldChar w:fldCharType="separate"/>
          </w:r>
          <w:r>
            <w:rPr>
              <w:rStyle w:val="25"/>
              <w:rFonts w:ascii="宋体" w:hAnsi="宋体" w:cs="黑体"/>
              <w:sz w:val="24"/>
              <w:szCs w:val="24"/>
            </w:rPr>
            <w:t>专栏2-2 多措并举合力打造学生资助体系，助力学生成才</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_Toc94172312 \h </w:instrText>
          </w:r>
          <w:r>
            <w:rPr>
              <w:rFonts w:ascii="宋体" w:hAnsi="宋体"/>
              <w:sz w:val="24"/>
              <w:szCs w:val="24"/>
            </w:rPr>
            <w:fldChar w:fldCharType="separate"/>
          </w:r>
          <w:r>
            <w:rPr>
              <w:rFonts w:ascii="宋体" w:hAnsi="宋体"/>
              <w:sz w:val="24"/>
              <w:szCs w:val="24"/>
            </w:rPr>
            <w:t>15</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"_Toc94172316" </w:instrText>
          </w:r>
          <w:r>
            <w:fldChar w:fldCharType="separate"/>
          </w:r>
          <w:r>
            <w:rPr>
              <w:rStyle w:val="25"/>
              <w:rFonts w:ascii="宋体" w:hAnsi="宋体" w:cs="黑体"/>
              <w:sz w:val="24"/>
              <w:szCs w:val="24"/>
            </w:rPr>
            <w:t>专栏2-3 构建教师培训计划，全力培育高素质教师队伍</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_Toc94172316 \h </w:instrText>
          </w:r>
          <w:r>
            <w:rPr>
              <w:rFonts w:ascii="宋体" w:hAnsi="宋体"/>
              <w:sz w:val="24"/>
              <w:szCs w:val="24"/>
            </w:rPr>
            <w:fldChar w:fldCharType="separate"/>
          </w:r>
          <w:r>
            <w:rPr>
              <w:rFonts w:ascii="宋体" w:hAnsi="宋体"/>
              <w:sz w:val="24"/>
              <w:szCs w:val="24"/>
            </w:rPr>
            <w:t>17</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"_Toc94172318" </w:instrText>
          </w:r>
          <w:r>
            <w:fldChar w:fldCharType="separate"/>
          </w:r>
          <w:r>
            <w:rPr>
              <w:rStyle w:val="25"/>
              <w:rFonts w:ascii="宋体" w:hAnsi="宋体" w:cs="黑体"/>
              <w:sz w:val="24"/>
              <w:szCs w:val="24"/>
            </w:rPr>
            <w:t>专栏2-4 匠心独具，炼就国家级教师教学创新团队</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_Toc94172318 \h </w:instrText>
          </w:r>
          <w:r>
            <w:rPr>
              <w:rFonts w:ascii="宋体" w:hAnsi="宋体"/>
              <w:sz w:val="24"/>
              <w:szCs w:val="24"/>
            </w:rPr>
            <w:fldChar w:fldCharType="separate"/>
          </w:r>
          <w:r>
            <w:rPr>
              <w:rFonts w:ascii="宋体" w:hAnsi="宋体"/>
              <w:sz w:val="24"/>
              <w:szCs w:val="24"/>
            </w:rPr>
            <w:t>18</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"_Toc94172331" </w:instrText>
          </w:r>
          <w:r>
            <w:fldChar w:fldCharType="separate"/>
          </w:r>
          <w:r>
            <w:rPr>
              <w:rStyle w:val="25"/>
              <w:rFonts w:ascii="宋体" w:hAnsi="宋体" w:cs="黑体"/>
              <w:sz w:val="24"/>
              <w:szCs w:val="24"/>
            </w:rPr>
            <w:t>专栏 3-1 创新校企合作新模式  构建校企协同育人新格局</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_Toc94172331 \h </w:instrText>
          </w:r>
          <w:r>
            <w:rPr>
              <w:rFonts w:ascii="宋体" w:hAnsi="宋体"/>
              <w:sz w:val="24"/>
              <w:szCs w:val="24"/>
            </w:rPr>
            <w:fldChar w:fldCharType="separate"/>
          </w:r>
          <w:r>
            <w:rPr>
              <w:rFonts w:ascii="宋体" w:hAnsi="宋体"/>
              <w:sz w:val="24"/>
              <w:szCs w:val="24"/>
            </w:rPr>
            <w:t>22</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"_Toc94172343" </w:instrText>
          </w:r>
          <w:r>
            <w:fldChar w:fldCharType="separate"/>
          </w:r>
          <w:r>
            <w:rPr>
              <w:rStyle w:val="25"/>
              <w:rFonts w:ascii="宋体" w:hAnsi="宋体" w:cs="黑体"/>
              <w:sz w:val="24"/>
              <w:szCs w:val="24"/>
            </w:rPr>
            <w:t>专栏3-2 成立高水平专业群建设联盟，搭建资源共享平台</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_Toc94172343 \h </w:instrText>
          </w:r>
          <w:r>
            <w:rPr>
              <w:rFonts w:ascii="宋体" w:hAnsi="宋体"/>
              <w:sz w:val="24"/>
              <w:szCs w:val="24"/>
            </w:rPr>
            <w:fldChar w:fldCharType="separate"/>
          </w:r>
          <w:r>
            <w:rPr>
              <w:rFonts w:ascii="宋体" w:hAnsi="宋体"/>
              <w:sz w:val="24"/>
              <w:szCs w:val="24"/>
            </w:rPr>
            <w:t>28</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"_Toc94172346" </w:instrText>
          </w:r>
          <w:r>
            <w:fldChar w:fldCharType="separate"/>
          </w:r>
          <w:r>
            <w:rPr>
              <w:rStyle w:val="25"/>
              <w:rFonts w:ascii="宋体" w:hAnsi="宋体" w:cs="黑体"/>
              <w:sz w:val="24"/>
              <w:szCs w:val="24"/>
            </w:rPr>
            <w:t>专栏3-3 三全育人思政课程与课程思政建设结硕果</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_Toc94172346 \h </w:instrText>
          </w:r>
          <w:r>
            <w:rPr>
              <w:rFonts w:ascii="宋体" w:hAnsi="宋体"/>
              <w:sz w:val="24"/>
              <w:szCs w:val="24"/>
            </w:rPr>
            <w:fldChar w:fldCharType="separate"/>
          </w:r>
          <w:r>
            <w:rPr>
              <w:rFonts w:ascii="宋体" w:hAnsi="宋体"/>
              <w:sz w:val="24"/>
              <w:szCs w:val="24"/>
            </w:rPr>
            <w:t>29</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"_Toc94172349" </w:instrText>
          </w:r>
          <w:r>
            <w:fldChar w:fldCharType="separate"/>
          </w:r>
          <w:r>
            <w:rPr>
              <w:rStyle w:val="25"/>
              <w:rFonts w:ascii="宋体" w:hAnsi="宋体" w:cs="黑体"/>
              <w:sz w:val="24"/>
              <w:szCs w:val="24"/>
            </w:rPr>
            <w:t>专栏3-4 以四种思维实现教材建设新突破</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_Toc94172349 \h </w:instrText>
          </w:r>
          <w:r>
            <w:rPr>
              <w:rFonts w:ascii="宋体" w:hAnsi="宋体"/>
              <w:sz w:val="24"/>
              <w:szCs w:val="24"/>
            </w:rPr>
            <w:fldChar w:fldCharType="separate"/>
          </w:r>
          <w:r>
            <w:rPr>
              <w:rFonts w:ascii="宋体" w:hAnsi="宋体"/>
              <w:sz w:val="24"/>
              <w:szCs w:val="24"/>
            </w:rPr>
            <w:t>30</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"_Toc94172356" </w:instrText>
          </w:r>
          <w:r>
            <w:fldChar w:fldCharType="separate"/>
          </w:r>
          <w:r>
            <w:rPr>
              <w:rStyle w:val="25"/>
              <w:rFonts w:ascii="宋体" w:hAnsi="宋体" w:cs="黑体"/>
              <w:sz w:val="24"/>
              <w:szCs w:val="24"/>
            </w:rPr>
            <w:t>专栏3-5 非试点探索出内部质量保证体系建设可靠路径</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_Toc94172356 \h </w:instrText>
          </w:r>
          <w:r>
            <w:rPr>
              <w:rFonts w:ascii="宋体" w:hAnsi="宋体"/>
              <w:sz w:val="24"/>
              <w:szCs w:val="24"/>
            </w:rPr>
            <w:fldChar w:fldCharType="separate"/>
          </w:r>
          <w:r>
            <w:rPr>
              <w:rFonts w:ascii="宋体" w:hAnsi="宋体"/>
              <w:sz w:val="24"/>
              <w:szCs w:val="24"/>
            </w:rPr>
            <w:t>32</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"_Toc94172361" </w:instrText>
          </w:r>
          <w:r>
            <w:fldChar w:fldCharType="separate"/>
          </w:r>
          <w:r>
            <w:rPr>
              <w:rStyle w:val="25"/>
              <w:rFonts w:ascii="宋体" w:hAnsi="宋体" w:cs="黑体"/>
              <w:sz w:val="24"/>
              <w:szCs w:val="24"/>
            </w:rPr>
            <w:t>专栏4-1 培养学生综合素质 促进学生全面发展</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_Toc94172361 \h </w:instrText>
          </w:r>
          <w:r>
            <w:rPr>
              <w:rFonts w:ascii="宋体" w:hAnsi="宋体"/>
              <w:sz w:val="24"/>
              <w:szCs w:val="24"/>
            </w:rPr>
            <w:fldChar w:fldCharType="separate"/>
          </w:r>
          <w:r>
            <w:rPr>
              <w:rFonts w:ascii="宋体" w:hAnsi="宋体"/>
              <w:sz w:val="24"/>
              <w:szCs w:val="24"/>
            </w:rPr>
            <w:t>33</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"_Toc94172365" </w:instrText>
          </w:r>
          <w:r>
            <w:fldChar w:fldCharType="separate"/>
          </w:r>
          <w:r>
            <w:rPr>
              <w:rStyle w:val="25"/>
              <w:rFonts w:ascii="宋体" w:hAnsi="宋体" w:cs="黑体"/>
              <w:sz w:val="24"/>
              <w:szCs w:val="24"/>
            </w:rPr>
            <w:t>专栏4-2 弘扬劳模精神 培育大国工匠</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_Toc94172365 \h </w:instrText>
          </w:r>
          <w:r>
            <w:rPr>
              <w:rFonts w:ascii="宋体" w:hAnsi="宋体"/>
              <w:sz w:val="24"/>
              <w:szCs w:val="24"/>
            </w:rPr>
            <w:fldChar w:fldCharType="separate"/>
          </w:r>
          <w:r>
            <w:rPr>
              <w:rFonts w:ascii="宋体" w:hAnsi="宋体"/>
              <w:sz w:val="24"/>
              <w:szCs w:val="24"/>
            </w:rPr>
            <w:t>35</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"_Toc94172368" </w:instrText>
          </w:r>
          <w:r>
            <w:fldChar w:fldCharType="separate"/>
          </w:r>
          <w:r>
            <w:rPr>
              <w:rStyle w:val="25"/>
              <w:rFonts w:ascii="宋体" w:hAnsi="宋体" w:cs="黑体"/>
              <w:sz w:val="24"/>
              <w:szCs w:val="24"/>
            </w:rPr>
            <w:t>专栏4-3 技能赛事显身手 技艺传承育人才</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_Toc94172368 \h </w:instrText>
          </w:r>
          <w:r>
            <w:rPr>
              <w:rFonts w:ascii="宋体" w:hAnsi="宋体"/>
              <w:sz w:val="24"/>
              <w:szCs w:val="24"/>
            </w:rPr>
            <w:fldChar w:fldCharType="separate"/>
          </w:r>
          <w:r>
            <w:rPr>
              <w:rFonts w:ascii="宋体" w:hAnsi="宋体"/>
              <w:sz w:val="24"/>
              <w:szCs w:val="24"/>
            </w:rPr>
            <w:t>36</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"_Toc94172385" </w:instrText>
          </w:r>
          <w:r>
            <w:fldChar w:fldCharType="separate"/>
          </w:r>
          <w:r>
            <w:rPr>
              <w:rStyle w:val="25"/>
              <w:rFonts w:ascii="宋体" w:hAnsi="宋体" w:cs="黑体"/>
              <w:sz w:val="24"/>
              <w:szCs w:val="24"/>
            </w:rPr>
            <w:t>专栏4-4 做好就业创业服务 助力学生成就梦想</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_Toc94172385 \h </w:instrText>
          </w:r>
          <w:r>
            <w:rPr>
              <w:rFonts w:ascii="宋体" w:hAnsi="宋体"/>
              <w:sz w:val="24"/>
              <w:szCs w:val="24"/>
            </w:rPr>
            <w:fldChar w:fldCharType="separate"/>
          </w:r>
          <w:r>
            <w:rPr>
              <w:rFonts w:ascii="宋体" w:hAnsi="宋体"/>
              <w:sz w:val="24"/>
              <w:szCs w:val="24"/>
            </w:rPr>
            <w:t>41</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Style w:val="25"/>
              <w:rFonts w:ascii="宋体" w:hAnsi="宋体" w:cs="黑体"/>
              <w:sz w:val="24"/>
              <w:szCs w:val="24"/>
              <w:u w:val="none"/>
            </w:rPr>
          </w:pPr>
          <w:r>
            <w:rPr>
              <w:rStyle w:val="25"/>
              <w:rFonts w:hint="eastAsia" w:ascii="宋体" w:hAnsi="宋体" w:cs="黑体"/>
              <w:color w:val="auto"/>
              <w:sz w:val="24"/>
              <w:szCs w:val="24"/>
              <w:u w:val="none"/>
            </w:rPr>
            <w:t>专栏</w:t>
          </w:r>
          <w:r>
            <w:rPr>
              <w:rStyle w:val="25"/>
              <w:rFonts w:ascii="宋体" w:hAnsi="宋体" w:cs="黑体"/>
              <w:color w:val="auto"/>
              <w:sz w:val="24"/>
              <w:szCs w:val="24"/>
              <w:u w:val="none"/>
            </w:rPr>
            <w:t>5-1 校企合作建设科研平台 激发科技服务内生动力</w:t>
          </w:r>
          <w:r>
            <w:rPr>
              <w:rStyle w:val="25"/>
              <w:rFonts w:ascii="宋体" w:hAnsi="宋体" w:cs="黑体"/>
              <w:color w:val="auto"/>
              <w:sz w:val="24"/>
              <w:szCs w:val="24"/>
              <w:u w:val="none"/>
            </w:rPr>
            <w:tab/>
          </w:r>
          <w:r>
            <w:rPr>
              <w:rStyle w:val="25"/>
              <w:rFonts w:hint="eastAsia" w:ascii="宋体" w:hAnsi="宋体" w:cs="黑体"/>
              <w:color w:val="auto"/>
              <w:sz w:val="24"/>
              <w:szCs w:val="24"/>
              <w:u w:val="none"/>
            </w:rPr>
            <w:t>47</w:t>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"_Toc94172394" </w:instrText>
          </w:r>
          <w:r>
            <w:fldChar w:fldCharType="separate"/>
          </w:r>
          <w:r>
            <w:rPr>
              <w:rStyle w:val="25"/>
              <w:rFonts w:ascii="宋体" w:hAnsi="宋体" w:cs="黑体"/>
              <w:sz w:val="24"/>
              <w:szCs w:val="24"/>
            </w:rPr>
            <w:t>专栏5-2 破解技术难题  服务区域中小微企业发展</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_Toc94172394 \h </w:instrText>
          </w:r>
          <w:r>
            <w:rPr>
              <w:rFonts w:ascii="宋体" w:hAnsi="宋体"/>
              <w:sz w:val="24"/>
              <w:szCs w:val="24"/>
            </w:rPr>
            <w:fldChar w:fldCharType="separate"/>
          </w:r>
          <w:r>
            <w:rPr>
              <w:rFonts w:ascii="宋体" w:hAnsi="宋体"/>
              <w:sz w:val="24"/>
              <w:szCs w:val="24"/>
            </w:rPr>
            <w:t>48</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"_Toc94172396" </w:instrText>
          </w:r>
          <w:r>
            <w:fldChar w:fldCharType="separate"/>
          </w:r>
          <w:r>
            <w:rPr>
              <w:rStyle w:val="25"/>
              <w:rFonts w:ascii="宋体" w:hAnsi="宋体" w:cs="黑体"/>
              <w:sz w:val="24"/>
              <w:szCs w:val="24"/>
            </w:rPr>
            <w:t>专栏5-3 开展技能培训  助推区域经济发展</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_Toc94172396 \h </w:instrText>
          </w:r>
          <w:r>
            <w:rPr>
              <w:rFonts w:ascii="宋体" w:hAnsi="宋体"/>
              <w:sz w:val="24"/>
              <w:szCs w:val="24"/>
            </w:rPr>
            <w:fldChar w:fldCharType="separate"/>
          </w:r>
          <w:r>
            <w:rPr>
              <w:rFonts w:ascii="宋体" w:hAnsi="宋体"/>
              <w:sz w:val="24"/>
              <w:szCs w:val="24"/>
            </w:rPr>
            <w:t>49</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"_Toc94172397" </w:instrText>
          </w:r>
          <w:r>
            <w:fldChar w:fldCharType="separate"/>
          </w:r>
          <w:r>
            <w:rPr>
              <w:rStyle w:val="25"/>
              <w:rFonts w:ascii="宋体" w:hAnsi="宋体" w:cs="黑体"/>
              <w:sz w:val="24"/>
              <w:szCs w:val="24"/>
            </w:rPr>
            <w:t>专栏5-4 发挥专业技术优势，助力国家战略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_Toc94172397 \h </w:instrText>
          </w:r>
          <w:r>
            <w:rPr>
              <w:rFonts w:ascii="宋体" w:hAnsi="宋体"/>
              <w:sz w:val="24"/>
              <w:szCs w:val="24"/>
            </w:rPr>
            <w:fldChar w:fldCharType="separate"/>
          </w:r>
          <w:r>
            <w:rPr>
              <w:rFonts w:ascii="宋体" w:hAnsi="宋体"/>
              <w:sz w:val="24"/>
              <w:szCs w:val="24"/>
            </w:rPr>
            <w:t>51</w:t>
          </w:r>
          <w:r>
            <w:rPr>
              <w:rFonts w:ascii="宋体" w:hAnsi="宋体"/>
              <w:sz w:val="24"/>
              <w:szCs w:val="24"/>
            </w:rPr>
            <w:fldChar w:fldCharType="end"/>
          </w:r>
          <w:r>
            <w:rPr>
              <w:rFonts w:ascii="宋体" w:hAnsi="宋体"/>
              <w:sz w:val="24"/>
              <w:szCs w:val="24"/>
            </w:rPr>
            <w:fldChar w:fldCharType="end"/>
          </w:r>
        </w:p>
        <w:p>
          <w:pPr>
            <w:pStyle w:val="17"/>
            <w:tabs>
              <w:tab w:val="right" w:leader="dot" w:pos="8834"/>
            </w:tabs>
            <w:spacing w:line="360" w:lineRule="auto"/>
            <w:ind w:left="221"/>
            <w:rPr>
              <w:rFonts w:ascii="宋体" w:hAnsi="宋体" w:cstheme="minorBidi"/>
              <w:smallCaps w:val="0"/>
              <w:kern w:val="2"/>
              <w:sz w:val="24"/>
              <w:szCs w:val="24"/>
            </w:rPr>
          </w:pPr>
          <w:r>
            <w:fldChar w:fldCharType="begin"/>
          </w:r>
          <w:r>
            <w:instrText xml:space="preserve"> HYPERLINK \l "_Toc94172409" </w:instrText>
          </w:r>
          <w:r>
            <w:fldChar w:fldCharType="separate"/>
          </w:r>
          <w:r>
            <w:rPr>
              <w:rStyle w:val="25"/>
              <w:rFonts w:ascii="宋体" w:hAnsi="宋体" w:cs="黑体"/>
              <w:sz w:val="24"/>
              <w:szCs w:val="24"/>
            </w:rPr>
            <w:t>专栏6-1 实质推进国际化办学走深走实 提升我国职教影响力</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_Toc94172409 \h </w:instrText>
          </w:r>
          <w:r>
            <w:rPr>
              <w:rFonts w:ascii="宋体" w:hAnsi="宋体"/>
              <w:sz w:val="24"/>
              <w:szCs w:val="24"/>
            </w:rPr>
            <w:fldChar w:fldCharType="separate"/>
          </w:r>
          <w:r>
            <w:rPr>
              <w:rFonts w:ascii="宋体" w:hAnsi="宋体"/>
              <w:sz w:val="24"/>
              <w:szCs w:val="24"/>
            </w:rPr>
            <w:t>60</w:t>
          </w:r>
          <w:r>
            <w:rPr>
              <w:rFonts w:ascii="宋体" w:hAnsi="宋体"/>
              <w:sz w:val="24"/>
              <w:szCs w:val="24"/>
            </w:rPr>
            <w:fldChar w:fldCharType="end"/>
          </w:r>
          <w:r>
            <w:rPr>
              <w:rFonts w:ascii="宋体" w:hAnsi="宋体"/>
              <w:sz w:val="24"/>
              <w:szCs w:val="24"/>
            </w:rPr>
            <w:fldChar w:fldCharType="end"/>
          </w:r>
        </w:p>
        <w:p>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lang w:val="zh-CN"/>
              <w14:textFill>
                <w14:solidFill>
                  <w14:schemeClr w14:val="tx1"/>
                </w14:solidFill>
              </w14:textFill>
            </w:rPr>
            <w:fldChar w:fldCharType="end"/>
          </w:r>
        </w:p>
      </w:sdtContent>
    </w:sdt>
    <w:p>
      <w:pPr>
        <w:widowControl/>
        <w:jc w:val="left"/>
        <w:rPr>
          <w:rFonts w:ascii="黑体" w:hAnsi="黑体" w:eastAsia="黑体" w:cs="黑体"/>
          <w:color w:val="000000" w:themeColor="text1"/>
          <w:sz w:val="28"/>
          <w:szCs w:val="28"/>
          <w14:textFill>
            <w14:solidFill>
              <w14:schemeClr w14:val="tx1"/>
            </w14:solidFill>
          </w14:textFill>
        </w:rPr>
      </w:pPr>
      <w:r>
        <w:rPr>
          <w:rFonts w:ascii="黑体" w:hAnsi="黑体" w:eastAsia="黑体" w:cs="黑体"/>
          <w:color w:val="000000" w:themeColor="text1"/>
          <w:sz w:val="28"/>
          <w:szCs w:val="28"/>
          <w14:textFill>
            <w14:solidFill>
              <w14:schemeClr w14:val="tx1"/>
            </w14:solidFill>
          </w14:textFill>
        </w:rPr>
        <w:br w:type="page"/>
      </w:r>
    </w:p>
    <w:p>
      <w:pPr>
        <w:widowControl/>
        <w:jc w:val="left"/>
        <w:rPr>
          <w:rFonts w:ascii="黑体" w:hAnsi="黑体" w:eastAsia="黑体" w:cs="黑体"/>
          <w:color w:val="000000" w:themeColor="text1"/>
          <w:sz w:val="28"/>
          <w:szCs w:val="28"/>
          <w14:textFill>
            <w14:solidFill>
              <w14:schemeClr w14:val="tx1"/>
            </w14:solidFill>
          </w14:textFill>
        </w:rPr>
        <w:sectPr>
          <w:footerReference r:id="rId4" w:type="default"/>
          <w:pgSz w:w="11906" w:h="16838"/>
          <w:pgMar w:top="1440" w:right="1531" w:bottom="1440" w:left="1531" w:header="851" w:footer="992" w:gutter="0"/>
          <w:cols w:space="425" w:num="1"/>
          <w:docGrid w:type="lines" w:linePitch="312" w:charSpace="0"/>
        </w:sectPr>
      </w:pPr>
      <w:r>
        <w:rPr>
          <w:rFonts w:ascii="黑体" w:hAnsi="黑体" w:eastAsia="黑体" w:cs="黑体"/>
          <w:color w:val="000000" w:themeColor="text1"/>
          <w:sz w:val="28"/>
          <w:szCs w:val="28"/>
          <w14:textFill>
            <w14:solidFill>
              <w14:schemeClr w14:val="tx1"/>
            </w14:solidFill>
          </w14:textFill>
        </w:rPr>
        <w:br w:type="page"/>
      </w:r>
    </w:p>
    <w:p>
      <w:pPr>
        <w:spacing w:line="520" w:lineRule="exact"/>
        <w:ind w:firstLine="560" w:firstLineChars="200"/>
        <w:outlineLvl w:val="0"/>
        <w:rPr>
          <w:rFonts w:ascii="黑体" w:hAnsi="黑体" w:eastAsia="黑体" w:cs="黑体"/>
          <w:color w:val="000000" w:themeColor="text1"/>
          <w:sz w:val="28"/>
          <w:szCs w:val="28"/>
          <w14:textFill>
            <w14:solidFill>
              <w14:schemeClr w14:val="tx1"/>
            </w14:solidFill>
          </w14:textFill>
        </w:rPr>
      </w:pPr>
      <w:bookmarkStart w:id="21" w:name="_Toc94172148"/>
      <w:bookmarkStart w:id="22" w:name="_Toc94172289"/>
      <w:bookmarkStart w:id="23" w:name="_Toc94183391"/>
      <w:r>
        <w:rPr>
          <w:rFonts w:hint="eastAsia" w:ascii="黑体" w:hAnsi="黑体" w:eastAsia="黑体" w:cs="黑体"/>
          <w:color w:val="000000" w:themeColor="text1"/>
          <w:sz w:val="28"/>
          <w:szCs w:val="28"/>
          <w14:textFill>
            <w14:solidFill>
              <w14:schemeClr w14:val="tx1"/>
            </w14:solidFill>
          </w14:textFill>
        </w:rPr>
        <w:t>1</w:t>
      </w:r>
      <w:r>
        <w:rPr>
          <w:rFonts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14:textFill>
            <w14:solidFill>
              <w14:schemeClr w14:val="tx1"/>
            </w14:solidFill>
          </w14:textFill>
        </w:rPr>
        <w:t>体系构建</w:t>
      </w:r>
      <w:bookmarkEnd w:id="21"/>
      <w:bookmarkEnd w:id="22"/>
      <w:bookmarkEnd w:id="23"/>
    </w:p>
    <w:p>
      <w:pPr>
        <w:pStyle w:val="19"/>
        <w:widowControl/>
        <w:spacing w:before="0" w:beforeAutospacing="0" w:after="0" w:afterAutospacing="0" w:line="500" w:lineRule="exact"/>
        <w:ind w:firstLine="560" w:firstLineChars="200"/>
        <w:jc w:val="both"/>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山东省认真贯彻党的教育方针，坚持把职业教育放在优先发展的战略地位，坚持以习近平总书记关于职业教育工作、关于山东工作的重要讲话和指示批示精神为根本遵循，以提质培优、增值赋能为主线，以建立职业教育和普通教育并重、纵向贯通和横向融通并行的中国特色现代职业教育体系为重点，推动实现职业教育自我完善、自我发展和自我革新，为山东省经济社会发展作出了重要贡献。</w:t>
      </w:r>
    </w:p>
    <w:p>
      <w:pPr>
        <w:spacing w:line="520" w:lineRule="exact"/>
        <w:ind w:firstLine="567"/>
        <w:outlineLvl w:val="1"/>
        <w:rPr>
          <w:rFonts w:ascii="楷体_GB2312" w:hAnsi="黑体" w:eastAsia="楷体_GB2312" w:cs="黑体"/>
          <w:bCs/>
          <w:color w:val="000000" w:themeColor="text1"/>
          <w:sz w:val="28"/>
          <w:szCs w:val="28"/>
          <w14:textFill>
            <w14:solidFill>
              <w14:schemeClr w14:val="tx1"/>
            </w14:solidFill>
          </w14:textFill>
        </w:rPr>
      </w:pPr>
      <w:bookmarkStart w:id="24" w:name="_Toc94172149"/>
      <w:bookmarkStart w:id="25" w:name="_Toc94172290"/>
      <w:bookmarkStart w:id="26" w:name="_Toc94183392"/>
      <w:r>
        <w:rPr>
          <w:rFonts w:hint="eastAsia" w:ascii="楷体_GB2312" w:hAnsi="黑体" w:eastAsia="楷体_GB2312" w:cs="黑体"/>
          <w:bCs/>
          <w:color w:val="000000" w:themeColor="text1"/>
          <w:sz w:val="28"/>
          <w:szCs w:val="28"/>
          <w14:textFill>
            <w14:solidFill>
              <w14:schemeClr w14:val="tx1"/>
            </w14:solidFill>
          </w14:textFill>
        </w:rPr>
        <w:t>1.1政策设计</w:t>
      </w:r>
      <w:bookmarkEnd w:id="24"/>
      <w:bookmarkEnd w:id="25"/>
      <w:bookmarkEnd w:id="26"/>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27" w:name="_Toc91604951"/>
      <w:bookmarkStart w:id="28" w:name="_Toc91606468"/>
      <w:bookmarkStart w:id="29" w:name="_Toc91604633"/>
      <w:bookmarkStart w:id="30" w:name="_Toc94172291"/>
      <w:bookmarkStart w:id="31" w:name="_Toc94172150"/>
      <w:bookmarkStart w:id="32" w:name="_Toc94183393"/>
      <w:r>
        <w:rPr>
          <w:rFonts w:hint="eastAsia" w:ascii="仿宋_GB2312" w:hAnsi="仿宋_GB2312" w:eastAsia="仿宋_GB2312" w:cs="仿宋_GB2312"/>
          <w:b/>
          <w:bCs/>
          <w:color w:val="000000" w:themeColor="text1"/>
          <w:sz w:val="28"/>
          <w:szCs w:val="28"/>
          <w14:textFill>
            <w14:solidFill>
              <w14:schemeClr w14:val="tx1"/>
            </w14:solidFill>
          </w14:textFill>
        </w:rPr>
        <w:t>1.1.1大力推进职业教育创新发展高地建设</w:t>
      </w:r>
      <w:bookmarkEnd w:id="27"/>
      <w:bookmarkEnd w:id="28"/>
      <w:bookmarkEnd w:id="29"/>
      <w:bookmarkEnd w:id="30"/>
      <w:bookmarkEnd w:id="31"/>
      <w:bookmarkEnd w:id="32"/>
    </w:p>
    <w:p>
      <w:pPr>
        <w:pStyle w:val="19"/>
        <w:widowControl/>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000000" w:themeColor="text1"/>
          <w:sz w:val="28"/>
          <w:szCs w:val="28"/>
          <w:lang w:bidi="ar"/>
          <w14:textFill>
            <w14:solidFill>
              <w14:schemeClr w14:val="tx1"/>
            </w14:solidFill>
          </w14:textFill>
        </w:rPr>
      </w:pPr>
      <w:r>
        <w:rPr>
          <w:rFonts w:hint="eastAsia" w:ascii="仿宋_GB2312" w:hAnsi="仿宋_GB2312" w:eastAsia="仿宋_GB2312" w:cs="仿宋_GB2312"/>
          <w:color w:val="000000" w:themeColor="text1"/>
          <w:sz w:val="28"/>
          <w:szCs w:val="28"/>
          <w:lang w:bidi="ar"/>
          <w14:textFill>
            <w14:solidFill>
              <w14:schemeClr w14:val="tx1"/>
            </w14:solidFill>
          </w14:textFill>
        </w:rPr>
        <w:t>2</w:t>
      </w:r>
      <w:r>
        <w:rPr>
          <w:rFonts w:ascii="仿宋_GB2312" w:hAnsi="仿宋_GB2312" w:eastAsia="仿宋_GB2312" w:cs="仿宋_GB2312"/>
          <w:color w:val="000000" w:themeColor="text1"/>
          <w:sz w:val="28"/>
          <w:szCs w:val="28"/>
          <w:lang w:bidi="ar"/>
          <w14:textFill>
            <w14:solidFill>
              <w14:schemeClr w14:val="tx1"/>
            </w14:solidFill>
          </w14:textFill>
        </w:rPr>
        <w:t>021</w:t>
      </w:r>
      <w:r>
        <w:rPr>
          <w:rFonts w:hint="eastAsia" w:ascii="仿宋_GB2312" w:hAnsi="仿宋_GB2312" w:eastAsia="仿宋_GB2312" w:cs="仿宋_GB2312"/>
          <w:color w:val="000000" w:themeColor="text1"/>
          <w:sz w:val="28"/>
          <w:szCs w:val="28"/>
          <w:lang w:bidi="ar"/>
          <w14:textFill>
            <w14:solidFill>
              <w14:schemeClr w14:val="tx1"/>
            </w14:solidFill>
          </w14:textFill>
        </w:rPr>
        <w:t>年，山东省按照职业教育创新发展高地</w:t>
      </w:r>
      <w:r>
        <w:rPr>
          <w:rFonts w:ascii="仿宋_GB2312" w:hAnsi="仿宋_GB2312" w:eastAsia="仿宋_GB2312" w:cs="仿宋_GB2312"/>
          <w:color w:val="000000" w:themeColor="text1"/>
          <w:sz w:val="28"/>
          <w:szCs w:val="28"/>
          <w:lang w:bidi="ar"/>
          <w14:textFill>
            <w14:solidFill>
              <w14:schemeClr w14:val="tx1"/>
            </w14:solidFill>
          </w14:textFill>
        </w:rPr>
        <w:t>“一年成式、</w:t>
      </w:r>
      <w:r>
        <w:rPr>
          <w:rFonts w:hint="eastAsia" w:ascii="仿宋_GB2312" w:hAnsi="仿宋_GB2312" w:eastAsia="仿宋_GB2312" w:cs="仿宋_GB2312"/>
          <w:color w:val="000000" w:themeColor="text1"/>
          <w:sz w:val="28"/>
          <w:szCs w:val="28"/>
          <w:lang w:bidi="ar"/>
          <w14:textFill>
            <w14:solidFill>
              <w14:schemeClr w14:val="tx1"/>
            </w14:solidFill>
          </w14:textFill>
        </w:rPr>
        <w:t>两</w:t>
      </w:r>
      <w:r>
        <w:rPr>
          <w:rFonts w:ascii="仿宋_GB2312" w:hAnsi="仿宋_GB2312" w:eastAsia="仿宋_GB2312" w:cs="仿宋_GB2312"/>
          <w:color w:val="000000" w:themeColor="text1"/>
          <w:sz w:val="28"/>
          <w:szCs w:val="28"/>
          <w:lang w:bidi="ar"/>
          <w14:textFill>
            <w14:solidFill>
              <w14:schemeClr w14:val="tx1"/>
            </w14:solidFill>
          </w14:textFill>
        </w:rPr>
        <w:t>年成是、三年成事”总要求，</w:t>
      </w:r>
      <w:r>
        <w:rPr>
          <w:rFonts w:hint="eastAsia" w:ascii="仿宋_GB2312" w:hAnsi="仿宋_GB2312" w:eastAsia="仿宋_GB2312" w:cs="仿宋_GB2312"/>
          <w:color w:val="000000" w:themeColor="text1"/>
          <w:sz w:val="28"/>
          <w:szCs w:val="28"/>
          <w:lang w:bidi="ar"/>
          <w14:textFill>
            <w14:solidFill>
              <w14:schemeClr w14:val="tx1"/>
            </w14:solidFill>
          </w14:textFill>
        </w:rPr>
        <w:t>着力</w:t>
      </w:r>
      <w:r>
        <w:rPr>
          <w:rFonts w:ascii="仿宋_GB2312" w:hAnsi="仿宋_GB2312" w:eastAsia="仿宋_GB2312" w:cs="仿宋_GB2312"/>
          <w:color w:val="000000" w:themeColor="text1"/>
          <w:sz w:val="28"/>
          <w:szCs w:val="28"/>
          <w:lang w:bidi="ar"/>
          <w14:textFill>
            <w14:solidFill>
              <w14:schemeClr w14:val="tx1"/>
            </w14:solidFill>
          </w14:textFill>
        </w:rPr>
        <w:t>为全国职业教育改革发</w:t>
      </w:r>
      <w:r>
        <w:rPr>
          <w:rFonts w:hint="eastAsia" w:ascii="仿宋_GB2312" w:hAnsi="仿宋_GB2312" w:eastAsia="仿宋_GB2312" w:cs="仿宋_GB2312"/>
          <w:color w:val="000000" w:themeColor="text1"/>
          <w:sz w:val="28"/>
          <w:szCs w:val="28"/>
          <w:lang w:bidi="ar"/>
          <w14:textFill>
            <w14:solidFill>
              <w14:schemeClr w14:val="tx1"/>
            </w14:solidFill>
          </w14:textFill>
        </w:rPr>
        <w:t>展探索路径、积累经验，提供“山东样本”。积极推进高地建设理论研究与实践探索，面向全国，立项</w:t>
      </w:r>
      <w:r>
        <w:rPr>
          <w:rFonts w:ascii="仿宋_GB2312" w:hAnsi="仿宋_GB2312" w:eastAsia="仿宋_GB2312" w:cs="仿宋_GB2312"/>
          <w:color w:val="000000" w:themeColor="text1"/>
          <w:sz w:val="28"/>
          <w:szCs w:val="28"/>
          <w:lang w:bidi="ar"/>
          <w14:textFill>
            <w14:solidFill>
              <w14:schemeClr w14:val="tx1"/>
            </w14:solidFill>
          </w14:textFill>
        </w:rPr>
        <w:t>72项</w:t>
      </w:r>
      <w:r>
        <w:rPr>
          <w:rFonts w:hint="eastAsia" w:ascii="仿宋_GB2312" w:hAnsi="仿宋_GB2312" w:eastAsia="仿宋_GB2312" w:cs="仿宋_GB2312"/>
          <w:color w:val="000000" w:themeColor="text1"/>
          <w:sz w:val="28"/>
          <w:szCs w:val="28"/>
          <w:lang w:bidi="ar"/>
          <w14:textFill>
            <w14:solidFill>
              <w14:schemeClr w14:val="tx1"/>
            </w14:solidFill>
          </w14:textFill>
        </w:rPr>
        <w:t>“部省共建国家职业教育创新发展高地理论实践研究课题”，研究</w:t>
      </w:r>
      <w:r>
        <w:rPr>
          <w:rFonts w:ascii="仿宋_GB2312" w:hAnsi="仿宋_GB2312" w:eastAsia="仿宋_GB2312" w:cs="仿宋_GB2312"/>
          <w:color w:val="000000" w:themeColor="text1"/>
          <w:sz w:val="28"/>
          <w:szCs w:val="28"/>
          <w:lang w:bidi="ar"/>
          <w14:textFill>
            <w14:solidFill>
              <w14:schemeClr w14:val="tx1"/>
            </w14:solidFill>
          </w14:textFill>
        </w:rPr>
        <w:t>探索、发现总结职教规律</w:t>
      </w:r>
      <w:r>
        <w:rPr>
          <w:rFonts w:hint="eastAsia" w:ascii="仿宋_GB2312" w:hAnsi="仿宋_GB2312" w:eastAsia="仿宋_GB2312" w:cs="仿宋_GB2312"/>
          <w:color w:val="000000" w:themeColor="text1"/>
          <w:sz w:val="28"/>
          <w:szCs w:val="28"/>
          <w:lang w:bidi="ar"/>
          <w14:textFill>
            <w14:solidFill>
              <w14:schemeClr w14:val="tx1"/>
            </w14:solidFill>
          </w14:textFill>
        </w:rPr>
        <w:t>，形成一批可复制、可推广、可借鉴的典型经验做法</w:t>
      </w:r>
      <w:r>
        <w:rPr>
          <w:rFonts w:ascii="仿宋_GB2312" w:hAnsi="仿宋_GB2312" w:eastAsia="仿宋_GB2312" w:cs="仿宋_GB2312"/>
          <w:color w:val="000000" w:themeColor="text1"/>
          <w:sz w:val="28"/>
          <w:szCs w:val="28"/>
          <w:lang w:bidi="ar"/>
          <w14:textFill>
            <w14:solidFill>
              <w14:schemeClr w14:val="tx1"/>
            </w14:solidFill>
          </w14:textFill>
        </w:rPr>
        <w:t>，破解职教难题、推进改革、创新发展。</w:t>
      </w:r>
      <w:r>
        <w:rPr>
          <w:rFonts w:hint="eastAsia" w:ascii="仿宋_GB2312" w:hAnsi="仿宋_GB2312" w:eastAsia="仿宋_GB2312" w:cs="仿宋_GB2312"/>
          <w:color w:val="000000" w:themeColor="text1"/>
          <w:sz w:val="28"/>
          <w:szCs w:val="28"/>
          <w:lang w:bidi="ar"/>
          <w14:textFill>
            <w14:solidFill>
              <w14:schemeClr w14:val="tx1"/>
            </w14:solidFill>
          </w14:textFill>
        </w:rPr>
        <w:t>围绕职教高地建设，挖掘学校典型案例、特色亮点，根据《山东省教育厅关于组织开展职业院校现代化治理能力提升暨促进学生全面发展系列论坛的通知》（鲁教职函〔2021〕3号）精神，由齐鲁职业院校校长联席会议牵头，举办了12个主题论坛和55个子论坛，论坛坚持问题导向，围绕</w:t>
      </w:r>
      <w:r>
        <w:rPr>
          <w:rFonts w:ascii="仿宋_GB2312" w:hAnsi="仿宋_GB2312" w:eastAsia="仿宋_GB2312" w:cs="仿宋_GB2312"/>
          <w:color w:val="000000" w:themeColor="text1"/>
          <w:sz w:val="28"/>
          <w:szCs w:val="28"/>
          <w:lang w:bidi="ar"/>
          <w14:textFill>
            <w14:solidFill>
              <w14:schemeClr w14:val="tx1"/>
            </w14:solidFill>
          </w14:textFill>
        </w:rPr>
        <w:t>12个主题，以专题研讨交流方式开展，实现了月月有论坛、全年不断线的工作局面，在补齐治理短板、完善制度标准、创新运行机制、改进工作流程、构建三全育人格局等方面取得显著成效，打造了山东省职业教育论坛的靓丽品牌</w:t>
      </w:r>
      <w:r>
        <w:rPr>
          <w:rFonts w:hint="eastAsia" w:ascii="仿宋_GB2312" w:hAnsi="仿宋_GB2312" w:eastAsia="仿宋_GB2312" w:cs="仿宋_GB2312"/>
          <w:color w:val="000000" w:themeColor="text1"/>
          <w:sz w:val="28"/>
          <w:szCs w:val="28"/>
          <w:lang w:bidi="ar"/>
          <w14:textFill>
            <w14:solidFill>
              <w14:schemeClr w14:val="tx1"/>
            </w14:solidFill>
          </w14:textFill>
        </w:rPr>
        <w:t>。承办2021年全国职业教育活动周启动</w:t>
      </w:r>
      <w:r>
        <w:rPr>
          <w:rFonts w:ascii="仿宋_GB2312" w:hAnsi="仿宋_GB2312" w:eastAsia="仿宋_GB2312" w:cs="仿宋_GB2312"/>
          <w:color w:val="000000" w:themeColor="text1"/>
          <w:sz w:val="28"/>
          <w:szCs w:val="28"/>
          <w:lang w:bidi="ar"/>
          <w14:textFill>
            <w14:solidFill>
              <w14:schemeClr w14:val="tx1"/>
            </w14:solidFill>
          </w14:textFill>
        </w:rPr>
        <w:t>仪式</w:t>
      </w:r>
      <w:r>
        <w:rPr>
          <w:rFonts w:hint="eastAsia" w:ascii="仿宋_GB2312" w:hAnsi="仿宋_GB2312" w:eastAsia="仿宋_GB2312" w:cs="仿宋_GB2312"/>
          <w:color w:val="000000" w:themeColor="text1"/>
          <w:sz w:val="28"/>
          <w:szCs w:val="28"/>
          <w:lang w:bidi="ar"/>
          <w14:textFill>
            <w14:solidFill>
              <w14:schemeClr w14:val="tx1"/>
            </w14:solidFill>
          </w14:textFill>
        </w:rPr>
        <w:t>，大力宣传党和国家发展职业教育的方针政策、部省共建国家职业教育创新发展高地的成果。</w:t>
      </w:r>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33" w:name="_Toc91606469"/>
      <w:bookmarkStart w:id="34" w:name="_Toc91604952"/>
      <w:bookmarkStart w:id="35" w:name="_Toc94172151"/>
      <w:bookmarkStart w:id="36" w:name="_Toc91604634"/>
      <w:bookmarkStart w:id="37" w:name="_Toc94183394"/>
      <w:bookmarkStart w:id="38" w:name="_Toc94172292"/>
      <w:r>
        <w:rPr>
          <w:rFonts w:hint="eastAsia" w:ascii="仿宋_GB2312" w:hAnsi="仿宋_GB2312" w:eastAsia="仿宋_GB2312" w:cs="仿宋_GB2312"/>
          <w:b/>
          <w:bCs/>
          <w:color w:val="000000" w:themeColor="text1"/>
          <w:sz w:val="28"/>
          <w:szCs w:val="28"/>
          <w14:textFill>
            <w14:solidFill>
              <w14:schemeClr w14:val="tx1"/>
            </w14:solidFill>
          </w14:textFill>
        </w:rPr>
        <w:t>1.1.2积极完善现代职业教育体系</w:t>
      </w:r>
      <w:bookmarkEnd w:id="33"/>
      <w:bookmarkEnd w:id="34"/>
      <w:bookmarkEnd w:id="35"/>
      <w:bookmarkEnd w:id="36"/>
      <w:bookmarkEnd w:id="37"/>
      <w:bookmarkEnd w:id="38"/>
    </w:p>
    <w:p>
      <w:pPr>
        <w:spacing w:line="520" w:lineRule="exact"/>
        <w:ind w:firstLine="567"/>
        <w:outlineLvl w:val="2"/>
        <w:rPr>
          <w:color w:val="000000" w:themeColor="text1"/>
          <w14:textFill>
            <w14:solidFill>
              <w14:schemeClr w14:val="tx1"/>
            </w14:solidFill>
          </w14:textFill>
        </w:rPr>
      </w:pPr>
      <w:r>
        <w:rPr>
          <w:rFonts w:hint="eastAsia" w:ascii="仿宋_GB2312" w:hAnsi="仿宋_GB2312" w:eastAsia="仿宋_GB2312" w:cs="仿宋_GB2312"/>
          <w:color w:val="000000" w:themeColor="text1"/>
          <w:sz w:val="28"/>
          <w:szCs w:val="28"/>
          <w:lang w:bidi="ar"/>
          <w14:textFill>
            <w14:solidFill>
              <w14:schemeClr w14:val="tx1"/>
            </w14:solidFill>
          </w14:textFill>
        </w:rPr>
        <w:t>2021年5月，山东省教育厅转发教育部《关于学习宣传贯彻习近平总书记重要指示和全国职业教育大会精神的通知》，提出要加快构建现代治理体系，狠抓内涵建设和学生全面发展，培养更多高素质技术技能人才、能工巧匠、大国工匠。把中等职业教育确立为现代职业教育体系的基础，培养基本劳动者和一般技术技能人才，同时为高等职业教育输送具有一定技术技能基础的合格生源。积极开展长学制培养高端技术技能人才，探索中职与高职“</w:t>
      </w:r>
      <w:r>
        <w:rPr>
          <w:rFonts w:ascii="仿宋_GB2312" w:hAnsi="仿宋_GB2312" w:eastAsia="仿宋_GB2312" w:cs="仿宋_GB2312"/>
          <w:color w:val="000000" w:themeColor="text1"/>
          <w:sz w:val="28"/>
          <w:szCs w:val="28"/>
          <w:lang w:bidi="ar"/>
          <w14:textFill>
            <w14:solidFill>
              <w14:schemeClr w14:val="tx1"/>
            </w14:solidFill>
          </w14:textFill>
        </w:rPr>
        <w:t>3+2”、高职与职业教育本科和应用型本</w:t>
      </w:r>
      <w:r>
        <w:rPr>
          <w:rFonts w:hint="eastAsia" w:ascii="仿宋_GB2312" w:hAnsi="仿宋_GB2312" w:eastAsia="仿宋_GB2312" w:cs="仿宋_GB2312"/>
          <w:color w:val="000000" w:themeColor="text1"/>
          <w:sz w:val="28"/>
          <w:szCs w:val="28"/>
          <w:lang w:bidi="ar"/>
          <w14:textFill>
            <w14:solidFill>
              <w14:schemeClr w14:val="tx1"/>
            </w14:solidFill>
          </w14:textFill>
        </w:rPr>
        <w:t>科“</w:t>
      </w:r>
      <w:r>
        <w:rPr>
          <w:rFonts w:ascii="仿宋_GB2312" w:hAnsi="仿宋_GB2312" w:eastAsia="仿宋_GB2312" w:cs="仿宋_GB2312"/>
          <w:color w:val="000000" w:themeColor="text1"/>
          <w:sz w:val="28"/>
          <w:szCs w:val="28"/>
          <w:lang w:bidi="ar"/>
          <w14:textFill>
            <w14:solidFill>
              <w14:schemeClr w14:val="tx1"/>
            </w14:solidFill>
          </w14:textFill>
        </w:rPr>
        <w:t>3+2”对口贯通分段培养，系统构建中等职业教育、专科职业教育、本科职业教育、专业学位研究生教育相衔接的人才培养体系。加强新旧动能转换“十强”产业相关专业学位硕士研究生培养，构建以产学研用结合为途径的专业学位研究生培养模式；支持“双高计划”院校与具有硕士学位授予权的应用型本科高校联合培养职业教育本科生、专业硕士。建立“职教高考”制度，制订职业教育考试招生改革实施方案，完善“文化素质+职业技能”考试招生办法，为学生依照兴趣和禀赋多样化</w:t>
      </w:r>
      <w:r>
        <w:rPr>
          <w:rFonts w:hint="eastAsia" w:ascii="仿宋_GB2312" w:hAnsi="仿宋_GB2312" w:eastAsia="仿宋_GB2312" w:cs="仿宋_GB2312"/>
          <w:color w:val="000000" w:themeColor="text1"/>
          <w:sz w:val="28"/>
          <w:szCs w:val="28"/>
          <w:lang w:bidi="ar"/>
          <w14:textFill>
            <w14:solidFill>
              <w14:schemeClr w14:val="tx1"/>
            </w14:solidFill>
          </w14:textFill>
        </w:rPr>
        <w:t>选择、多路径成才搭建成长渠道。</w:t>
      </w:r>
      <w:r>
        <w:rPr>
          <w:rFonts w:ascii="仿宋_GB2312" w:hAnsi="仿宋_GB2312" w:eastAsia="仿宋_GB2312" w:cs="仿宋_GB2312"/>
          <w:color w:val="000000" w:themeColor="text1"/>
          <w:sz w:val="28"/>
          <w:szCs w:val="28"/>
          <w:lang w:bidi="ar"/>
          <w14:textFill>
            <w14:solidFill>
              <w14:schemeClr w14:val="tx1"/>
            </w14:solidFill>
          </w14:textFill>
        </w:rPr>
        <w:t>2021年10月，山东省人民政府印发《山东省“十四五”教育事业发展规划》（鲁政发〔2021〕16号），明确指出优化职业教育类型定位，加快构建适应需求、纵横双通的现代职业教育体系，创新各类型、各层次职业教育发展模式，建成国家职业教育创新发展高地。</w:t>
      </w:r>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39" w:name="_Toc91606470"/>
      <w:bookmarkStart w:id="40" w:name="_Toc91604635"/>
      <w:bookmarkStart w:id="41" w:name="_Toc91604953"/>
      <w:bookmarkStart w:id="42" w:name="_Toc94172152"/>
      <w:bookmarkStart w:id="43" w:name="_Toc94172293"/>
      <w:bookmarkStart w:id="44" w:name="_Toc94183395"/>
      <w:r>
        <w:rPr>
          <w:rFonts w:hint="eastAsia" w:ascii="仿宋_GB2312" w:hAnsi="仿宋_GB2312" w:eastAsia="仿宋_GB2312" w:cs="仿宋_GB2312"/>
          <w:b/>
          <w:bCs/>
          <w:color w:val="000000" w:themeColor="text1"/>
          <w:sz w:val="28"/>
          <w:szCs w:val="28"/>
          <w14:textFill>
            <w14:solidFill>
              <w14:schemeClr w14:val="tx1"/>
            </w14:solidFill>
          </w14:textFill>
        </w:rPr>
        <w:t>1.1.3不断完善体现职业教育特色的政策体系</w:t>
      </w:r>
      <w:bookmarkEnd w:id="39"/>
      <w:bookmarkEnd w:id="40"/>
      <w:bookmarkEnd w:id="41"/>
      <w:bookmarkEnd w:id="42"/>
      <w:bookmarkEnd w:id="43"/>
      <w:bookmarkEnd w:id="44"/>
    </w:p>
    <w:p>
      <w:pPr>
        <w:widowControl/>
        <w:shd w:val="clear" w:color="auto" w:fill="FFFFFF"/>
        <w:spacing w:before="34" w:line="500" w:lineRule="exact"/>
        <w:ind w:right="96" w:firstLine="562"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r>
        <w:rPr>
          <w:rFonts w:hint="eastAsia" w:ascii="仿宋_GB2312" w:hAnsi="仿宋_GB2312" w:eastAsia="仿宋_GB2312" w:cs="仿宋_GB2312"/>
          <w:b/>
          <w:bCs/>
          <w:color w:val="000000" w:themeColor="text1"/>
          <w:kern w:val="0"/>
          <w:sz w:val="28"/>
          <w:szCs w:val="28"/>
          <w:lang w:bidi="ar"/>
          <w14:textFill>
            <w14:solidFill>
              <w14:schemeClr w14:val="tx1"/>
            </w14:solidFill>
          </w14:textFill>
        </w:rPr>
        <w:t>深化产教融合、校企合作，发挥企业重要办学主体作用。</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2</w:t>
      </w:r>
      <w:r>
        <w:rPr>
          <w:rFonts w:ascii="仿宋_GB2312" w:hAnsi="仿宋_GB2312" w:eastAsia="仿宋_GB2312" w:cs="仿宋_GB2312"/>
          <w:color w:val="000000" w:themeColor="text1"/>
          <w:kern w:val="0"/>
          <w:sz w:val="28"/>
          <w:szCs w:val="28"/>
          <w:lang w:bidi="ar"/>
          <w14:textFill>
            <w14:solidFill>
              <w14:schemeClr w14:val="tx1"/>
            </w14:solidFill>
          </w14:textFill>
        </w:rPr>
        <w:t>021</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年，山东省职业教育产教融合、校企合作更加深入，服务产业转型升级能力不断增强。《山东省“十四五”教育事业发展规划》提出，推进产教融合、校企合作，促进教育链、人才链与产业链、创新链的有效衔接。遴选建设一批省级产教融合型示范区，充分发挥企业重要办学主体作用，实施多种形式的混合所有制办学。发布《山东省</w:t>
      </w:r>
      <w:r>
        <w:rPr>
          <w:rFonts w:ascii="仿宋_GB2312" w:hAnsi="仿宋_GB2312" w:eastAsia="仿宋_GB2312" w:cs="仿宋_GB2312"/>
          <w:color w:val="000000" w:themeColor="text1"/>
          <w:kern w:val="0"/>
          <w:sz w:val="28"/>
          <w:szCs w:val="28"/>
          <w:lang w:bidi="ar"/>
          <w14:textFill>
            <w14:solidFill>
              <w14:schemeClr w14:val="tx1"/>
            </w14:solidFill>
          </w14:textFill>
        </w:rPr>
        <w:t>教育厅</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关于开展职业教育改革发展成效明显的市县（市、区）遴选激励工作的通知》（鲁教职函〔2021〕32号），进一步调动各地推进职业教育改革发展的积极性、主动性和创造性。出台鼓励企业参与产教融合、校企合作的专门政策，推动国有企业和大型民营企业率先成为产教融合型企业，建设共享性大型智能（仿真）实习实训基地，激发行业企业和社会力量参与职业教育的内生动力。健全德技并修、工学结合、“岗课赛证”融通、校企协同育人机制，深入推进“1+X”证书制度试点，不断提升培养技术技能人才能力和服务经济社会发展的能力。</w:t>
      </w:r>
    </w:p>
    <w:p>
      <w:pPr>
        <w:pStyle w:val="19"/>
        <w:widowControl/>
        <w:shd w:val="clear" w:color="auto" w:fill="FFFFFF"/>
        <w:spacing w:before="0" w:beforeAutospacing="0" w:after="0" w:afterAutospacing="0" w:line="520" w:lineRule="exact"/>
        <w:ind w:firstLine="562" w:firstLineChars="200"/>
        <w:jc w:val="both"/>
        <w:rPr>
          <w:rFonts w:ascii="仿宋_GB2312" w:hAnsi="仿宋_GB2312" w:eastAsia="仿宋_GB2312" w:cs="仿宋_GB2312"/>
          <w:color w:val="000000" w:themeColor="text1"/>
          <w:sz w:val="28"/>
          <w:szCs w:val="28"/>
          <w:lang w:bidi="ar"/>
          <w14:textFill>
            <w14:solidFill>
              <w14:schemeClr w14:val="tx1"/>
            </w14:solidFill>
          </w14:textFill>
        </w:rPr>
      </w:pPr>
      <w:r>
        <w:rPr>
          <w:rFonts w:hint="eastAsia" w:ascii="仿宋_GB2312" w:hAnsi="仿宋_GB2312" w:eastAsia="仿宋_GB2312" w:cs="仿宋_GB2312"/>
          <w:b/>
          <w:bCs/>
          <w:color w:val="000000" w:themeColor="text1"/>
          <w:sz w:val="28"/>
          <w:szCs w:val="28"/>
          <w:lang w:bidi="ar"/>
          <w14:textFill>
            <w14:solidFill>
              <w14:schemeClr w14:val="tx1"/>
            </w14:solidFill>
          </w14:textFill>
        </w:rPr>
        <w:t>加强人才培养内涵建设。</w:t>
      </w:r>
      <w:r>
        <w:rPr>
          <w:rFonts w:hint="eastAsia" w:ascii="仿宋_GB2312" w:hAnsi="仿宋_GB2312" w:eastAsia="仿宋_GB2312" w:cs="仿宋_GB2312"/>
          <w:color w:val="000000" w:themeColor="text1"/>
          <w:sz w:val="28"/>
          <w:szCs w:val="28"/>
          <w:lang w:bidi="ar"/>
          <w14:textFill>
            <w14:solidFill>
              <w14:schemeClr w14:val="tx1"/>
            </w14:solidFill>
          </w14:textFill>
        </w:rPr>
        <w:t>为贯彻落实教育部《关于深化职业教育教学改革全面提高人才培养质量的若干意见》，提高我省高等职业教育人才培养质量，2021年12月，山东省教育厅发布《关于做好高等职业院校内部质量保证体系诊断与改进复核工作的通知》，组织专家对27个高职院校诊改工作进行复核，进一步促进我省职业教育内涵式发展。对接新旧动能转换产业群布局需要，建立职业教育专业认证、质量评价、专业预警调控机制。组织2</w:t>
      </w:r>
      <w:r>
        <w:rPr>
          <w:rFonts w:ascii="仿宋_GB2312" w:hAnsi="仿宋_GB2312" w:eastAsia="仿宋_GB2312" w:cs="仿宋_GB2312"/>
          <w:color w:val="000000" w:themeColor="text1"/>
          <w:sz w:val="28"/>
          <w:szCs w:val="28"/>
          <w:lang w:bidi="ar"/>
          <w14:textFill>
            <w14:solidFill>
              <w14:schemeClr w14:val="tx1"/>
            </w14:solidFill>
          </w14:textFill>
        </w:rPr>
        <w:t>021</w:t>
      </w:r>
      <w:r>
        <w:rPr>
          <w:rFonts w:hint="eastAsia" w:ascii="仿宋_GB2312" w:hAnsi="仿宋_GB2312" w:eastAsia="仿宋_GB2312" w:cs="仿宋_GB2312"/>
          <w:color w:val="000000" w:themeColor="text1"/>
          <w:sz w:val="28"/>
          <w:szCs w:val="28"/>
          <w:lang w:bidi="ar"/>
          <w14:textFill>
            <w14:solidFill>
              <w14:schemeClr w14:val="tx1"/>
            </w14:solidFill>
          </w14:textFill>
        </w:rPr>
        <w:t>年全省职业院校教学能力大赛，着力提升我省职业院校教师教学设计、实施课堂教学、达成评价目标、进行反思改进的能力，打造高水平教学创新团队，提高人才培养质量。主动对接产业发展、技术进步和流程再造，组织修订开发具有地方特色的专业教学标准、课程标准、顶岗实习标准、实训基地建设标准。发布《山东省教育厅关于加强职业院校教材管理工作的通知》（鲁教职字〔2021〕1号），进一步规范和加强全省职业院校教材管理，切实提高了教材建设水平。积极推动1+X证书制度深入开展，将学历证书与技能等级证书结合起来，深化复合型技术技能型人才培养改革。</w:t>
      </w:r>
    </w:p>
    <w:p>
      <w:pPr>
        <w:pStyle w:val="19"/>
        <w:widowControl/>
        <w:shd w:val="clear" w:color="auto" w:fill="FFFFFF"/>
        <w:spacing w:before="0" w:beforeAutospacing="0" w:after="0" w:afterAutospacing="0" w:line="520" w:lineRule="exact"/>
        <w:ind w:firstLine="562" w:firstLineChars="200"/>
        <w:jc w:val="both"/>
        <w:rPr>
          <w:rFonts w:ascii="仿宋_GB2312" w:hAnsi="仿宋_GB2312" w:eastAsia="仿宋_GB2312" w:cs="仿宋_GB2312"/>
          <w:color w:val="000000" w:themeColor="text1"/>
          <w:sz w:val="28"/>
          <w:szCs w:val="28"/>
          <w:lang w:bidi="ar"/>
          <w14:textFill>
            <w14:solidFill>
              <w14:schemeClr w14:val="tx1"/>
            </w14:solidFill>
          </w14:textFill>
        </w:rPr>
      </w:pPr>
      <w:r>
        <w:rPr>
          <w:rFonts w:hint="eastAsia" w:ascii="仿宋_GB2312" w:hAnsi="仿宋_GB2312" w:eastAsia="仿宋_GB2312" w:cs="仿宋_GB2312"/>
          <w:b/>
          <w:bCs/>
          <w:color w:val="000000" w:themeColor="text1"/>
          <w:sz w:val="28"/>
          <w:szCs w:val="28"/>
          <w:lang w:bidi="ar"/>
          <w14:textFill>
            <w14:solidFill>
              <w14:schemeClr w14:val="tx1"/>
            </w14:solidFill>
          </w14:textFill>
        </w:rPr>
        <w:t>促进高职办学水平的全面提升。</w:t>
      </w:r>
      <w:r>
        <w:rPr>
          <w:rFonts w:hint="eastAsia" w:ascii="仿宋_GB2312" w:hAnsi="仿宋_GB2312" w:eastAsia="仿宋_GB2312" w:cs="仿宋_GB2312"/>
          <w:color w:val="000000" w:themeColor="text1"/>
          <w:sz w:val="28"/>
          <w:szCs w:val="28"/>
          <w:lang w:bidi="ar"/>
          <w14:textFill>
            <w14:solidFill>
              <w14:schemeClr w14:val="tx1"/>
            </w14:solidFill>
          </w14:textFill>
        </w:rPr>
        <w:t>山东省15所高职院校进入国家</w:t>
      </w:r>
      <w:r>
        <w:rPr>
          <w:rFonts w:ascii="仿宋_GB2312" w:hAnsi="仿宋_GB2312" w:eastAsia="仿宋_GB2312" w:cs="仿宋_GB2312"/>
          <w:color w:val="000000" w:themeColor="text1"/>
          <w:sz w:val="28"/>
          <w:szCs w:val="28"/>
          <w:lang w:bidi="ar"/>
          <w14:textFill>
            <w14:solidFill>
              <w14:schemeClr w14:val="tx1"/>
            </w14:solidFill>
          </w14:textFill>
        </w:rPr>
        <w:t>“</w:t>
      </w:r>
      <w:r>
        <w:rPr>
          <w:rFonts w:hint="eastAsia" w:ascii="仿宋_GB2312" w:hAnsi="仿宋_GB2312" w:eastAsia="仿宋_GB2312" w:cs="仿宋_GB2312"/>
          <w:color w:val="000000" w:themeColor="text1"/>
          <w:sz w:val="28"/>
          <w:szCs w:val="28"/>
          <w:lang w:bidi="ar"/>
          <w14:textFill>
            <w14:solidFill>
              <w14:schemeClr w14:val="tx1"/>
            </w14:solidFill>
          </w14:textFill>
        </w:rPr>
        <w:t>双高计划</w:t>
      </w:r>
      <w:r>
        <w:rPr>
          <w:rFonts w:ascii="仿宋_GB2312" w:hAnsi="仿宋_GB2312" w:eastAsia="仿宋_GB2312" w:cs="仿宋_GB2312"/>
          <w:color w:val="000000" w:themeColor="text1"/>
          <w:sz w:val="28"/>
          <w:szCs w:val="28"/>
          <w:lang w:bidi="ar"/>
          <w14:textFill>
            <w14:solidFill>
              <w14:schemeClr w14:val="tx1"/>
            </w14:solidFill>
          </w14:textFill>
        </w:rPr>
        <w:t>”</w:t>
      </w:r>
      <w:r>
        <w:rPr>
          <w:rFonts w:hint="eastAsia" w:ascii="仿宋_GB2312" w:hAnsi="仿宋_GB2312" w:eastAsia="仿宋_GB2312" w:cs="仿宋_GB2312"/>
          <w:color w:val="000000" w:themeColor="text1"/>
          <w:sz w:val="28"/>
          <w:szCs w:val="28"/>
          <w:lang w:bidi="ar"/>
          <w14:textFill>
            <w14:solidFill>
              <w14:schemeClr w14:val="tx1"/>
            </w14:solidFill>
          </w14:textFill>
        </w:rPr>
        <w:t>，通过“一个加强、四个打造、五个提升”改革建设任务，建设一流高职院校，提升高层次技术技能人才培养的国际竞争力。为更好服务新旧动能转换等重大工程，建设一批区域离不开、业内都认同、国际可交流并在全国具有领先水平的专业群。出台《山东省教育厅</w:t>
      </w:r>
      <w:r>
        <w:rPr>
          <w:rFonts w:ascii="仿宋_GB2312" w:hAnsi="仿宋_GB2312" w:eastAsia="仿宋_GB2312" w:cs="仿宋_GB2312"/>
          <w:color w:val="000000" w:themeColor="text1"/>
          <w:sz w:val="28"/>
          <w:szCs w:val="28"/>
          <w:lang w:bidi="ar"/>
          <w14:textFill>
            <w14:solidFill>
              <w14:schemeClr w14:val="tx1"/>
            </w14:solidFill>
          </w14:textFill>
        </w:rPr>
        <w:t xml:space="preserve"> 山东省财政厅</w:t>
      </w:r>
      <w:r>
        <w:rPr>
          <w:rFonts w:hint="eastAsia" w:ascii="仿宋_GB2312" w:hAnsi="仿宋_GB2312" w:eastAsia="仿宋_GB2312" w:cs="仿宋_GB2312"/>
          <w:color w:val="000000" w:themeColor="text1"/>
          <w:sz w:val="28"/>
          <w:szCs w:val="28"/>
          <w:lang w:bidi="ar"/>
          <w14:textFill>
            <w14:solidFill>
              <w14:schemeClr w14:val="tx1"/>
            </w14:solidFill>
          </w14:textFill>
        </w:rPr>
        <w:t>关于实施高水平专业群建设工程推动高职院校专业化特色化发展的通知》（鲁教职函〔2021〕8号），通过实施高水平专业群建设工程，促进学校持续深化教育教学改革、推进产教融合、提升技术创新服务能力、实质性扩大国际交流合作、培养高素质技术技能人才、提升学校对经济社会发展的贡献度。为实现以教育评价改革促进高职院校高质量发展，2021年9月27—30日，举办全省高等职业院校领导干部教育评价改革专题培训班，提高了院长、书记对教育评价改革重要性的认识和水平。</w:t>
      </w:r>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45" w:name="_Toc91606471"/>
      <w:bookmarkStart w:id="46" w:name="_Toc91604636"/>
      <w:bookmarkStart w:id="47" w:name="_Toc91604954"/>
      <w:bookmarkStart w:id="48" w:name="_Toc94172153"/>
      <w:bookmarkStart w:id="49" w:name="_Toc94172294"/>
      <w:bookmarkStart w:id="50" w:name="_Toc94183396"/>
      <w:r>
        <w:rPr>
          <w:rFonts w:hint="eastAsia" w:ascii="仿宋_GB2312" w:hAnsi="仿宋_GB2312" w:eastAsia="仿宋_GB2312" w:cs="仿宋_GB2312"/>
          <w:b/>
          <w:bCs/>
          <w:color w:val="000000" w:themeColor="text1"/>
          <w:sz w:val="28"/>
          <w:szCs w:val="28"/>
          <w14:textFill>
            <w14:solidFill>
              <w14:schemeClr w14:val="tx1"/>
            </w14:solidFill>
          </w14:textFill>
        </w:rPr>
        <w:t>1.1.4落实“一校一案”创新发展方案</w:t>
      </w:r>
      <w:bookmarkEnd w:id="45"/>
      <w:bookmarkEnd w:id="46"/>
      <w:bookmarkEnd w:id="47"/>
      <w:bookmarkEnd w:id="48"/>
      <w:bookmarkEnd w:id="49"/>
      <w:bookmarkEnd w:id="50"/>
    </w:p>
    <w:p>
      <w:pPr>
        <w:widowControl/>
        <w:shd w:val="clear" w:color="auto" w:fill="FFFFFF"/>
        <w:spacing w:before="34" w:line="500" w:lineRule="exact"/>
        <w:ind w:right="96" w:firstLine="560" w:firstLineChars="200"/>
        <w:rPr>
          <w:rFonts w:ascii="宋体" w:hAnsi="宋体" w:eastAsia="宋体" w:cs="宋体"/>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lang w:bidi="ar"/>
          <w14:textFill>
            <w14:solidFill>
              <w14:schemeClr w14:val="tx1"/>
            </w14:solidFill>
          </w14:textFill>
        </w:rPr>
        <w:t>根据《山东省教育厅等6部门关于“一市（校）一案”编制职业教育创新发展实施方案的指导意见》要求，各高职院校围绕“十强”产业，结合重大工程和项目，以产业发展需求为导向，制定各校的职业教育改革实施方案（2020-2023），进一步明确任务落实的时间表和路线图，实现了省市县校全方位联动，从不同层面和领域为职业教育改革发展</w:t>
      </w:r>
      <w:r>
        <w:rPr>
          <w:rFonts w:hint="eastAsia" w:ascii="仿宋" w:hAnsi="仿宋" w:eastAsia="仿宋" w:cs="仿宋_GB2312"/>
          <w:color w:val="000000" w:themeColor="text1"/>
          <w:kern w:val="0"/>
          <w:sz w:val="28"/>
          <w:szCs w:val="28"/>
          <w:lang w:bidi="ar"/>
          <w14:textFill>
            <w14:solidFill>
              <w14:schemeClr w14:val="tx1"/>
            </w14:solidFill>
          </w14:textFill>
        </w:rPr>
        <w:t>蹚</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路子，形成了整省推进的良好局面。</w:t>
      </w:r>
      <w:r>
        <w:rPr>
          <w:rFonts w:ascii="仿宋_GB2312" w:hAnsi="仿宋_GB2312" w:eastAsia="仿宋_GB2312" w:cs="仿宋_GB2312"/>
          <w:color w:val="000000" w:themeColor="text1"/>
          <w:sz w:val="28"/>
          <w:szCs w:val="28"/>
          <w:lang w:bidi="ar"/>
          <w14:textFill>
            <w14:solidFill>
              <w14:schemeClr w14:val="tx1"/>
            </w14:solidFill>
          </w14:textFill>
        </w:rPr>
        <w:t>2021年5月</w:t>
      </w:r>
      <w:r>
        <w:rPr>
          <w:rFonts w:hint="eastAsia" w:ascii="仿宋_GB2312" w:hAnsi="仿宋_GB2312" w:eastAsia="仿宋_GB2312" w:cs="仿宋_GB2312"/>
          <w:color w:val="000000" w:themeColor="text1"/>
          <w:sz w:val="28"/>
          <w:szCs w:val="28"/>
          <w:lang w:bidi="ar"/>
          <w14:textFill>
            <w14:solidFill>
              <w14:schemeClr w14:val="tx1"/>
            </w14:solidFill>
          </w14:textFill>
        </w:rPr>
        <w:t>，</w:t>
      </w:r>
      <w:r>
        <w:rPr>
          <w:rFonts w:ascii="仿宋_GB2312" w:hAnsi="仿宋_GB2312" w:eastAsia="仿宋_GB2312" w:cs="仿宋_GB2312"/>
          <w:color w:val="000000" w:themeColor="text1"/>
          <w:sz w:val="28"/>
          <w:szCs w:val="28"/>
          <w:lang w:bidi="ar"/>
          <w14:textFill>
            <w14:solidFill>
              <w14:schemeClr w14:val="tx1"/>
            </w14:solidFill>
          </w14:textFill>
        </w:rPr>
        <w:t>山东省教育厅转发教育部《关于学习宣传贯彻习近平总书记重要指示和全国职业教育大会精神的通知》</w:t>
      </w:r>
      <w:r>
        <w:rPr>
          <w:rFonts w:hint="eastAsia" w:ascii="仿宋_GB2312" w:hAnsi="仿宋_GB2312" w:eastAsia="仿宋_GB2312" w:cs="仿宋_GB2312"/>
          <w:color w:val="000000" w:themeColor="text1"/>
          <w:sz w:val="28"/>
          <w:szCs w:val="28"/>
          <w:lang w:bidi="ar"/>
          <w14:textFill>
            <w14:solidFill>
              <w14:schemeClr w14:val="tx1"/>
            </w14:solidFill>
          </w14:textFill>
        </w:rPr>
        <w:t>，</w:t>
      </w:r>
      <w:r>
        <w:rPr>
          <w:rFonts w:ascii="仿宋_GB2312" w:hAnsi="仿宋_GB2312" w:eastAsia="仿宋_GB2312" w:cs="仿宋_GB2312"/>
          <w:color w:val="000000" w:themeColor="text1"/>
          <w:sz w:val="28"/>
          <w:szCs w:val="28"/>
          <w:lang w:bidi="ar"/>
          <w14:textFill>
            <w14:solidFill>
              <w14:schemeClr w14:val="tx1"/>
            </w14:solidFill>
          </w14:textFill>
        </w:rPr>
        <w:t>指出要聚焦职教高地重点任务，加大工作力度，深化改革创新，扎实落实“一市（校）一案”</w:t>
      </w:r>
      <w:r>
        <w:rPr>
          <w:rFonts w:hint="eastAsia" w:ascii="仿宋_GB2312" w:hAnsi="仿宋_GB2312" w:eastAsia="仿宋_GB2312" w:cs="仿宋_GB2312"/>
          <w:color w:val="000000" w:themeColor="text1"/>
          <w:sz w:val="28"/>
          <w:szCs w:val="28"/>
          <w:lang w:bidi="ar"/>
          <w14:textFill>
            <w14:solidFill>
              <w14:schemeClr w14:val="tx1"/>
            </w14:solidFill>
          </w14:textFill>
        </w:rPr>
        <w:t>。</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一校一案”推动了教育制度创新，建立产教深度融合、同发展需求密切对接、与加快教育现代化整体契合的区域职业教育发展模式，为建设国家职业教育创新发展高地提供可复制的经验做法，为新旧动能转换提供技术技能人才支撑。</w:t>
      </w:r>
    </w:p>
    <w:p>
      <w:pPr>
        <w:spacing w:line="520" w:lineRule="exact"/>
        <w:ind w:firstLine="567"/>
        <w:outlineLvl w:val="1"/>
        <w:rPr>
          <w:rFonts w:ascii="楷体_GB2312" w:hAnsi="黑体" w:eastAsia="楷体_GB2312" w:cs="黑体"/>
          <w:bCs/>
          <w:color w:val="000000" w:themeColor="text1"/>
          <w:sz w:val="28"/>
          <w:szCs w:val="28"/>
          <w14:textFill>
            <w14:solidFill>
              <w14:schemeClr w14:val="tx1"/>
            </w14:solidFill>
          </w14:textFill>
        </w:rPr>
      </w:pPr>
      <w:bookmarkStart w:id="51" w:name="_Toc94172154"/>
      <w:bookmarkStart w:id="52" w:name="_Toc94183397"/>
      <w:bookmarkStart w:id="53" w:name="_Toc94172295"/>
      <w:r>
        <w:rPr>
          <w:rFonts w:hint="eastAsia" w:ascii="楷体_GB2312" w:hAnsi="黑体" w:eastAsia="楷体_GB2312" w:cs="黑体"/>
          <w:bCs/>
          <w:color w:val="000000" w:themeColor="text1"/>
          <w:sz w:val="28"/>
          <w:szCs w:val="28"/>
          <w14:textFill>
            <w14:solidFill>
              <w14:schemeClr w14:val="tx1"/>
            </w14:solidFill>
          </w14:textFill>
        </w:rPr>
        <w:t>1.2 发展概况</w:t>
      </w:r>
      <w:bookmarkEnd w:id="51"/>
      <w:bookmarkEnd w:id="52"/>
      <w:bookmarkEnd w:id="53"/>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54" w:name="_Toc94172296"/>
      <w:bookmarkStart w:id="55" w:name="_Toc91604957"/>
      <w:bookmarkStart w:id="56" w:name="_Toc91604639"/>
      <w:bookmarkStart w:id="57" w:name="_Toc91606474"/>
      <w:bookmarkStart w:id="58" w:name="_Toc94172155"/>
      <w:bookmarkStart w:id="59" w:name="_Toc94183398"/>
      <w:r>
        <w:rPr>
          <w:rFonts w:hint="eastAsia" w:ascii="仿宋_GB2312" w:hAnsi="仿宋_GB2312" w:eastAsia="仿宋_GB2312" w:cs="仿宋_GB2312"/>
          <w:b/>
          <w:bCs/>
          <w:color w:val="000000" w:themeColor="text1"/>
          <w:sz w:val="28"/>
          <w:szCs w:val="28"/>
          <w14:textFill>
            <w14:solidFill>
              <w14:schemeClr w14:val="tx1"/>
            </w14:solidFill>
          </w14:textFill>
        </w:rPr>
        <w:t>1.2.1  山东省高职专科学校发展规模</w:t>
      </w:r>
      <w:bookmarkEnd w:id="54"/>
      <w:bookmarkEnd w:id="55"/>
      <w:bookmarkEnd w:id="56"/>
      <w:bookmarkEnd w:id="57"/>
      <w:bookmarkEnd w:id="58"/>
      <w:bookmarkEnd w:id="59"/>
    </w:p>
    <w:p>
      <w:pPr>
        <w:widowControl/>
        <w:shd w:val="clear" w:color="auto" w:fill="FFFFFF"/>
        <w:spacing w:before="34" w:line="500" w:lineRule="exact"/>
        <w:ind w:right="96" w:firstLine="562"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r>
        <w:rPr>
          <w:rFonts w:hint="eastAsia" w:ascii="仿宋_GB2312" w:hAnsi="仿宋_GB2312" w:eastAsia="仿宋_GB2312" w:cs="仿宋_GB2312"/>
          <w:b/>
          <w:bCs/>
          <w:color w:val="000000" w:themeColor="text1"/>
          <w:kern w:val="0"/>
          <w:sz w:val="28"/>
          <w:szCs w:val="28"/>
          <w:lang w:bidi="ar"/>
          <w14:textFill>
            <w14:solidFill>
              <w14:schemeClr w14:val="tx1"/>
            </w14:solidFill>
          </w14:textFill>
        </w:rPr>
        <w:t>高职专科学校数量稳步增加。</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近五年，山东省高职专科学校从2017年的78所稳步提升至2021年的83所，增加5所，如图1-</w:t>
      </w:r>
      <w:r>
        <w:rPr>
          <w:rFonts w:ascii="仿宋_GB2312" w:hAnsi="仿宋_GB2312" w:eastAsia="仿宋_GB2312" w:cs="仿宋_GB2312"/>
          <w:color w:val="000000" w:themeColor="text1"/>
          <w:kern w:val="0"/>
          <w:sz w:val="28"/>
          <w:szCs w:val="28"/>
          <w:lang w:bidi="ar"/>
          <w14:textFill>
            <w14:solidFill>
              <w14:schemeClr w14:val="tx1"/>
            </w14:solidFill>
          </w14:textFill>
        </w:rPr>
        <w:t>1</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所示。随着我省产业升级、新旧动能转换及新技术、新产业的不断革新壮大，各企事业单位对复合型高层次的技术技能人才需求量不断提升，对高等职业教育的需求也在显著增加。同时，一大批下岗失业人员、农民工也可以通过接受职业教育获得一技之长，高职教育在服务就业、改善民生等方面发挥了越来越重要的作用，认可度和吸引力正在逐渐增强。</w:t>
      </w:r>
    </w:p>
    <w:p>
      <w:pPr>
        <w:widowControl/>
        <w:shd w:val="clear" w:color="auto" w:fill="FFFFFF"/>
        <w:spacing w:before="34" w:line="500" w:lineRule="exact"/>
        <w:ind w:right="96" w:firstLine="560"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60" w:name="_Toc94183399"/>
      <w:r>
        <w:rPr>
          <w:rFonts w:hint="eastAsia" w:ascii="宋体" w:hAnsi="宋体" w:eastAsia="宋体"/>
          <w:b/>
          <w:bCs/>
          <w:color w:val="000000" w:themeColor="text1"/>
          <w:sz w:val="24"/>
          <w:szCs w:val="24"/>
          <w14:textFill>
            <w14:solidFill>
              <w14:schemeClr w14:val="tx1"/>
            </w14:solidFill>
          </w14:textFill>
        </w:rPr>
        <w:drawing>
          <wp:anchor distT="0" distB="0" distL="114300" distR="114300" simplePos="0" relativeHeight="251687936" behindDoc="0" locked="0" layoutInCell="1" allowOverlap="1">
            <wp:simplePos x="0" y="0"/>
            <wp:positionH relativeFrom="column">
              <wp:posOffset>551815</wp:posOffset>
            </wp:positionH>
            <wp:positionV relativeFrom="paragraph">
              <wp:posOffset>41910</wp:posOffset>
            </wp:positionV>
            <wp:extent cx="4410710" cy="1935480"/>
            <wp:effectExtent l="0" t="0" r="8890" b="7620"/>
            <wp:wrapTopAndBottom/>
            <wp:docPr id="32" name="图片 32" descr="TZEIZ~J~{(11{AQ~DB}SH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TZEIZ~J~{(11{AQ~DB}SH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10710" cy="1935480"/>
                    </a:xfrm>
                    <a:prstGeom prst="rect">
                      <a:avLst/>
                    </a:prstGeom>
                    <a:noFill/>
                    <a:ln>
                      <a:noFill/>
                    </a:ln>
                  </pic:spPr>
                </pic:pic>
              </a:graphicData>
            </a:graphic>
          </wp:anchor>
        </w:drawing>
      </w:r>
      <w:bookmarkStart w:id="61" w:name="_Toc91604958"/>
      <w:bookmarkStart w:id="62" w:name="_Toc94172156"/>
      <w:bookmarkStart w:id="63" w:name="_Toc94172297"/>
      <w:r>
        <w:rPr>
          <w:rFonts w:hint="eastAsia" w:ascii="宋体" w:hAnsi="宋体" w:eastAsia="宋体"/>
          <w:b/>
          <w:bCs/>
          <w:color w:val="000000" w:themeColor="text1"/>
          <w:sz w:val="24"/>
          <w:szCs w:val="24"/>
          <w14:textFill>
            <w14:solidFill>
              <w14:schemeClr w14:val="tx1"/>
            </w14:solidFill>
          </w14:textFill>
        </w:rPr>
        <w:t>图1-</w:t>
      </w:r>
      <w:r>
        <w:rPr>
          <w:rFonts w:ascii="宋体" w:hAnsi="宋体" w:eastAsia="宋体"/>
          <w:b/>
          <w:bCs/>
          <w:color w:val="000000" w:themeColor="text1"/>
          <w:sz w:val="24"/>
          <w:szCs w:val="24"/>
          <w14:textFill>
            <w14:solidFill>
              <w14:schemeClr w14:val="tx1"/>
            </w14:solidFill>
          </w14:textFill>
        </w:rPr>
        <w:t xml:space="preserve">1 </w:t>
      </w:r>
      <w:r>
        <w:rPr>
          <w:rFonts w:hint="eastAsia" w:ascii="宋体" w:hAnsi="宋体" w:eastAsia="宋体"/>
          <w:b/>
          <w:bCs/>
          <w:color w:val="000000" w:themeColor="text1"/>
          <w:sz w:val="24"/>
          <w:szCs w:val="24"/>
          <w14:textFill>
            <w14:solidFill>
              <w14:schemeClr w14:val="tx1"/>
            </w14:solidFill>
          </w14:textFill>
        </w:rPr>
        <w:t xml:space="preserve"> 2017-2021年山东省高职专科学校数/所</w:t>
      </w:r>
      <w:bookmarkEnd w:id="60"/>
      <w:bookmarkEnd w:id="61"/>
      <w:bookmarkEnd w:id="62"/>
      <w:bookmarkEnd w:id="63"/>
    </w:p>
    <w:p>
      <w:pPr>
        <w:pStyle w:val="6"/>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数据来源：</w:t>
      </w:r>
      <w:r>
        <w:rPr>
          <w:rFonts w:hint="eastAsia" w:ascii="宋体" w:hAnsi="宋体" w:eastAsia="宋体" w:cs="宋体"/>
          <w:color w:val="000000" w:themeColor="text1"/>
          <w:szCs w:val="21"/>
          <w14:textFill>
            <w14:solidFill>
              <w14:schemeClr w14:val="tx1"/>
            </w14:solidFill>
          </w14:textFill>
        </w:rPr>
        <w:t>2017-2021年度高等职业院校人才培养工作状态数据采集与管理平台。</w:t>
      </w:r>
    </w:p>
    <w:p>
      <w:pPr>
        <w:widowControl/>
        <w:shd w:val="clear" w:color="auto" w:fill="FFFFFF"/>
        <w:spacing w:before="34" w:line="500" w:lineRule="exact"/>
        <w:ind w:right="96" w:firstLine="562"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r>
        <w:rPr>
          <w:rFonts w:hint="eastAsia" w:ascii="仿宋_GB2312" w:hAnsi="仿宋_GB2312" w:eastAsia="仿宋_GB2312" w:cs="仿宋_GB2312"/>
          <w:b/>
          <w:bCs/>
          <w:color w:val="000000" w:themeColor="text1"/>
          <w:kern w:val="0"/>
          <w:sz w:val="28"/>
          <w:szCs w:val="28"/>
          <w:lang w:bidi="ar"/>
          <w14:textFill>
            <w14:solidFill>
              <w14:schemeClr w14:val="tx1"/>
            </w14:solidFill>
          </w14:textFill>
        </w:rPr>
        <w:t>高职专科学校全日制在校生数稳步提升。</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近五年来，山东省高职专科学校在校生数一直处于不断增长状态，从2017年的70.23万人增长到2021年的89.</w:t>
      </w:r>
      <w:r>
        <w:rPr>
          <w:rFonts w:ascii="仿宋_GB2312" w:hAnsi="仿宋_GB2312" w:eastAsia="仿宋_GB2312" w:cs="仿宋_GB2312"/>
          <w:color w:val="000000" w:themeColor="text1"/>
          <w:kern w:val="0"/>
          <w:sz w:val="28"/>
          <w:szCs w:val="28"/>
          <w:lang w:bidi="ar"/>
          <w14:textFill>
            <w14:solidFill>
              <w14:schemeClr w14:val="tx1"/>
            </w14:solidFill>
          </w14:textFill>
        </w:rPr>
        <w:t>28</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万人，增加19.</w:t>
      </w:r>
      <w:r>
        <w:rPr>
          <w:rFonts w:ascii="仿宋_GB2312" w:hAnsi="仿宋_GB2312" w:eastAsia="仿宋_GB2312" w:cs="仿宋_GB2312"/>
          <w:color w:val="000000" w:themeColor="text1"/>
          <w:kern w:val="0"/>
          <w:sz w:val="28"/>
          <w:szCs w:val="28"/>
          <w:lang w:bidi="ar"/>
          <w14:textFill>
            <w14:solidFill>
              <w14:schemeClr w14:val="tx1"/>
            </w14:solidFill>
          </w14:textFill>
        </w:rPr>
        <w:t>05</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万人。2019年，山东省教育厅等11部门联合印发《山东省高等职业院校扩招实施方案》，贯彻落实高职扩招政策后，2020年和2021年高职在校生数增长幅度较大,均突破80万人大关。2017-2021年山东省高职专科学校在校生数如图1-</w:t>
      </w:r>
      <w:r>
        <w:rPr>
          <w:rFonts w:ascii="仿宋_GB2312" w:hAnsi="仿宋_GB2312" w:eastAsia="仿宋_GB2312" w:cs="仿宋_GB2312"/>
          <w:color w:val="000000" w:themeColor="text1"/>
          <w:kern w:val="0"/>
          <w:sz w:val="28"/>
          <w:szCs w:val="28"/>
          <w:lang w:bidi="ar"/>
          <w14:textFill>
            <w14:solidFill>
              <w14:schemeClr w14:val="tx1"/>
            </w14:solidFill>
          </w14:textFill>
        </w:rPr>
        <w:t>2</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所示。</w:t>
      </w:r>
    </w:p>
    <w:p>
      <w:pPr>
        <w:widowControl/>
        <w:shd w:val="clear" w:color="auto" w:fill="FFFFFF"/>
        <w:spacing w:before="34" w:line="500" w:lineRule="exact"/>
        <w:ind w:right="96" w:firstLine="560"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p>
    <w:p>
      <w:pPr>
        <w:widowControl/>
        <w:shd w:val="clear" w:color="auto" w:fill="FFFFFF"/>
        <w:spacing w:before="34"/>
        <w:ind w:right="96"/>
        <w:jc w:val="center"/>
        <w:rPr>
          <w:rFonts w:ascii="仿宋_GB2312" w:hAnsi="仿宋_GB2312" w:eastAsia="仿宋_GB2312" w:cs="仿宋_GB2312"/>
          <w:color w:val="000000" w:themeColor="text1"/>
          <w:kern w:val="0"/>
          <w:sz w:val="28"/>
          <w:szCs w:val="28"/>
          <w:lang w:bidi="ar"/>
          <w14:textFill>
            <w14:solidFill>
              <w14:schemeClr w14:val="tx1"/>
            </w14:solidFill>
          </w14:textFill>
        </w:rPr>
      </w:pPr>
      <w:r>
        <w:rPr>
          <w:rFonts w:ascii="仿宋_GB2312" w:hAnsi="仿宋_GB2312" w:eastAsia="仿宋_GB2312" w:cs="仿宋_GB2312"/>
          <w:color w:val="000000" w:themeColor="text1"/>
          <w:kern w:val="0"/>
          <w:sz w:val="28"/>
          <w:szCs w:val="28"/>
          <w14:textFill>
            <w14:solidFill>
              <w14:schemeClr w14:val="tx1"/>
            </w14:solidFill>
          </w14:textFill>
        </w:rPr>
        <w:drawing>
          <wp:inline distT="0" distB="0" distL="0" distR="0">
            <wp:extent cx="4401820" cy="2286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18450" cy="2294537"/>
                    </a:xfrm>
                    <a:prstGeom prst="rect">
                      <a:avLst/>
                    </a:prstGeom>
                    <a:noFill/>
                    <a:ln>
                      <a:noFill/>
                    </a:ln>
                  </pic:spPr>
                </pic:pic>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64" w:name="_Toc94172157"/>
      <w:bookmarkStart w:id="65" w:name="_Toc94183400"/>
      <w:bookmarkStart w:id="66" w:name="_Toc94172298"/>
      <w:bookmarkStart w:id="67" w:name="_Toc91604959"/>
      <w:r>
        <w:rPr>
          <w:rFonts w:hint="eastAsia" w:ascii="宋体" w:hAnsi="宋体" w:eastAsia="宋体"/>
          <w:b/>
          <w:bCs/>
          <w:color w:val="000000" w:themeColor="text1"/>
          <w:sz w:val="24"/>
          <w:szCs w:val="24"/>
          <w14:textFill>
            <w14:solidFill>
              <w14:schemeClr w14:val="tx1"/>
            </w14:solidFill>
          </w14:textFill>
        </w:rPr>
        <w:t>图1-</w:t>
      </w:r>
      <w:r>
        <w:rPr>
          <w:rFonts w:ascii="宋体" w:hAnsi="宋体" w:eastAsia="宋体"/>
          <w:b/>
          <w:bCs/>
          <w:color w:val="000000" w:themeColor="text1"/>
          <w:sz w:val="24"/>
          <w:szCs w:val="24"/>
          <w14:textFill>
            <w14:solidFill>
              <w14:schemeClr w14:val="tx1"/>
            </w14:solidFill>
          </w14:textFill>
        </w:rPr>
        <w:t>2</w:t>
      </w:r>
      <w:r>
        <w:rPr>
          <w:rFonts w:hint="eastAsia" w:ascii="宋体" w:hAnsi="宋体" w:eastAsia="宋体"/>
          <w:b/>
          <w:bCs/>
          <w:color w:val="000000" w:themeColor="text1"/>
          <w:sz w:val="24"/>
          <w:szCs w:val="24"/>
          <w14:textFill>
            <w14:solidFill>
              <w14:schemeClr w14:val="tx1"/>
            </w14:solidFill>
          </w14:textFill>
        </w:rPr>
        <w:t xml:space="preserve"> 2017-2021年山东省高职专科学校在校生数/万人</w:t>
      </w:r>
      <w:bookmarkEnd w:id="64"/>
      <w:bookmarkEnd w:id="65"/>
      <w:bookmarkEnd w:id="66"/>
      <w:bookmarkEnd w:id="67"/>
    </w:p>
    <w:p>
      <w:pPr>
        <w:pStyle w:val="6"/>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数据来源：</w:t>
      </w:r>
      <w:r>
        <w:rPr>
          <w:rFonts w:hint="eastAsia" w:ascii="宋体" w:hAnsi="宋体" w:eastAsia="宋体" w:cs="宋体"/>
          <w:color w:val="000000" w:themeColor="text1"/>
          <w:szCs w:val="21"/>
          <w14:textFill>
            <w14:solidFill>
              <w14:schemeClr w14:val="tx1"/>
            </w14:solidFill>
          </w14:textFill>
        </w:rPr>
        <w:t>2017-2021年度高等职业院校人才培养工作状态数据采集与管理平台。</w:t>
      </w:r>
    </w:p>
    <w:p>
      <w:pPr>
        <w:widowControl/>
        <w:shd w:val="clear" w:color="auto" w:fill="FFFFFF"/>
        <w:spacing w:before="34" w:line="560" w:lineRule="exact"/>
        <w:ind w:right="96" w:firstLine="562"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r>
        <w:rPr>
          <w:rFonts w:hint="eastAsia" w:ascii="仿宋_GB2312" w:hAnsi="仿宋_GB2312" w:eastAsia="仿宋_GB2312" w:cs="仿宋_GB2312"/>
          <w:b/>
          <w:bCs/>
          <w:color w:val="000000" w:themeColor="text1"/>
          <w:kern w:val="0"/>
          <w:sz w:val="28"/>
          <w:szCs w:val="28"/>
          <w:lang w:bidi="ar"/>
          <w14:textFill>
            <w14:solidFill>
              <w14:schemeClr w14:val="tx1"/>
            </w14:solidFill>
          </w14:textFill>
        </w:rPr>
        <w:t>济南、潍坊及东部沿海地区院校数量较多。</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从地市布局来看，2021年山东省各地市高职专科学校数量分布总体均衡，部分区域差距较大，市均5所。省会济南、潍坊及东部沿海地区院校数量较多，其中济南有20所，占据全省总量的24%，位列第一；潍坊紧随其后，有12所；青岛和烟台的院校数量也较多，而聊城和滨州则较少，仅有1所。2021年山东省高职专科学校地市分布情况如图1-</w:t>
      </w:r>
      <w:r>
        <w:rPr>
          <w:rFonts w:ascii="仿宋_GB2312" w:hAnsi="仿宋_GB2312" w:eastAsia="仿宋_GB2312" w:cs="仿宋_GB2312"/>
          <w:color w:val="000000" w:themeColor="text1"/>
          <w:kern w:val="0"/>
          <w:sz w:val="28"/>
          <w:szCs w:val="28"/>
          <w:lang w:bidi="ar"/>
          <w14:textFill>
            <w14:solidFill>
              <w14:schemeClr w14:val="tx1"/>
            </w14:solidFill>
          </w14:textFill>
        </w:rPr>
        <w:t>3</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所示。</w:t>
      </w:r>
    </w:p>
    <w:p>
      <w:pPr>
        <w:widowControl/>
        <w:shd w:val="clear" w:color="auto" w:fill="FFFFFF"/>
        <w:spacing w:before="34" w:line="500" w:lineRule="exact"/>
        <w:ind w:right="96" w:firstLine="560"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p>
    <w:p>
      <w:pPr>
        <w:widowControl/>
        <w:shd w:val="clear" w:color="auto" w:fill="FFFFFF"/>
        <w:spacing w:before="34"/>
        <w:ind w:right="96"/>
        <w:jc w:val="center"/>
        <w:rPr>
          <w:rFonts w:ascii="仿宋_GB2312" w:hAnsi="仿宋_GB2312" w:eastAsia="仿宋_GB2312" w:cs="仿宋_GB2312"/>
          <w:color w:val="000000" w:themeColor="text1"/>
          <w:kern w:val="0"/>
          <w:sz w:val="28"/>
          <w:szCs w:val="28"/>
          <w:lang w:bidi="ar"/>
          <w14:textFill>
            <w14:solidFill>
              <w14:schemeClr w14:val="tx1"/>
            </w14:solidFill>
          </w14:textFill>
        </w:rPr>
      </w:pPr>
      <w:r>
        <w:rPr>
          <w:rFonts w:ascii="仿宋_GB2312" w:hAnsi="仿宋_GB2312" w:eastAsia="仿宋_GB2312" w:cs="仿宋_GB2312"/>
          <w:color w:val="000000" w:themeColor="text1"/>
          <w:kern w:val="0"/>
          <w:sz w:val="28"/>
          <w:szCs w:val="28"/>
          <w14:textFill>
            <w14:solidFill>
              <w14:schemeClr w14:val="tx1"/>
            </w14:solidFill>
          </w14:textFill>
        </w:rPr>
        <w:drawing>
          <wp:inline distT="0" distB="0" distL="0" distR="0">
            <wp:extent cx="5356860" cy="2438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56860" cy="2438400"/>
                    </a:xfrm>
                    <a:prstGeom prst="rect">
                      <a:avLst/>
                    </a:prstGeom>
                    <a:noFill/>
                    <a:ln>
                      <a:noFill/>
                    </a:ln>
                  </pic:spPr>
                </pic:pic>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68" w:name="_Toc91604960"/>
      <w:bookmarkStart w:id="69" w:name="_Toc94172158"/>
      <w:bookmarkStart w:id="70" w:name="_Toc94172299"/>
      <w:bookmarkStart w:id="71" w:name="_Toc94183401"/>
      <w:r>
        <w:rPr>
          <w:rFonts w:hint="eastAsia" w:ascii="宋体" w:hAnsi="宋体" w:eastAsia="宋体"/>
          <w:b/>
          <w:bCs/>
          <w:color w:val="000000" w:themeColor="text1"/>
          <w:sz w:val="24"/>
          <w:szCs w:val="24"/>
          <w14:textFill>
            <w14:solidFill>
              <w14:schemeClr w14:val="tx1"/>
            </w14:solidFill>
          </w14:textFill>
        </w:rPr>
        <w:t>图1-</w:t>
      </w:r>
      <w:r>
        <w:rPr>
          <w:rFonts w:ascii="宋体" w:hAnsi="宋体" w:eastAsia="宋体"/>
          <w:b/>
          <w:bCs/>
          <w:color w:val="000000" w:themeColor="text1"/>
          <w:sz w:val="24"/>
          <w:szCs w:val="24"/>
          <w14:textFill>
            <w14:solidFill>
              <w14:schemeClr w14:val="tx1"/>
            </w14:solidFill>
          </w14:textFill>
        </w:rPr>
        <w:t>3</w:t>
      </w:r>
      <w:r>
        <w:rPr>
          <w:rFonts w:hint="eastAsia" w:ascii="宋体" w:hAnsi="宋体" w:eastAsia="宋体"/>
          <w:b/>
          <w:bCs/>
          <w:color w:val="000000" w:themeColor="text1"/>
          <w:sz w:val="24"/>
          <w:szCs w:val="24"/>
          <w14:textFill>
            <w14:solidFill>
              <w14:schemeClr w14:val="tx1"/>
            </w14:solidFill>
          </w14:textFill>
        </w:rPr>
        <w:t xml:space="preserve"> 2021年山东省高职专科学校地市分布情况/所</w:t>
      </w:r>
      <w:bookmarkEnd w:id="68"/>
      <w:bookmarkEnd w:id="69"/>
      <w:bookmarkEnd w:id="70"/>
      <w:bookmarkEnd w:id="71"/>
    </w:p>
    <w:p>
      <w:pPr>
        <w:pStyle w:val="6"/>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数据来源：</w:t>
      </w:r>
      <w:r>
        <w:rPr>
          <w:rFonts w:ascii="宋体" w:hAnsi="宋体" w:eastAsia="宋体" w:cs="宋体"/>
          <w:color w:val="000000" w:themeColor="text1"/>
          <w:szCs w:val="21"/>
          <w14:textFill>
            <w14:solidFill>
              <w14:schemeClr w14:val="tx1"/>
            </w14:solidFill>
          </w14:textFill>
        </w:rPr>
        <w:t>2021</w:t>
      </w:r>
      <w:r>
        <w:rPr>
          <w:rFonts w:hint="eastAsia" w:ascii="宋体" w:hAnsi="宋体" w:eastAsia="宋体" w:cs="宋体"/>
          <w:color w:val="000000" w:themeColor="text1"/>
          <w:szCs w:val="21"/>
          <w14:textFill>
            <w14:solidFill>
              <w14:schemeClr w14:val="tx1"/>
            </w14:solidFill>
          </w14:textFill>
        </w:rPr>
        <w:t>年度高等职业院校人才培养工作状态数据采集与管理平台。</w:t>
      </w:r>
    </w:p>
    <w:p>
      <w:pPr>
        <w:widowControl/>
        <w:shd w:val="clear" w:color="auto" w:fill="FFFFFF"/>
        <w:spacing w:before="34" w:line="560" w:lineRule="exact"/>
        <w:ind w:right="96" w:firstLine="562"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r>
        <w:rPr>
          <w:rFonts w:hint="eastAsia" w:ascii="仿宋_GB2312" w:hAnsi="仿宋_GB2312" w:eastAsia="仿宋_GB2312" w:cs="仿宋_GB2312"/>
          <w:b/>
          <w:bCs/>
          <w:color w:val="000000" w:themeColor="text1"/>
          <w:kern w:val="0"/>
          <w:sz w:val="28"/>
          <w:szCs w:val="28"/>
          <w:lang w:bidi="ar"/>
          <w14:textFill>
            <w14:solidFill>
              <w14:schemeClr w14:val="tx1"/>
            </w14:solidFill>
          </w14:textFill>
        </w:rPr>
        <w:t>高职专科学校在校生数呈现部分地市不均匀分布。</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高职院校在校生数与上述学校数量分布总体一致，但也存在部分城市分布不均匀的现象。总体来看，2021年，济南市总在校生为20.67万人、潍坊市紧随其后为13.99万人。而与烟台市院校数量相同的青岛市在校生人数为6万人，比烟台市少1.37万人。在校生人数最少的城市为聊城市和临沂市，仅仅为1.69万人和1.21万人。如图1-</w:t>
      </w:r>
      <w:r>
        <w:rPr>
          <w:rFonts w:ascii="仿宋_GB2312" w:hAnsi="仿宋_GB2312" w:eastAsia="仿宋_GB2312" w:cs="仿宋_GB2312"/>
          <w:color w:val="000000" w:themeColor="text1"/>
          <w:kern w:val="0"/>
          <w:sz w:val="28"/>
          <w:szCs w:val="28"/>
          <w:lang w:bidi="ar"/>
          <w14:textFill>
            <w14:solidFill>
              <w14:schemeClr w14:val="tx1"/>
            </w14:solidFill>
          </w14:textFill>
        </w:rPr>
        <w:t>4</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所示。</w:t>
      </w:r>
    </w:p>
    <w:p>
      <w:pPr>
        <w:widowControl/>
        <w:shd w:val="clear" w:color="auto" w:fill="FFFFFF"/>
        <w:spacing w:before="34"/>
        <w:ind w:right="96"/>
        <w:jc w:val="center"/>
        <w:rPr>
          <w:rFonts w:ascii="仿宋_GB2312" w:hAnsi="仿宋_GB2312" w:eastAsia="仿宋_GB2312" w:cs="仿宋_GB2312"/>
          <w:color w:val="000000" w:themeColor="text1"/>
          <w:kern w:val="0"/>
          <w:sz w:val="28"/>
          <w:szCs w:val="28"/>
          <w:lang w:bidi="ar"/>
          <w14:textFill>
            <w14:solidFill>
              <w14:schemeClr w14:val="tx1"/>
            </w14:solidFill>
          </w14:textFill>
        </w:rPr>
      </w:pPr>
      <w:r>
        <w:rPr>
          <w:rFonts w:ascii="仿宋_GB2312" w:hAnsi="仿宋_GB2312" w:eastAsia="仿宋_GB2312" w:cs="仿宋_GB2312"/>
          <w:color w:val="000000" w:themeColor="text1"/>
          <w:kern w:val="0"/>
          <w:sz w:val="28"/>
          <w:szCs w:val="28"/>
          <w14:textFill>
            <w14:solidFill>
              <w14:schemeClr w14:val="tx1"/>
            </w14:solidFill>
          </w14:textFill>
        </w:rPr>
        <w:drawing>
          <wp:inline distT="0" distB="0" distL="0" distR="0">
            <wp:extent cx="5509260" cy="27578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11517" cy="2759498"/>
                    </a:xfrm>
                    <a:prstGeom prst="rect">
                      <a:avLst/>
                    </a:prstGeom>
                    <a:noFill/>
                    <a:ln>
                      <a:noFill/>
                    </a:ln>
                  </pic:spPr>
                </pic:pic>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72" w:name="_Toc94172159"/>
      <w:bookmarkStart w:id="73" w:name="_Toc94172300"/>
      <w:bookmarkStart w:id="74" w:name="_Toc94183402"/>
      <w:r>
        <w:rPr>
          <w:rFonts w:hint="eastAsia" w:ascii="宋体" w:hAnsi="宋体" w:eastAsia="宋体"/>
          <w:b/>
          <w:bCs/>
          <w:color w:val="000000" w:themeColor="text1"/>
          <w:sz w:val="24"/>
          <w:szCs w:val="24"/>
          <w14:textFill>
            <w14:solidFill>
              <w14:schemeClr w14:val="tx1"/>
            </w14:solidFill>
          </w14:textFill>
        </w:rPr>
        <w:t>图1-</w:t>
      </w:r>
      <w:r>
        <w:rPr>
          <w:rFonts w:ascii="宋体" w:hAnsi="宋体" w:eastAsia="宋体"/>
          <w:b/>
          <w:bCs/>
          <w:color w:val="000000" w:themeColor="text1"/>
          <w:sz w:val="24"/>
          <w:szCs w:val="24"/>
          <w14:textFill>
            <w14:solidFill>
              <w14:schemeClr w14:val="tx1"/>
            </w14:solidFill>
          </w14:textFill>
        </w:rPr>
        <w:t>4</w:t>
      </w:r>
      <w:r>
        <w:rPr>
          <w:rFonts w:hint="eastAsia" w:ascii="宋体" w:hAnsi="宋体" w:eastAsia="宋体"/>
          <w:b/>
          <w:bCs/>
          <w:color w:val="000000" w:themeColor="text1"/>
          <w:sz w:val="24"/>
          <w:szCs w:val="24"/>
          <w14:textFill>
            <w14:solidFill>
              <w14:schemeClr w14:val="tx1"/>
            </w14:solidFill>
          </w14:textFill>
        </w:rPr>
        <w:t xml:space="preserve"> 2021年山东省高职专科学校在校生地市分布情况（人）</w:t>
      </w:r>
      <w:bookmarkEnd w:id="72"/>
      <w:bookmarkEnd w:id="73"/>
      <w:bookmarkEnd w:id="74"/>
    </w:p>
    <w:p>
      <w:pPr>
        <w:pStyle w:val="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数据来源：</w:t>
      </w:r>
      <w:r>
        <w:rPr>
          <w:rFonts w:hint="eastAsia" w:ascii="宋体" w:hAnsi="宋体" w:eastAsia="宋体" w:cs="宋体"/>
          <w:color w:val="000000" w:themeColor="text1"/>
          <w:szCs w:val="21"/>
          <w14:textFill>
            <w14:solidFill>
              <w14:schemeClr w14:val="tx1"/>
            </w14:solidFill>
          </w14:textFill>
        </w:rPr>
        <w:t>2021年度高等职业院校人才培养工作状态数据采集与管理平台</w:t>
      </w:r>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75" w:name="_Toc94172160"/>
      <w:bookmarkStart w:id="76" w:name="_Toc91604643"/>
      <w:bookmarkStart w:id="77" w:name="_Toc94183403"/>
      <w:bookmarkStart w:id="78" w:name="_Toc91604961"/>
      <w:bookmarkStart w:id="79" w:name="_Toc94172301"/>
      <w:bookmarkStart w:id="80" w:name="_Toc91606478"/>
      <w:r>
        <w:rPr>
          <w:rFonts w:hint="eastAsia" w:ascii="仿宋_GB2312" w:hAnsi="仿宋_GB2312" w:eastAsia="仿宋_GB2312" w:cs="仿宋_GB2312"/>
          <w:b/>
          <w:bCs/>
          <w:color w:val="000000" w:themeColor="text1"/>
          <w:sz w:val="28"/>
          <w:szCs w:val="28"/>
          <w14:textFill>
            <w14:solidFill>
              <w14:schemeClr w14:val="tx1"/>
            </w14:solidFill>
          </w14:textFill>
        </w:rPr>
        <w:t>1.2.2 山东省本科层次职业教育发展概况</w:t>
      </w:r>
      <w:bookmarkEnd w:id="75"/>
      <w:bookmarkEnd w:id="76"/>
      <w:bookmarkEnd w:id="77"/>
      <w:bookmarkEnd w:id="78"/>
      <w:bookmarkEnd w:id="79"/>
      <w:bookmarkEnd w:id="80"/>
    </w:p>
    <w:p>
      <w:pPr>
        <w:widowControl/>
        <w:shd w:val="clear" w:color="auto" w:fill="FFFFFF"/>
        <w:spacing w:before="34" w:line="500" w:lineRule="exact"/>
        <w:ind w:right="96" w:firstLine="562"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r>
        <w:rPr>
          <w:rFonts w:hint="eastAsia" w:ascii="仿宋_GB2312" w:hAnsi="仿宋_GB2312" w:eastAsia="仿宋_GB2312" w:cs="仿宋_GB2312"/>
          <w:b/>
          <w:bCs/>
          <w:color w:val="000000" w:themeColor="text1"/>
          <w:kern w:val="0"/>
          <w:sz w:val="28"/>
          <w:szCs w:val="28"/>
          <w:lang w:bidi="ar"/>
          <w14:textFill>
            <w14:solidFill>
              <w14:schemeClr w14:val="tx1"/>
            </w14:solidFill>
          </w14:textFill>
        </w:rPr>
        <w:t>本科层次职业院校逐步发展。</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山东省深入贯彻落实《国家职业教育改革实施方案》，构建现代职业教育体系，发展本科层次职业教育。《教育部 山东省人民政府关于整省推进提质培优建设职业教育创新发展高地的意见》明确提出，创新各层次各类型职业教育模式，支持山东以高水平职业教育本科专业建设为突破口，在进入“双高计划”的高职院校的骨干专业试办本科层次职业教育。三年来，山东省首批被教育部批准的3所本科层次职业院校——山东工程职业技术大学、山东外国语职业技术大学和山东外事职业大学逐步落实相关政策并开始本科招生。整体来看，3所学校总体招生稳定，规模相差不大。</w:t>
      </w:r>
    </w:p>
    <w:p>
      <w:pPr>
        <w:widowControl/>
        <w:shd w:val="clear" w:color="auto" w:fill="FFFFFF"/>
        <w:spacing w:before="34" w:line="500" w:lineRule="exact"/>
        <w:ind w:left="153" w:right="96" w:firstLine="641"/>
        <w:rPr>
          <w:color w:val="000000" w:themeColor="text1"/>
          <w14:textFill>
            <w14:solidFill>
              <w14:schemeClr w14:val="tx1"/>
            </w14:solidFill>
          </w14:textFill>
        </w:rPr>
      </w:pPr>
      <w:r>
        <w:rPr>
          <w:rFonts w:hint="eastAsia" w:ascii="仿宋_GB2312" w:hAnsi="仿宋_GB2312" w:eastAsia="仿宋_GB2312" w:cs="仿宋_GB2312"/>
          <w:b/>
          <w:bCs/>
          <w:color w:val="000000" w:themeColor="text1"/>
          <w:kern w:val="0"/>
          <w:sz w:val="28"/>
          <w:szCs w:val="28"/>
          <w:lang w:bidi="ar"/>
          <w14:textFill>
            <w14:solidFill>
              <w14:schemeClr w14:val="tx1"/>
            </w14:solidFill>
          </w14:textFill>
        </w:rPr>
        <w:t>高职院校与本科高校“3+2”对口贯通分段培养职业教育模式日渐壮大。</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按照《山东省教育厅关于做好职业院校与本科高校对口贯通分段培养试点专业人才培养方案制定工作的通知》（鲁教高字〔2013〕20号）要求，各职业院校与合作本科院校共同研究制定充分体现贯通性和应用性的人才培养方案和课程标准，坚持文化与技能并重，各本科高校更新观念，积极介入、主动作为，全过程、全方位融入贯通培养各阶段。2021年，山东省“3+2”对口贯通分段培养试点高职高专院校50所、专业点89个，衔接本科高校27所，招生规模4690人。</w:t>
      </w:r>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81" w:name="_Toc91604962"/>
      <w:bookmarkStart w:id="82" w:name="_Toc94172161"/>
      <w:bookmarkStart w:id="83" w:name="_Toc91604644"/>
      <w:bookmarkStart w:id="84" w:name="_Toc94172302"/>
      <w:bookmarkStart w:id="85" w:name="_Toc94183404"/>
      <w:bookmarkStart w:id="86" w:name="_Toc91606479"/>
      <w:r>
        <w:rPr>
          <w:rFonts w:hint="eastAsia" w:ascii="仿宋_GB2312" w:hAnsi="仿宋_GB2312" w:eastAsia="仿宋_GB2312" w:cs="仿宋_GB2312"/>
          <w:b/>
          <w:bCs/>
          <w:color w:val="000000" w:themeColor="text1"/>
          <w:sz w:val="28"/>
          <w:szCs w:val="28"/>
          <w14:textFill>
            <w14:solidFill>
              <w14:schemeClr w14:val="tx1"/>
            </w14:solidFill>
          </w14:textFill>
        </w:rPr>
        <w:t>1.2.3 高职专科学校学生来源和专业结构</w:t>
      </w:r>
      <w:bookmarkEnd w:id="81"/>
      <w:bookmarkEnd w:id="82"/>
      <w:bookmarkEnd w:id="83"/>
      <w:bookmarkEnd w:id="84"/>
      <w:bookmarkEnd w:id="85"/>
      <w:bookmarkEnd w:id="86"/>
    </w:p>
    <w:p>
      <w:pPr>
        <w:widowControl/>
        <w:shd w:val="clear" w:color="auto" w:fill="FFFFFF"/>
        <w:spacing w:before="34" w:line="500" w:lineRule="exact"/>
        <w:ind w:right="96" w:firstLine="420"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anchor distT="0" distB="0" distL="114300" distR="114300" simplePos="0" relativeHeight="251686912" behindDoc="0" locked="0" layoutInCell="1" allowOverlap="1">
            <wp:simplePos x="0" y="0"/>
            <wp:positionH relativeFrom="column">
              <wp:posOffset>254635</wp:posOffset>
            </wp:positionH>
            <wp:positionV relativeFrom="paragraph">
              <wp:posOffset>2614930</wp:posOffset>
            </wp:positionV>
            <wp:extent cx="5093970" cy="2026920"/>
            <wp:effectExtent l="0" t="0" r="0" b="0"/>
            <wp:wrapSquare wrapText="bothSides"/>
            <wp:docPr id="28" name="图片 28" descr="163990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399015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93970" cy="2026920"/>
                    </a:xfrm>
                    <a:prstGeom prst="rect">
                      <a:avLst/>
                    </a:prstGeom>
                    <a:noFill/>
                    <a:ln>
                      <a:noFill/>
                    </a:ln>
                    <a:effectLst/>
                  </pic:spPr>
                </pic:pic>
              </a:graphicData>
            </a:graphic>
          </wp:anchor>
        </w:drawing>
      </w:r>
      <w:r>
        <w:rPr>
          <w:rFonts w:hint="eastAsia" w:ascii="仿宋_GB2312" w:hAnsi="仿宋_GB2312" w:eastAsia="仿宋_GB2312" w:cs="仿宋_GB2312"/>
          <w:color w:val="000000" w:themeColor="text1"/>
          <w:kern w:val="0"/>
          <w:sz w:val="28"/>
          <w:szCs w:val="28"/>
          <w:lang w:bidi="ar"/>
          <w14:textFill>
            <w14:solidFill>
              <w14:schemeClr w14:val="tx1"/>
            </w14:solidFill>
          </w14:textFill>
        </w:rPr>
        <w:t>山东省高职院校招生结构更加多元化。高职专科学校招生计划仍以普通高中毕业生为主，但在总招生计划中的占比逐渐下降，对口招生、单独考试、综合评价、“3+2”、技能拔尖人才免试、社会招生等逐渐成为招生的重要组成部分，占比呈现上升趋势。近年来，普通高中生招生计划占比逐年下降，由2017年的68.26%下降到2021年的59.16%,；“三校生”占比持续增长，由2017年的14.53%上升到2021年的23.5%，增长幅度较大。2021年，社会招生占比凸显。如图1-</w:t>
      </w:r>
      <w:r>
        <w:rPr>
          <w:rFonts w:ascii="仿宋_GB2312" w:hAnsi="仿宋_GB2312" w:eastAsia="仿宋_GB2312" w:cs="仿宋_GB2312"/>
          <w:color w:val="000000" w:themeColor="text1"/>
          <w:kern w:val="0"/>
          <w:sz w:val="28"/>
          <w:szCs w:val="28"/>
          <w:lang w:bidi="ar"/>
          <w14:textFill>
            <w14:solidFill>
              <w14:schemeClr w14:val="tx1"/>
            </w14:solidFill>
          </w14:textFill>
        </w:rPr>
        <w:t>5</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所示。</w:t>
      </w:r>
    </w:p>
    <w:p>
      <w:pPr>
        <w:widowControl/>
        <w:shd w:val="clear" w:color="auto" w:fill="FFFFFF"/>
        <w:spacing w:before="34" w:line="500" w:lineRule="exact"/>
        <w:ind w:right="96" w:firstLine="560"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87" w:name="_Toc94183405"/>
      <w:bookmarkStart w:id="88" w:name="_Toc94172303"/>
      <w:bookmarkStart w:id="89" w:name="_Toc91604963"/>
      <w:bookmarkStart w:id="90" w:name="_Toc94172162"/>
      <w:r>
        <w:rPr>
          <w:rFonts w:hint="eastAsia" w:ascii="宋体" w:hAnsi="宋体" w:eastAsia="宋体"/>
          <w:b/>
          <w:bCs/>
          <w:color w:val="000000" w:themeColor="text1"/>
          <w:sz w:val="24"/>
          <w:szCs w:val="24"/>
          <w14:textFill>
            <w14:solidFill>
              <w14:schemeClr w14:val="tx1"/>
            </w14:solidFill>
          </w14:textFill>
        </w:rPr>
        <w:t>图1-</w:t>
      </w:r>
      <w:r>
        <w:rPr>
          <w:rFonts w:ascii="宋体" w:hAnsi="宋体" w:eastAsia="宋体"/>
          <w:b/>
          <w:bCs/>
          <w:color w:val="000000" w:themeColor="text1"/>
          <w:sz w:val="24"/>
          <w:szCs w:val="24"/>
          <w14:textFill>
            <w14:solidFill>
              <w14:schemeClr w14:val="tx1"/>
            </w14:solidFill>
          </w14:textFill>
        </w:rPr>
        <w:t>5</w:t>
      </w:r>
      <w:r>
        <w:rPr>
          <w:rFonts w:hint="eastAsia" w:ascii="宋体" w:hAnsi="宋体" w:eastAsia="宋体"/>
          <w:b/>
          <w:bCs/>
          <w:color w:val="000000" w:themeColor="text1"/>
          <w:sz w:val="24"/>
          <w:szCs w:val="24"/>
          <w14:textFill>
            <w14:solidFill>
              <w14:schemeClr w14:val="tx1"/>
            </w14:solidFill>
          </w14:textFill>
        </w:rPr>
        <w:t xml:space="preserve"> 2017-2021年山东省高职专科学校招生计划结构占比变化情况（%）</w:t>
      </w:r>
      <w:bookmarkEnd w:id="87"/>
      <w:bookmarkEnd w:id="88"/>
      <w:bookmarkEnd w:id="89"/>
      <w:bookmarkEnd w:id="90"/>
    </w:p>
    <w:p>
      <w:pPr>
        <w:pStyle w:val="6"/>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数据来源：</w:t>
      </w:r>
      <w:r>
        <w:rPr>
          <w:rFonts w:hint="eastAsia" w:ascii="宋体" w:hAnsi="宋体" w:eastAsia="宋体" w:cs="宋体"/>
          <w:color w:val="000000" w:themeColor="text1"/>
          <w:szCs w:val="21"/>
          <w14:textFill>
            <w14:solidFill>
              <w14:schemeClr w14:val="tx1"/>
            </w14:solidFill>
          </w14:textFill>
        </w:rPr>
        <w:t>2017-2021年度高等职业院校人才培养工作状态数据采集与管理平台</w:t>
      </w:r>
    </w:p>
    <w:p>
      <w:pPr>
        <w:widowControl/>
        <w:shd w:val="clear" w:color="auto" w:fill="FFFFFF"/>
        <w:spacing w:before="34" w:line="500" w:lineRule="exact"/>
        <w:ind w:right="96" w:firstLine="562" w:firstLineChars="200"/>
        <w:rPr>
          <w:rFonts w:ascii="仿宋_GB2312" w:hAnsi="仿宋_GB2312" w:eastAsia="仿宋_GB2312" w:cs="仿宋_GB2312"/>
          <w:color w:val="000000" w:themeColor="text1"/>
          <w:kern w:val="0"/>
          <w:sz w:val="28"/>
          <w:szCs w:val="28"/>
          <w:lang w:bidi="ar"/>
          <w14:textFill>
            <w14:solidFill>
              <w14:schemeClr w14:val="tx1"/>
            </w14:solidFill>
          </w14:textFill>
        </w:rPr>
      </w:pPr>
      <w:r>
        <w:rPr>
          <w:rFonts w:hint="eastAsia" w:ascii="仿宋_GB2312" w:hAnsi="仿宋_GB2312" w:eastAsia="仿宋_GB2312" w:cs="仿宋_GB2312"/>
          <w:b/>
          <w:bCs/>
          <w:color w:val="000000" w:themeColor="text1"/>
          <w:kern w:val="0"/>
          <w:sz w:val="28"/>
          <w:szCs w:val="28"/>
          <w:lang w:bidi="ar"/>
          <w14:textFill>
            <w14:solidFill>
              <w14:schemeClr w14:val="tx1"/>
            </w14:solidFill>
          </w14:textFill>
        </w:rPr>
        <w:t>高职院校毕业生专业集中度较高。</w:t>
      </w:r>
      <w:r>
        <w:rPr>
          <w:rFonts w:ascii="仿宋_GB2312" w:hAnsi="仿宋_GB2312" w:eastAsia="仿宋_GB2312" w:cs="仿宋_GB2312"/>
          <w:color w:val="000000" w:themeColor="text1"/>
          <w:kern w:val="0"/>
          <w:sz w:val="28"/>
          <w:szCs w:val="28"/>
          <w:lang w:bidi="ar"/>
          <w14:textFill>
            <w14:solidFill>
              <w14:schemeClr w14:val="tx1"/>
            </w14:solidFill>
          </w14:textFill>
        </w:rPr>
        <w:t>2021年，从全省普通专科毕业生的情况来看，财经商贸大类、医药卫生大类、电子与信息大类、装备制造大类、交通运输大类和教育与体育大类排名前六，毕业生人数占总人数的76.3%，而能源动力与材料大类、公共管理与服务大类、资源环境与安全大类、轻工纺织大类和水利大类的毕业生人数相对较少，合计占比仅为2.43%。如图1-6所示。</w:t>
      </w:r>
      <w:r>
        <w:rPr>
          <w:rFonts w:hint="eastAsia" w:ascii="仿宋_GB2312" w:hAnsi="仿宋_GB2312" w:eastAsia="仿宋_GB2312" w:cs="仿宋_GB2312"/>
          <w:color w:val="000000" w:themeColor="text1"/>
          <w:kern w:val="0"/>
          <w:sz w:val="28"/>
          <w:szCs w:val="28"/>
          <w:lang w:bidi="ar"/>
          <w14:textFill>
            <w14:solidFill>
              <w14:schemeClr w14:val="tx1"/>
            </w14:solidFill>
          </w14:textFill>
        </w:rPr>
        <w:t>。</w:t>
      </w:r>
    </w:p>
    <w:p>
      <w:pPr>
        <w:pStyle w:val="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88960" behindDoc="0" locked="0" layoutInCell="1" allowOverlap="1">
            <wp:simplePos x="0" y="0"/>
            <wp:positionH relativeFrom="column">
              <wp:posOffset>384175</wp:posOffset>
            </wp:positionH>
            <wp:positionV relativeFrom="paragraph">
              <wp:posOffset>121920</wp:posOffset>
            </wp:positionV>
            <wp:extent cx="5097780" cy="3168015"/>
            <wp:effectExtent l="0" t="0" r="8255" b="0"/>
            <wp:wrapTopAndBottom/>
            <wp:docPr id="27" name="图片 27" descr="S@WO48O53MOG]6~6NW4(@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WO48O53MOG]6~6NW4(@F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97600" cy="3168000"/>
                    </a:xfrm>
                    <a:prstGeom prst="rect">
                      <a:avLst/>
                    </a:prstGeom>
                    <a:noFill/>
                    <a:ln>
                      <a:noFill/>
                    </a:ln>
                  </pic:spPr>
                </pic:pic>
              </a:graphicData>
            </a:graphic>
          </wp:anchor>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91" w:name="_Toc91604964"/>
      <w:bookmarkStart w:id="92" w:name="_Toc94172163"/>
      <w:bookmarkStart w:id="93" w:name="_Toc94183406"/>
      <w:bookmarkStart w:id="94" w:name="_Toc94172304"/>
      <w:r>
        <w:rPr>
          <w:rFonts w:hint="eastAsia" w:ascii="宋体" w:hAnsi="宋体" w:eastAsia="宋体"/>
          <w:b/>
          <w:bCs/>
          <w:color w:val="000000" w:themeColor="text1"/>
          <w:sz w:val="24"/>
          <w:szCs w:val="24"/>
          <w14:textFill>
            <w14:solidFill>
              <w14:schemeClr w14:val="tx1"/>
            </w14:solidFill>
          </w14:textFill>
        </w:rPr>
        <w:t>图1-</w:t>
      </w:r>
      <w:r>
        <w:rPr>
          <w:rFonts w:ascii="宋体" w:hAnsi="宋体" w:eastAsia="宋体"/>
          <w:b/>
          <w:bCs/>
          <w:color w:val="000000" w:themeColor="text1"/>
          <w:sz w:val="24"/>
          <w:szCs w:val="24"/>
          <w14:textFill>
            <w14:solidFill>
              <w14:schemeClr w14:val="tx1"/>
            </w14:solidFill>
          </w14:textFill>
        </w:rPr>
        <w:t>6</w:t>
      </w:r>
      <w:r>
        <w:rPr>
          <w:rFonts w:hint="eastAsia" w:ascii="宋体" w:hAnsi="宋体" w:eastAsia="宋体"/>
          <w:b/>
          <w:bCs/>
          <w:color w:val="000000" w:themeColor="text1"/>
          <w:sz w:val="24"/>
          <w:szCs w:val="24"/>
          <w14:textFill>
            <w14:solidFill>
              <w14:schemeClr w14:val="tx1"/>
            </w14:solidFill>
          </w14:textFill>
        </w:rPr>
        <w:t xml:space="preserve"> 2021年山东省普通专科毕业生专业分布（%）</w:t>
      </w:r>
      <w:bookmarkEnd w:id="91"/>
      <w:bookmarkEnd w:id="92"/>
      <w:bookmarkEnd w:id="93"/>
      <w:bookmarkEnd w:id="94"/>
    </w:p>
    <w:p>
      <w:pPr>
        <w:pStyle w:val="6"/>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数据来源：</w:t>
      </w:r>
      <w:r>
        <w:rPr>
          <w:rFonts w:ascii="宋体" w:hAnsi="宋体" w:eastAsia="宋体" w:cs="宋体"/>
          <w:color w:val="000000" w:themeColor="text1"/>
          <w:szCs w:val="21"/>
          <w14:textFill>
            <w14:solidFill>
              <w14:schemeClr w14:val="tx1"/>
            </w14:solidFill>
          </w14:textFill>
        </w:rPr>
        <w:t>2021</w:t>
      </w:r>
      <w:r>
        <w:rPr>
          <w:rFonts w:hint="eastAsia" w:ascii="宋体" w:hAnsi="宋体" w:eastAsia="宋体" w:cs="宋体"/>
          <w:color w:val="000000" w:themeColor="text1"/>
          <w:szCs w:val="21"/>
          <w14:textFill>
            <w14:solidFill>
              <w14:schemeClr w14:val="tx1"/>
            </w14:solidFill>
          </w14:textFill>
        </w:rPr>
        <w:t>年度高等职业院校人才培养工作状态数据采集与管理平台。</w:t>
      </w: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widowControl/>
        <w:jc w:val="left"/>
        <w:rPr>
          <w:rFonts w:ascii="黑体" w:hAnsi="黑体" w:eastAsia="黑体" w:cs="黑体"/>
          <w:color w:val="000000" w:themeColor="text1"/>
          <w:sz w:val="28"/>
          <w:szCs w:val="28"/>
          <w14:textFill>
            <w14:solidFill>
              <w14:schemeClr w14:val="tx1"/>
            </w14:solidFill>
          </w14:textFill>
        </w:rPr>
      </w:pPr>
      <w:r>
        <w:rPr>
          <w:rFonts w:ascii="黑体" w:hAnsi="黑体" w:eastAsia="黑体" w:cs="黑体"/>
          <w:color w:val="000000" w:themeColor="text1"/>
          <w:sz w:val="28"/>
          <w:szCs w:val="28"/>
          <w14:textFill>
            <w14:solidFill>
              <w14:schemeClr w14:val="tx1"/>
            </w14:solidFill>
          </w14:textFill>
        </w:rPr>
        <w:br w:type="page"/>
      </w:r>
    </w:p>
    <w:p>
      <w:pPr>
        <w:spacing w:line="520" w:lineRule="exact"/>
        <w:ind w:firstLine="560" w:firstLineChars="200"/>
        <w:outlineLvl w:val="0"/>
        <w:rPr>
          <w:rFonts w:ascii="黑体" w:hAnsi="黑体" w:eastAsia="黑体" w:cs="黑体"/>
          <w:color w:val="000000" w:themeColor="text1"/>
          <w:sz w:val="28"/>
          <w:szCs w:val="28"/>
          <w14:textFill>
            <w14:solidFill>
              <w14:schemeClr w14:val="tx1"/>
            </w14:solidFill>
          </w14:textFill>
        </w:rPr>
      </w:pPr>
      <w:bookmarkStart w:id="95" w:name="_Toc94172164"/>
      <w:bookmarkStart w:id="96" w:name="_Toc94172305"/>
      <w:bookmarkStart w:id="97" w:name="_Toc94183407"/>
      <w:r>
        <w:rPr>
          <w:rFonts w:hint="eastAsia" w:ascii="黑体" w:hAnsi="黑体" w:eastAsia="黑体" w:cs="黑体"/>
          <w:color w:val="000000" w:themeColor="text1"/>
          <w:sz w:val="28"/>
          <w:szCs w:val="28"/>
          <w14:textFill>
            <w14:solidFill>
              <w14:schemeClr w14:val="tx1"/>
            </w14:solidFill>
          </w14:textFill>
        </w:rPr>
        <w:t>2</w:t>
      </w:r>
      <w:r>
        <w:rPr>
          <w:rFonts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14:textFill>
            <w14:solidFill>
              <w14:schemeClr w14:val="tx1"/>
            </w14:solidFill>
          </w14:textFill>
        </w:rPr>
        <w:t>办学条件</w:t>
      </w:r>
      <w:bookmarkEnd w:id="95"/>
      <w:bookmarkEnd w:id="96"/>
      <w:bookmarkEnd w:id="97"/>
    </w:p>
    <w:p>
      <w:pPr>
        <w:spacing w:line="52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高职院校优质办学条件是推进职业教育提质培优、转型升级的重要基础，系统性分析办学条件是发展高质量高职院校的前提。目前，山东省高职院校</w:t>
      </w:r>
      <w:r>
        <w:rPr>
          <w:rFonts w:ascii="仿宋_GB2312" w:hAnsi="仿宋" w:eastAsia="仿宋_GB2312"/>
          <w:color w:val="000000" w:themeColor="text1"/>
          <w:sz w:val="28"/>
          <w:szCs w:val="28"/>
          <w14:textFill>
            <w14:solidFill>
              <w14:schemeClr w14:val="tx1"/>
            </w14:solidFill>
          </w14:textFill>
        </w:rPr>
        <w:t>基础条件指标</w:t>
      </w:r>
      <w:r>
        <w:rPr>
          <w:rFonts w:hint="eastAsia" w:ascii="仿宋_GB2312" w:hAnsi="仿宋" w:eastAsia="仿宋_GB2312"/>
          <w:color w:val="000000" w:themeColor="text1"/>
          <w:sz w:val="28"/>
          <w:szCs w:val="28"/>
          <w14:textFill>
            <w14:solidFill>
              <w14:schemeClr w14:val="tx1"/>
            </w14:solidFill>
          </w14:textFill>
        </w:rPr>
        <w:t>符合</w:t>
      </w:r>
      <w:r>
        <w:rPr>
          <w:rFonts w:ascii="仿宋_GB2312" w:hAnsi="仿宋" w:eastAsia="仿宋_GB2312"/>
          <w:color w:val="000000" w:themeColor="text1"/>
          <w:sz w:val="28"/>
          <w:szCs w:val="28"/>
          <w14:textFill>
            <w14:solidFill>
              <w14:schemeClr w14:val="tx1"/>
            </w14:solidFill>
          </w14:textFill>
        </w:rPr>
        <w:t>标准要求</w:t>
      </w:r>
      <w:r>
        <w:rPr>
          <w:rFonts w:hint="eastAsia" w:ascii="仿宋_GB2312" w:hAnsi="仿宋" w:eastAsia="仿宋_GB2312"/>
          <w:color w:val="000000" w:themeColor="text1"/>
          <w:sz w:val="28"/>
          <w:szCs w:val="28"/>
          <w14:textFill>
            <w14:solidFill>
              <w14:schemeClr w14:val="tx1"/>
            </w14:solidFill>
          </w14:textFill>
        </w:rPr>
        <w:t>，但在资源配置、经费投入、师资配备等方面仍需进一步优化。</w:t>
      </w:r>
    </w:p>
    <w:p>
      <w:pPr>
        <w:spacing w:line="500" w:lineRule="exact"/>
        <w:ind w:firstLine="560" w:firstLineChars="200"/>
        <w:rPr>
          <w:rFonts w:ascii="楷体" w:hAnsi="楷体" w:eastAsia="楷体"/>
          <w:bCs/>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2</w:t>
      </w:r>
      <w:r>
        <w:rPr>
          <w:rFonts w:ascii="楷体" w:hAnsi="楷体" w:eastAsia="楷体"/>
          <w:color w:val="000000" w:themeColor="text1"/>
          <w:sz w:val="28"/>
          <w:szCs w:val="28"/>
          <w14:textFill>
            <w14:solidFill>
              <w14:schemeClr w14:val="tx1"/>
            </w14:solidFill>
          </w14:textFill>
        </w:rPr>
        <w:t>.1</w:t>
      </w:r>
      <w:r>
        <w:rPr>
          <w:rFonts w:hint="eastAsia" w:ascii="楷体" w:hAnsi="楷体" w:eastAsia="楷体"/>
          <w:bCs/>
          <w:color w:val="000000" w:themeColor="text1"/>
          <w:sz w:val="28"/>
          <w:szCs w:val="28"/>
          <w14:textFill>
            <w14:solidFill>
              <w14:schemeClr w14:val="tx1"/>
            </w14:solidFill>
          </w14:textFill>
        </w:rPr>
        <w:t>推进职业教育高质量发展</w:t>
      </w:r>
    </w:p>
    <w:p>
      <w:pPr>
        <w:spacing w:line="500" w:lineRule="exact"/>
        <w:ind w:firstLine="560" w:firstLineChars="200"/>
        <w:rPr>
          <w:rFonts w:ascii="仿宋_GB2312" w:hAnsi="仿宋" w:eastAsia="仿宋_GB2312"/>
          <w:color w:val="002060"/>
          <w:sz w:val="28"/>
          <w:szCs w:val="28"/>
        </w:rPr>
      </w:pPr>
      <w:r>
        <w:rPr>
          <w:rFonts w:hint="eastAsia" w:ascii="仿宋_GB2312" w:hAnsi="仿宋" w:eastAsia="仿宋_GB2312"/>
          <w:color w:val="000000" w:themeColor="text1"/>
          <w:sz w:val="28"/>
          <w:szCs w:val="28"/>
          <w14:textFill>
            <w14:solidFill>
              <w14:schemeClr w14:val="tx1"/>
            </w14:solidFill>
          </w14:textFill>
        </w:rPr>
        <w:t>山东省高职院校聚焦重点任务，</w:t>
      </w:r>
      <w:r>
        <w:rPr>
          <w:rFonts w:ascii="仿宋_GB2312" w:hAnsi="仿宋_GB2312" w:eastAsia="仿宋_GB2312" w:cs="仿宋_GB2312"/>
          <w:color w:val="000000" w:themeColor="text1"/>
          <w:kern w:val="0"/>
          <w:sz w:val="28"/>
          <w:szCs w:val="28"/>
          <w:lang w:bidi="ar"/>
          <w14:textFill>
            <w14:solidFill>
              <w14:schemeClr w14:val="tx1"/>
            </w14:solidFill>
          </w14:textFill>
        </w:rPr>
        <w:t>创新各类型、各层次职业教育发展模式，</w:t>
      </w:r>
      <w:r>
        <w:rPr>
          <w:rFonts w:hint="eastAsia" w:ascii="仿宋_GB2312" w:hAnsi="仿宋" w:eastAsia="仿宋_GB2312"/>
          <w:color w:val="000000" w:themeColor="text1"/>
          <w:sz w:val="28"/>
          <w:szCs w:val="28"/>
          <w14:textFill>
            <w14:solidFill>
              <w14:schemeClr w14:val="tx1"/>
            </w14:solidFill>
          </w14:textFill>
        </w:rPr>
        <w:t>加快构建纵向贯通、横向融通的中国特色现代职业教育体系。</w:t>
      </w:r>
      <w:r>
        <w:rPr>
          <w:rFonts w:hint="eastAsia" w:ascii="仿宋_GB2312" w:hAnsi="仿宋" w:eastAsia="仿宋_GB2312"/>
          <w:bCs/>
          <w:color w:val="000000" w:themeColor="text1"/>
          <w:sz w:val="28"/>
          <w:szCs w:val="28"/>
          <w14:textFill>
            <w14:solidFill>
              <w14:schemeClr w14:val="tx1"/>
            </w14:solidFill>
          </w14:textFill>
        </w:rPr>
        <w:t>落实保障政策，提升毕业生技术技能培训补贴。</w:t>
      </w:r>
      <w:r>
        <w:rPr>
          <w:rFonts w:hint="eastAsia" w:ascii="仿宋_GB2312" w:hAnsi="仿宋" w:eastAsia="仿宋_GB2312"/>
          <w:color w:val="000000" w:themeColor="text1"/>
          <w:sz w:val="28"/>
          <w:szCs w:val="28"/>
          <w14:textFill>
            <w14:solidFill>
              <w14:schemeClr w14:val="tx1"/>
            </w14:solidFill>
          </w14:textFill>
        </w:rPr>
        <w:t>2021年，山东省高职院校扩大职业技能提升行动专项资金补贴覆盖面，加强补贴性职业技能培训。</w:t>
      </w:r>
      <w:r>
        <w:rPr>
          <w:rFonts w:hint="eastAsia" w:ascii="仿宋_GB2312" w:hAnsi="仿宋" w:eastAsia="仿宋_GB2312"/>
          <w:bCs/>
          <w:color w:val="000000" w:themeColor="text1"/>
          <w:sz w:val="28"/>
          <w:szCs w:val="28"/>
          <w14:textFill>
            <w14:solidFill>
              <w14:schemeClr w14:val="tx1"/>
            </w14:solidFill>
          </w14:textFill>
        </w:rPr>
        <w:t>持续实施行动计划，开发线上教学资源。</w:t>
      </w:r>
      <w:r>
        <w:rPr>
          <w:rFonts w:hint="eastAsia" w:ascii="仿宋_GB2312" w:hAnsi="仿宋" w:eastAsia="仿宋_GB2312"/>
          <w:color w:val="000000" w:themeColor="text1"/>
          <w:sz w:val="28"/>
          <w:szCs w:val="28"/>
          <w14:textFill>
            <w14:solidFill>
              <w14:schemeClr w14:val="tx1"/>
            </w14:solidFill>
          </w14:textFill>
        </w:rPr>
        <w:t>践行《职业教育提质培优行动计划（2020—2023年）》，</w:t>
      </w:r>
      <w:r>
        <w:rPr>
          <w:rFonts w:ascii="仿宋_GB2312" w:hAnsi="仿宋" w:eastAsia="仿宋_GB2312"/>
          <w:color w:val="000000" w:themeColor="text1"/>
          <w:sz w:val="28"/>
          <w:szCs w:val="28"/>
          <w14:textFill>
            <w14:solidFill>
              <w14:schemeClr w14:val="tx1"/>
            </w14:solidFill>
          </w14:textFill>
        </w:rPr>
        <w:t>健全“互联网+职业技能培训”模式，</w:t>
      </w:r>
      <w:r>
        <w:rPr>
          <w:rFonts w:hint="eastAsia" w:ascii="仿宋_GB2312" w:hAnsi="仿宋" w:eastAsia="仿宋_GB2312"/>
          <w:color w:val="000000" w:themeColor="text1"/>
          <w:sz w:val="28"/>
          <w:szCs w:val="28"/>
          <w14:textFill>
            <w14:solidFill>
              <w14:schemeClr w14:val="tx1"/>
            </w14:solidFill>
          </w14:textFill>
        </w:rPr>
        <w:t>充实</w:t>
      </w:r>
      <w:r>
        <w:rPr>
          <w:rFonts w:ascii="仿宋_GB2312" w:hAnsi="仿宋" w:eastAsia="仿宋_GB2312"/>
          <w:color w:val="000000" w:themeColor="text1"/>
          <w:sz w:val="28"/>
          <w:szCs w:val="28"/>
          <w14:textFill>
            <w14:solidFill>
              <w14:schemeClr w14:val="tx1"/>
            </w14:solidFill>
          </w14:textFill>
        </w:rPr>
        <w:t>线上培训资源、</w:t>
      </w:r>
      <w:r>
        <w:rPr>
          <w:rFonts w:hint="eastAsia" w:ascii="仿宋_GB2312" w:hAnsi="仿宋" w:eastAsia="仿宋_GB2312"/>
          <w:color w:val="000000" w:themeColor="text1"/>
          <w:sz w:val="28"/>
          <w:szCs w:val="28"/>
          <w14:textFill>
            <w14:solidFill>
              <w14:schemeClr w14:val="tx1"/>
            </w14:solidFill>
          </w14:textFill>
        </w:rPr>
        <w:t>扩大线上培训规模，提高线上培训质量，支持地方将职业教育纳入地方政府专项债券资金支持范围。</w:t>
      </w:r>
    </w:p>
    <w:p>
      <w:pPr>
        <w:spacing w:line="50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2021年，山东省高职院校教学基础设施建设投资增幅较大</w:t>
      </w:r>
      <w:r>
        <w:rPr>
          <w:rFonts w:hint="eastAsia" w:ascii="仿宋_GB2312" w:hAnsi="仿宋" w:eastAsia="仿宋_GB2312"/>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高职院校师资队伍水平大幅提升且师资结构日臻多元</w:t>
      </w:r>
      <w:r>
        <w:rPr>
          <w:rFonts w:hint="eastAsia" w:ascii="仿宋_GB2312" w:hAnsi="仿宋" w:eastAsia="仿宋_GB2312"/>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信息化技术在课程与专业中的建设作用越来越凸显。</w:t>
      </w:r>
      <w:r>
        <w:rPr>
          <w:rFonts w:hint="eastAsia" w:ascii="仿宋_GB2312" w:hAnsi="仿宋" w:eastAsia="仿宋_GB2312"/>
          <w:color w:val="000000" w:themeColor="text1"/>
          <w:sz w:val="28"/>
          <w:szCs w:val="28"/>
          <w14:textFill>
            <w14:solidFill>
              <w14:schemeClr w14:val="tx1"/>
            </w14:solidFill>
          </w14:textFill>
        </w:rPr>
        <w:t>生均财政拨款水平达11564.41元，其中年生均财政专项经费4010.21元；教职工额定编制数60</w:t>
      </w:r>
      <w:r>
        <w:rPr>
          <w:rFonts w:hint="eastAsia" w:ascii="仿宋_GB2312" w:hAnsi="仿宋" w:eastAsia="仿宋_GB2312" w:cs="Times New Roman"/>
          <w:color w:val="000000" w:themeColor="text1"/>
          <w:kern w:val="0"/>
          <w:sz w:val="28"/>
          <w:szCs w:val="28"/>
          <w14:textFill>
            <w14:solidFill>
              <w14:schemeClr w14:val="tx1"/>
            </w14:solidFill>
          </w14:textFill>
        </w:rPr>
        <w:t>137</w:t>
      </w:r>
      <w:r>
        <w:rPr>
          <w:rFonts w:hint="eastAsia" w:ascii="仿宋_GB2312" w:hAnsi="仿宋" w:eastAsia="仿宋_GB2312"/>
          <w:color w:val="000000" w:themeColor="text1"/>
          <w:sz w:val="28"/>
          <w:szCs w:val="28"/>
          <w14:textFill>
            <w14:solidFill>
              <w14:schemeClr w14:val="tx1"/>
            </w14:solidFill>
          </w14:textFill>
        </w:rPr>
        <w:t>，在岗教职工总数</w:t>
      </w:r>
      <w:r>
        <w:rPr>
          <w:rFonts w:hint="eastAsia" w:ascii="仿宋_GB2312" w:hAnsi="仿宋" w:eastAsia="仿宋_GB2312" w:cs="Times New Roman"/>
          <w:color w:val="000000" w:themeColor="text1"/>
          <w:kern w:val="0"/>
          <w:sz w:val="28"/>
          <w:szCs w:val="28"/>
          <w14:textFill>
            <w14:solidFill>
              <w14:schemeClr w14:val="tx1"/>
            </w14:solidFill>
          </w14:textFill>
        </w:rPr>
        <w:t>55164</w:t>
      </w:r>
      <w:r>
        <w:rPr>
          <w:rFonts w:hint="eastAsia" w:ascii="仿宋_GB2312" w:hAnsi="仿宋" w:eastAsia="仿宋_GB2312"/>
          <w:color w:val="000000" w:themeColor="text1"/>
          <w:sz w:val="28"/>
          <w:szCs w:val="28"/>
          <w14:textFill>
            <w14:solidFill>
              <w14:schemeClr w14:val="tx1"/>
            </w14:solidFill>
          </w14:textFill>
        </w:rPr>
        <w:t>人，其中专任教师总数41127人。企业提供的校内实践教学设备值56359.16万元；生均企业实习经费补贴192.58元；生均企业实习责任保险补贴16.81元，其中生均财政专项补贴4.64元。具体如表2-</w:t>
      </w:r>
      <w:r>
        <w:rPr>
          <w:rFonts w:ascii="仿宋_GB2312" w:hAnsi="仿宋" w:eastAsia="仿宋_GB2312"/>
          <w:color w:val="000000" w:themeColor="text1"/>
          <w:sz w:val="28"/>
          <w:szCs w:val="28"/>
          <w14:textFill>
            <w14:solidFill>
              <w14:schemeClr w14:val="tx1"/>
            </w14:solidFill>
          </w14:textFill>
        </w:rPr>
        <w:t>1</w:t>
      </w:r>
      <w:r>
        <w:rPr>
          <w:rFonts w:hint="eastAsia" w:ascii="仿宋_GB2312" w:hAnsi="仿宋" w:eastAsia="仿宋_GB2312"/>
          <w:color w:val="000000" w:themeColor="text1"/>
          <w:sz w:val="28"/>
          <w:szCs w:val="28"/>
          <w14:textFill>
            <w14:solidFill>
              <w14:schemeClr w14:val="tx1"/>
            </w14:solidFill>
          </w14:textFill>
        </w:rPr>
        <w:t>所示。</w:t>
      </w:r>
    </w:p>
    <w:p>
      <w:pPr>
        <w:pStyle w:val="4"/>
        <w:widowControl w:val="0"/>
        <w:spacing w:before="156" w:beforeLines="50" w:after="93" w:afterLines="30"/>
        <w:jc w:val="center"/>
        <w:outlineLvl w:val="2"/>
        <w:rPr>
          <w:rFonts w:ascii="宋体" w:hAnsi="宋体" w:eastAsia="宋体"/>
          <w:color w:val="000000" w:themeColor="text1"/>
          <w:sz w:val="24"/>
          <w:szCs w:val="24"/>
          <w14:textFill>
            <w14:solidFill>
              <w14:schemeClr w14:val="tx1"/>
            </w14:solidFill>
          </w14:textFill>
        </w:rPr>
      </w:pPr>
      <w:bookmarkStart w:id="98" w:name="_Toc94172306"/>
      <w:bookmarkStart w:id="99" w:name="_Toc94183408"/>
      <w:bookmarkStart w:id="100" w:name="_Toc91604966"/>
      <w:bookmarkStart w:id="101" w:name="_Toc91606483"/>
      <w:bookmarkStart w:id="102" w:name="_Toc94172165"/>
      <w:r>
        <w:rPr>
          <w:rFonts w:hint="eastAsia" w:ascii="宋体" w:hAnsi="宋体" w:eastAsia="宋体"/>
          <w:color w:val="000000" w:themeColor="text1"/>
          <w:sz w:val="24"/>
          <w:szCs w:val="24"/>
          <w14:textFill>
            <w14:solidFill>
              <w14:schemeClr w14:val="tx1"/>
            </w14:solidFill>
          </w14:textFill>
        </w:rPr>
        <w:t>表2-1 2021年山东省高职院校落实政策表</w:t>
      </w:r>
      <w:bookmarkEnd w:id="98"/>
      <w:bookmarkEnd w:id="99"/>
      <w:bookmarkEnd w:id="100"/>
      <w:bookmarkEnd w:id="101"/>
      <w:bookmarkEnd w:id="102"/>
    </w:p>
    <w:tbl>
      <w:tblPr>
        <w:tblStyle w:val="21"/>
        <w:tblW w:w="4808" w:type="pct"/>
        <w:jc w:val="center"/>
        <w:tblLayout w:type="fixed"/>
        <w:tblCellMar>
          <w:top w:w="0" w:type="dxa"/>
          <w:left w:w="108" w:type="dxa"/>
          <w:bottom w:w="0" w:type="dxa"/>
          <w:right w:w="108" w:type="dxa"/>
        </w:tblCellMar>
      </w:tblPr>
      <w:tblGrid>
        <w:gridCol w:w="883"/>
        <w:gridCol w:w="3763"/>
        <w:gridCol w:w="872"/>
        <w:gridCol w:w="1597"/>
        <w:gridCol w:w="1597"/>
      </w:tblGrid>
      <w:tr>
        <w:tblPrEx>
          <w:tblCellMar>
            <w:top w:w="0" w:type="dxa"/>
            <w:left w:w="108" w:type="dxa"/>
            <w:bottom w:w="0" w:type="dxa"/>
            <w:right w:w="108" w:type="dxa"/>
          </w:tblCellMar>
        </w:tblPrEx>
        <w:trPr>
          <w:trHeight w:val="483" w:hRule="atLeast"/>
          <w:jc w:val="center"/>
        </w:trPr>
        <w:tc>
          <w:tcPr>
            <w:tcW w:w="4536" w:type="dxa"/>
            <w:gridSpan w:val="2"/>
            <w:tcBorders>
              <w:top w:val="single" w:color="4472C4" w:themeColor="accent1" w:sz="12" w:space="0"/>
              <w:left w:val="nil"/>
              <w:bottom w:val="single" w:color="4472C4" w:themeColor="accent1" w:sz="12" w:space="0"/>
              <w:right w:val="single" w:color="auto" w:sz="4" w:space="0"/>
            </w:tcBorders>
            <w:shd w:val="clear" w:color="auto" w:fill="4472C4" w:themeFill="accent1"/>
            <w:vAlign w:val="center"/>
          </w:tcPr>
          <w:p>
            <w:pPr>
              <w:widowControl/>
              <w:ind w:left="105" w:leftChars="50" w:right="105" w:rightChars="50"/>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指标</w:t>
            </w:r>
          </w:p>
        </w:tc>
        <w:tc>
          <w:tcPr>
            <w:tcW w:w="851" w:type="dxa"/>
            <w:tcBorders>
              <w:top w:val="single" w:color="4472C4" w:themeColor="accent1" w:sz="12" w:space="0"/>
              <w:left w:val="nil"/>
              <w:bottom w:val="single" w:color="4472C4" w:themeColor="accent1" w:sz="12" w:space="0"/>
              <w:right w:val="single" w:color="auto" w:sz="4" w:space="0"/>
            </w:tcBorders>
            <w:shd w:val="clear" w:color="auto" w:fill="4472C4" w:themeFill="accent1"/>
            <w:vAlign w:val="center"/>
          </w:tcPr>
          <w:p>
            <w:pPr>
              <w:widowControl/>
              <w:ind w:left="105" w:leftChars="50" w:right="105" w:rightChars="50"/>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单位</w:t>
            </w:r>
          </w:p>
        </w:tc>
        <w:tc>
          <w:tcPr>
            <w:tcW w:w="1559" w:type="dxa"/>
            <w:tcBorders>
              <w:top w:val="single" w:color="4472C4" w:themeColor="accent1" w:sz="12" w:space="0"/>
              <w:left w:val="nil"/>
              <w:bottom w:val="single" w:color="4472C4" w:themeColor="accent1" w:sz="12" w:space="0"/>
              <w:right w:val="single" w:color="auto" w:sz="4" w:space="0"/>
            </w:tcBorders>
            <w:shd w:val="clear" w:color="auto" w:fill="4472C4" w:themeFill="accent1"/>
            <w:vAlign w:val="center"/>
          </w:tcPr>
          <w:p>
            <w:pPr>
              <w:widowControl/>
              <w:ind w:left="105" w:leftChars="50" w:right="105" w:rightChars="50"/>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2020年</w:t>
            </w:r>
          </w:p>
        </w:tc>
        <w:tc>
          <w:tcPr>
            <w:tcW w:w="1559" w:type="dxa"/>
            <w:tcBorders>
              <w:top w:val="single" w:color="4472C4" w:themeColor="accent1" w:sz="12" w:space="0"/>
              <w:left w:val="nil"/>
              <w:bottom w:val="single" w:color="4472C4" w:themeColor="accent1" w:sz="12" w:space="0"/>
            </w:tcBorders>
            <w:shd w:val="clear" w:color="auto" w:fill="4472C4" w:themeFill="accent1"/>
            <w:vAlign w:val="center"/>
          </w:tcPr>
          <w:p>
            <w:pPr>
              <w:widowControl/>
              <w:ind w:left="105" w:leftChars="50" w:right="105" w:rightChars="50"/>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2021年</w:t>
            </w:r>
          </w:p>
        </w:tc>
      </w:tr>
      <w:tr>
        <w:tblPrEx>
          <w:tblCellMar>
            <w:top w:w="0" w:type="dxa"/>
            <w:left w:w="108" w:type="dxa"/>
            <w:bottom w:w="0" w:type="dxa"/>
            <w:right w:w="108" w:type="dxa"/>
          </w:tblCellMar>
        </w:tblPrEx>
        <w:trPr>
          <w:trHeight w:val="392" w:hRule="atLeast"/>
          <w:jc w:val="center"/>
        </w:trPr>
        <w:tc>
          <w:tcPr>
            <w:tcW w:w="863" w:type="dxa"/>
            <w:vMerge w:val="restart"/>
            <w:tcBorders>
              <w:top w:val="single" w:color="4472C4" w:themeColor="accent1" w:sz="12" w:space="0"/>
              <w:left w:val="nil"/>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w:t>
            </w:r>
          </w:p>
        </w:tc>
        <w:tc>
          <w:tcPr>
            <w:tcW w:w="3673" w:type="dxa"/>
            <w:tcBorders>
              <w:top w:val="single" w:color="4472C4" w:themeColor="accent1" w:sz="12" w:space="0"/>
              <w:left w:val="nil"/>
              <w:bottom w:val="single" w:color="auto" w:sz="4" w:space="0"/>
              <w:right w:val="single" w:color="auto" w:sz="4" w:space="0"/>
            </w:tcBorders>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年生均财政拨款水平</w:t>
            </w:r>
          </w:p>
        </w:tc>
        <w:tc>
          <w:tcPr>
            <w:tcW w:w="851" w:type="dxa"/>
            <w:tcBorders>
              <w:top w:val="single" w:color="4472C4" w:themeColor="accent1" w:sz="12" w:space="0"/>
              <w:left w:val="nil"/>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元</w:t>
            </w:r>
          </w:p>
        </w:tc>
        <w:tc>
          <w:tcPr>
            <w:tcW w:w="1559" w:type="dxa"/>
            <w:tcBorders>
              <w:top w:val="single" w:color="4472C4" w:themeColor="accent1" w:sz="12" w:space="0"/>
              <w:left w:val="nil"/>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12861.15</w:t>
            </w:r>
          </w:p>
        </w:tc>
        <w:tc>
          <w:tcPr>
            <w:tcW w:w="1559" w:type="dxa"/>
            <w:tcBorders>
              <w:top w:val="single" w:color="4472C4" w:themeColor="accent1" w:sz="12" w:space="0"/>
              <w:left w:val="nil"/>
              <w:bottom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11564.41</w:t>
            </w:r>
          </w:p>
        </w:tc>
      </w:tr>
      <w:tr>
        <w:tblPrEx>
          <w:tblCellMar>
            <w:top w:w="0" w:type="dxa"/>
            <w:left w:w="108" w:type="dxa"/>
            <w:bottom w:w="0" w:type="dxa"/>
            <w:right w:w="108" w:type="dxa"/>
          </w:tblCellMar>
        </w:tblPrEx>
        <w:trPr>
          <w:trHeight w:val="392" w:hRule="atLeast"/>
          <w:jc w:val="center"/>
        </w:trPr>
        <w:tc>
          <w:tcPr>
            <w:tcW w:w="863" w:type="dxa"/>
            <w:vMerge w:val="continue"/>
            <w:tcBorders>
              <w:top w:val="nil"/>
              <w:left w:val="nil"/>
              <w:bottom w:val="single" w:color="auto" w:sz="4" w:space="0"/>
              <w:right w:val="single" w:color="auto" w:sz="4" w:space="0"/>
            </w:tcBorders>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p>
        </w:tc>
        <w:tc>
          <w:tcPr>
            <w:tcW w:w="3673" w:type="dxa"/>
            <w:tcBorders>
              <w:top w:val="nil"/>
              <w:left w:val="nil"/>
              <w:bottom w:val="single" w:color="auto" w:sz="4" w:space="0"/>
              <w:right w:val="single" w:color="auto" w:sz="4" w:space="0"/>
            </w:tcBorders>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其中：年生均财政专项经费</w:t>
            </w:r>
          </w:p>
        </w:tc>
        <w:tc>
          <w:tcPr>
            <w:tcW w:w="851" w:type="dxa"/>
            <w:tcBorders>
              <w:top w:val="nil"/>
              <w:left w:val="nil"/>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元</w:t>
            </w:r>
          </w:p>
        </w:tc>
        <w:tc>
          <w:tcPr>
            <w:tcW w:w="1559" w:type="dxa"/>
            <w:tcBorders>
              <w:top w:val="nil"/>
              <w:left w:val="nil"/>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3280.70</w:t>
            </w:r>
          </w:p>
        </w:tc>
        <w:tc>
          <w:tcPr>
            <w:tcW w:w="1559" w:type="dxa"/>
            <w:tcBorders>
              <w:top w:val="nil"/>
              <w:left w:val="nil"/>
              <w:bottom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4010.21</w:t>
            </w:r>
          </w:p>
        </w:tc>
      </w:tr>
      <w:tr>
        <w:tblPrEx>
          <w:tblCellMar>
            <w:top w:w="0" w:type="dxa"/>
            <w:left w:w="108" w:type="dxa"/>
            <w:bottom w:w="0" w:type="dxa"/>
            <w:right w:w="108" w:type="dxa"/>
          </w:tblCellMar>
        </w:tblPrEx>
        <w:trPr>
          <w:trHeight w:val="392" w:hRule="atLeast"/>
          <w:jc w:val="center"/>
        </w:trPr>
        <w:tc>
          <w:tcPr>
            <w:tcW w:w="863" w:type="dxa"/>
            <w:vMerge w:val="restart"/>
            <w:tcBorders>
              <w:top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w:t>
            </w:r>
          </w:p>
        </w:tc>
        <w:tc>
          <w:tcPr>
            <w:tcW w:w="3673" w:type="dxa"/>
            <w:tcBorders>
              <w:top w:val="nil"/>
              <w:left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教职员工额定编制数</w:t>
            </w:r>
          </w:p>
        </w:tc>
        <w:tc>
          <w:tcPr>
            <w:tcW w:w="851" w:type="dxa"/>
            <w:tcBorders>
              <w:top w:val="nil"/>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人</w:t>
            </w:r>
          </w:p>
        </w:tc>
        <w:tc>
          <w:tcPr>
            <w:tcW w:w="1559" w:type="dxa"/>
            <w:tcBorders>
              <w:top w:val="nil"/>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56098</w:t>
            </w:r>
          </w:p>
        </w:tc>
        <w:tc>
          <w:tcPr>
            <w:tcW w:w="1559" w:type="dxa"/>
            <w:tcBorders>
              <w:top w:val="nil"/>
              <w:left w:val="nil"/>
              <w:bottom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60137</w:t>
            </w:r>
          </w:p>
        </w:tc>
      </w:tr>
      <w:tr>
        <w:tblPrEx>
          <w:tblCellMar>
            <w:top w:w="0" w:type="dxa"/>
            <w:left w:w="108" w:type="dxa"/>
            <w:bottom w:w="0" w:type="dxa"/>
            <w:right w:w="108" w:type="dxa"/>
          </w:tblCellMar>
        </w:tblPrEx>
        <w:trPr>
          <w:trHeight w:val="392" w:hRule="atLeast"/>
          <w:jc w:val="center"/>
        </w:trPr>
        <w:tc>
          <w:tcPr>
            <w:tcW w:w="863" w:type="dxa"/>
            <w:vMerge w:val="continue"/>
            <w:tcBorders>
              <w:top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p>
        </w:tc>
        <w:tc>
          <w:tcPr>
            <w:tcW w:w="3673" w:type="dxa"/>
            <w:tcBorders>
              <w:top w:val="nil"/>
              <w:left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在岗教职员工总数</w:t>
            </w:r>
          </w:p>
        </w:tc>
        <w:tc>
          <w:tcPr>
            <w:tcW w:w="851" w:type="dxa"/>
            <w:tcBorders>
              <w:top w:val="nil"/>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人</w:t>
            </w:r>
          </w:p>
        </w:tc>
        <w:tc>
          <w:tcPr>
            <w:tcW w:w="1559" w:type="dxa"/>
            <w:tcBorders>
              <w:top w:val="nil"/>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50838</w:t>
            </w:r>
          </w:p>
        </w:tc>
        <w:tc>
          <w:tcPr>
            <w:tcW w:w="1559" w:type="dxa"/>
            <w:tcBorders>
              <w:top w:val="nil"/>
              <w:left w:val="nil"/>
              <w:bottom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55164</w:t>
            </w:r>
          </w:p>
        </w:tc>
      </w:tr>
      <w:tr>
        <w:tblPrEx>
          <w:tblCellMar>
            <w:top w:w="0" w:type="dxa"/>
            <w:left w:w="108" w:type="dxa"/>
            <w:bottom w:w="0" w:type="dxa"/>
            <w:right w:w="108" w:type="dxa"/>
          </w:tblCellMar>
        </w:tblPrEx>
        <w:trPr>
          <w:trHeight w:val="392" w:hRule="atLeast"/>
          <w:jc w:val="center"/>
        </w:trPr>
        <w:tc>
          <w:tcPr>
            <w:tcW w:w="863" w:type="dxa"/>
            <w:vMerge w:val="continue"/>
            <w:tcBorders>
              <w:top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p>
        </w:tc>
        <w:tc>
          <w:tcPr>
            <w:tcW w:w="3673" w:type="dxa"/>
            <w:tcBorders>
              <w:top w:val="nil"/>
              <w:left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其中：专任教师总数</w:t>
            </w:r>
          </w:p>
        </w:tc>
        <w:tc>
          <w:tcPr>
            <w:tcW w:w="851" w:type="dxa"/>
            <w:tcBorders>
              <w:top w:val="nil"/>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人</w:t>
            </w:r>
          </w:p>
        </w:tc>
        <w:tc>
          <w:tcPr>
            <w:tcW w:w="1559" w:type="dxa"/>
            <w:tcBorders>
              <w:top w:val="nil"/>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37465</w:t>
            </w:r>
          </w:p>
        </w:tc>
        <w:tc>
          <w:tcPr>
            <w:tcW w:w="1559" w:type="dxa"/>
            <w:tcBorders>
              <w:top w:val="nil"/>
              <w:left w:val="nil"/>
              <w:bottom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41127</w:t>
            </w:r>
          </w:p>
        </w:tc>
      </w:tr>
      <w:tr>
        <w:tblPrEx>
          <w:tblCellMar>
            <w:top w:w="0" w:type="dxa"/>
            <w:left w:w="108" w:type="dxa"/>
            <w:bottom w:w="0" w:type="dxa"/>
            <w:right w:w="108" w:type="dxa"/>
          </w:tblCellMar>
        </w:tblPrEx>
        <w:trPr>
          <w:trHeight w:val="468" w:hRule="atLeast"/>
          <w:jc w:val="center"/>
        </w:trPr>
        <w:tc>
          <w:tcPr>
            <w:tcW w:w="863" w:type="dxa"/>
            <w:tcBorders>
              <w:top w:val="single" w:color="auto" w:sz="4" w:space="0"/>
              <w:left w:val="nil"/>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3</w:t>
            </w:r>
          </w:p>
        </w:tc>
        <w:tc>
          <w:tcPr>
            <w:tcW w:w="3673" w:type="dxa"/>
            <w:tcBorders>
              <w:top w:val="single" w:color="auto" w:sz="4" w:space="0"/>
              <w:left w:val="nil"/>
              <w:bottom w:val="single" w:color="auto" w:sz="4" w:space="0"/>
              <w:right w:val="single" w:color="auto" w:sz="4" w:space="0"/>
            </w:tcBorders>
            <w:shd w:val="clear" w:color="auto" w:fill="FFFFFF"/>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企业提供的校内实践教学设备值</w:t>
            </w:r>
          </w:p>
        </w:tc>
        <w:tc>
          <w:tcPr>
            <w:tcW w:w="851" w:type="dxa"/>
            <w:tcBorders>
              <w:top w:val="single" w:color="auto" w:sz="4" w:space="0"/>
              <w:left w:val="nil"/>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万元</w:t>
            </w:r>
          </w:p>
        </w:tc>
        <w:tc>
          <w:tcPr>
            <w:tcW w:w="1559" w:type="dxa"/>
            <w:tcBorders>
              <w:top w:val="single" w:color="auto" w:sz="4" w:space="0"/>
              <w:left w:val="nil"/>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89725.89</w:t>
            </w:r>
          </w:p>
        </w:tc>
        <w:tc>
          <w:tcPr>
            <w:tcW w:w="1559" w:type="dxa"/>
            <w:tcBorders>
              <w:top w:val="single" w:color="auto" w:sz="4" w:space="0"/>
              <w:left w:val="nil"/>
              <w:bottom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56359.16</w:t>
            </w:r>
          </w:p>
        </w:tc>
      </w:tr>
      <w:tr>
        <w:tblPrEx>
          <w:tblCellMar>
            <w:top w:w="0" w:type="dxa"/>
            <w:left w:w="108" w:type="dxa"/>
            <w:bottom w:w="0" w:type="dxa"/>
            <w:right w:w="108" w:type="dxa"/>
          </w:tblCellMar>
        </w:tblPrEx>
        <w:trPr>
          <w:trHeight w:val="468" w:hRule="atLeast"/>
          <w:jc w:val="center"/>
        </w:trPr>
        <w:tc>
          <w:tcPr>
            <w:tcW w:w="863" w:type="dxa"/>
            <w:vMerge w:val="restart"/>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4</w:t>
            </w:r>
          </w:p>
        </w:tc>
        <w:tc>
          <w:tcPr>
            <w:tcW w:w="3673"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生均企业实习经费补贴</w:t>
            </w:r>
          </w:p>
        </w:tc>
        <w:tc>
          <w:tcPr>
            <w:tcW w:w="851"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元</w:t>
            </w:r>
          </w:p>
        </w:tc>
        <w:tc>
          <w:tcPr>
            <w:tcW w:w="1559"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395.90</w:t>
            </w:r>
          </w:p>
        </w:tc>
        <w:tc>
          <w:tcPr>
            <w:tcW w:w="1559" w:type="dxa"/>
            <w:tcBorders>
              <w:top w:val="single" w:color="auto" w:sz="4" w:space="0"/>
              <w:left w:val="nil"/>
              <w:bottom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192.58</w:t>
            </w:r>
          </w:p>
        </w:tc>
      </w:tr>
      <w:tr>
        <w:tblPrEx>
          <w:tblCellMar>
            <w:top w:w="0" w:type="dxa"/>
            <w:left w:w="108" w:type="dxa"/>
            <w:bottom w:w="0" w:type="dxa"/>
            <w:right w:w="108" w:type="dxa"/>
          </w:tblCellMar>
        </w:tblPrEx>
        <w:trPr>
          <w:trHeight w:val="468" w:hRule="atLeast"/>
          <w:jc w:val="center"/>
        </w:trPr>
        <w:tc>
          <w:tcPr>
            <w:tcW w:w="863" w:type="dxa"/>
            <w:vMerge w:val="continue"/>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p>
        </w:tc>
        <w:tc>
          <w:tcPr>
            <w:tcW w:w="3673"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其中：生均财政专项补贴</w:t>
            </w:r>
          </w:p>
        </w:tc>
        <w:tc>
          <w:tcPr>
            <w:tcW w:w="851"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元</w:t>
            </w:r>
          </w:p>
        </w:tc>
        <w:tc>
          <w:tcPr>
            <w:tcW w:w="1559"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118.79</w:t>
            </w:r>
          </w:p>
        </w:tc>
        <w:tc>
          <w:tcPr>
            <w:tcW w:w="1559" w:type="dxa"/>
            <w:tcBorders>
              <w:top w:val="single" w:color="auto" w:sz="4" w:space="0"/>
              <w:left w:val="nil"/>
              <w:bottom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16.81</w:t>
            </w:r>
          </w:p>
        </w:tc>
      </w:tr>
      <w:tr>
        <w:tblPrEx>
          <w:tblCellMar>
            <w:top w:w="0" w:type="dxa"/>
            <w:left w:w="108" w:type="dxa"/>
            <w:bottom w:w="0" w:type="dxa"/>
            <w:right w:w="108" w:type="dxa"/>
          </w:tblCellMar>
        </w:tblPrEx>
        <w:trPr>
          <w:trHeight w:val="468" w:hRule="atLeast"/>
          <w:jc w:val="center"/>
        </w:trPr>
        <w:tc>
          <w:tcPr>
            <w:tcW w:w="863" w:type="dxa"/>
            <w:vMerge w:val="restart"/>
            <w:tcBorders>
              <w:top w:val="nil"/>
              <w:left w:val="nil"/>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5</w:t>
            </w: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生均企业实习责任保险补贴</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元</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35.44</w:t>
            </w:r>
          </w:p>
        </w:tc>
        <w:tc>
          <w:tcPr>
            <w:tcW w:w="1559" w:type="dxa"/>
            <w:tcBorders>
              <w:top w:val="single" w:color="auto" w:sz="4" w:space="0"/>
              <w:left w:val="single" w:color="auto" w:sz="4" w:space="0"/>
              <w:bottom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30.02</w:t>
            </w:r>
          </w:p>
        </w:tc>
      </w:tr>
      <w:tr>
        <w:tblPrEx>
          <w:tblCellMar>
            <w:top w:w="0" w:type="dxa"/>
            <w:left w:w="108" w:type="dxa"/>
            <w:bottom w:w="0" w:type="dxa"/>
            <w:right w:w="108" w:type="dxa"/>
          </w:tblCellMar>
        </w:tblPrEx>
        <w:trPr>
          <w:trHeight w:val="468" w:hRule="atLeast"/>
          <w:jc w:val="center"/>
        </w:trPr>
        <w:tc>
          <w:tcPr>
            <w:tcW w:w="863" w:type="dxa"/>
            <w:vMerge w:val="continue"/>
            <w:tcBorders>
              <w:top w:val="nil"/>
              <w:left w:val="nil"/>
              <w:bottom w:val="single" w:color="auto" w:sz="4" w:space="0"/>
              <w:right w:val="single" w:color="auto" w:sz="4" w:space="0"/>
            </w:tcBorders>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其中：生均财政专项补贴</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元</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5.97</w:t>
            </w:r>
          </w:p>
        </w:tc>
        <w:tc>
          <w:tcPr>
            <w:tcW w:w="1559" w:type="dxa"/>
            <w:tcBorders>
              <w:top w:val="single" w:color="auto" w:sz="4" w:space="0"/>
              <w:left w:val="single" w:color="auto" w:sz="4" w:space="0"/>
              <w:bottom w:val="single" w:color="auto" w:sz="4" w:space="0"/>
            </w:tcBorders>
            <w:shd w:val="clear" w:color="auto" w:fill="FFFFFF"/>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4.64</w:t>
            </w:r>
          </w:p>
        </w:tc>
      </w:tr>
      <w:tr>
        <w:tblPrEx>
          <w:tblCellMar>
            <w:top w:w="0" w:type="dxa"/>
            <w:left w:w="108" w:type="dxa"/>
            <w:bottom w:w="0" w:type="dxa"/>
            <w:right w:w="108" w:type="dxa"/>
          </w:tblCellMar>
        </w:tblPrEx>
        <w:trPr>
          <w:trHeight w:val="392" w:hRule="atLeast"/>
          <w:jc w:val="center"/>
        </w:trPr>
        <w:tc>
          <w:tcPr>
            <w:tcW w:w="863" w:type="dxa"/>
            <w:vMerge w:val="restart"/>
            <w:tcBorders>
              <w:top w:val="nil"/>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6</w:t>
            </w:r>
          </w:p>
        </w:tc>
        <w:tc>
          <w:tcPr>
            <w:tcW w:w="3673"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企业兼职教师年课时总量</w:t>
            </w:r>
          </w:p>
        </w:tc>
        <w:tc>
          <w:tcPr>
            <w:tcW w:w="851"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课时</w:t>
            </w:r>
          </w:p>
        </w:tc>
        <w:tc>
          <w:tcPr>
            <w:tcW w:w="1559"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2394657</w:t>
            </w:r>
          </w:p>
        </w:tc>
        <w:tc>
          <w:tcPr>
            <w:tcW w:w="1559" w:type="dxa"/>
            <w:tcBorders>
              <w:top w:val="single" w:color="auto" w:sz="4" w:space="0"/>
              <w:left w:val="nil"/>
              <w:bottom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2632850</w:t>
            </w:r>
          </w:p>
        </w:tc>
      </w:tr>
      <w:tr>
        <w:tblPrEx>
          <w:tblCellMar>
            <w:top w:w="0" w:type="dxa"/>
            <w:left w:w="108" w:type="dxa"/>
            <w:bottom w:w="0" w:type="dxa"/>
            <w:right w:w="108" w:type="dxa"/>
          </w:tblCellMar>
        </w:tblPrEx>
        <w:trPr>
          <w:trHeight w:val="392" w:hRule="atLeast"/>
          <w:jc w:val="center"/>
        </w:trPr>
        <w:tc>
          <w:tcPr>
            <w:tcW w:w="863" w:type="dxa"/>
            <w:vMerge w:val="continue"/>
            <w:tcBorders>
              <w:top w:val="nil"/>
              <w:left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p>
        </w:tc>
        <w:tc>
          <w:tcPr>
            <w:tcW w:w="3673"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年支付企业兼职教师课酬</w:t>
            </w:r>
          </w:p>
        </w:tc>
        <w:tc>
          <w:tcPr>
            <w:tcW w:w="851"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元</w:t>
            </w:r>
          </w:p>
        </w:tc>
        <w:tc>
          <w:tcPr>
            <w:tcW w:w="1559" w:type="dxa"/>
            <w:tcBorders>
              <w:top w:val="single" w:color="auto" w:sz="4" w:space="0"/>
              <w:left w:val="nil"/>
              <w:bottom w:val="single" w:color="auto" w:sz="4"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141047550</w:t>
            </w:r>
          </w:p>
        </w:tc>
        <w:tc>
          <w:tcPr>
            <w:tcW w:w="1559" w:type="dxa"/>
            <w:tcBorders>
              <w:top w:val="single" w:color="auto" w:sz="4" w:space="0"/>
              <w:left w:val="nil"/>
              <w:bottom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127762828</w:t>
            </w:r>
          </w:p>
        </w:tc>
      </w:tr>
      <w:tr>
        <w:tblPrEx>
          <w:tblCellMar>
            <w:top w:w="0" w:type="dxa"/>
            <w:left w:w="108" w:type="dxa"/>
            <w:bottom w:w="0" w:type="dxa"/>
            <w:right w:w="108" w:type="dxa"/>
          </w:tblCellMar>
        </w:tblPrEx>
        <w:trPr>
          <w:trHeight w:val="392" w:hRule="atLeast"/>
          <w:jc w:val="center"/>
        </w:trPr>
        <w:tc>
          <w:tcPr>
            <w:tcW w:w="863" w:type="dxa"/>
            <w:vMerge w:val="continue"/>
            <w:tcBorders>
              <w:top w:val="nil"/>
              <w:left w:val="nil"/>
              <w:bottom w:val="single" w:color="auto" w:sz="12"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p>
        </w:tc>
        <w:tc>
          <w:tcPr>
            <w:tcW w:w="3673" w:type="dxa"/>
            <w:tcBorders>
              <w:top w:val="single" w:color="auto" w:sz="4" w:space="0"/>
              <w:left w:val="nil"/>
              <w:bottom w:val="single" w:color="auto" w:sz="12" w:space="0"/>
              <w:right w:val="single" w:color="auto" w:sz="4" w:space="0"/>
            </w:tcBorders>
            <w:shd w:val="clear" w:color="auto" w:fill="DAEEF6"/>
            <w:vAlign w:val="center"/>
          </w:tcPr>
          <w:p>
            <w:pPr>
              <w:widowControl/>
              <w:ind w:left="105" w:leftChars="50" w:right="105" w:rightChars="50"/>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其中：财政专项补贴</w:t>
            </w:r>
          </w:p>
        </w:tc>
        <w:tc>
          <w:tcPr>
            <w:tcW w:w="851" w:type="dxa"/>
            <w:tcBorders>
              <w:top w:val="single" w:color="auto" w:sz="4" w:space="0"/>
              <w:left w:val="nil"/>
              <w:bottom w:val="single" w:color="auto" w:sz="12"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元</w:t>
            </w:r>
          </w:p>
        </w:tc>
        <w:tc>
          <w:tcPr>
            <w:tcW w:w="1559" w:type="dxa"/>
            <w:tcBorders>
              <w:top w:val="single" w:color="auto" w:sz="4" w:space="0"/>
              <w:left w:val="nil"/>
              <w:bottom w:val="single" w:color="auto" w:sz="12" w:space="0"/>
              <w:right w:val="single" w:color="auto" w:sz="4"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15743773</w:t>
            </w:r>
          </w:p>
        </w:tc>
        <w:tc>
          <w:tcPr>
            <w:tcW w:w="1559" w:type="dxa"/>
            <w:tcBorders>
              <w:top w:val="single" w:color="auto" w:sz="4" w:space="0"/>
              <w:left w:val="nil"/>
              <w:bottom w:val="single" w:color="auto" w:sz="12" w:space="0"/>
            </w:tcBorders>
            <w:shd w:val="clear" w:color="auto" w:fill="DAEEF6"/>
            <w:vAlign w:val="center"/>
          </w:tcPr>
          <w:p>
            <w:pPr>
              <w:widowControl/>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22813159</w:t>
            </w:r>
          </w:p>
        </w:tc>
      </w:tr>
    </w:tbl>
    <w:p>
      <w:pPr>
        <w:ind w:left="105" w:leftChars="50" w:right="105" w:rightChars="50"/>
        <w:rPr>
          <w:rFonts w:ascii="宋体" w:hAnsi="宋体" w:eastAsia="宋体"/>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数据来源：</w:t>
      </w:r>
      <w:r>
        <w:rPr>
          <w:rFonts w:hint="eastAsia" w:ascii="宋体" w:hAnsi="宋体" w:eastAsia="宋体"/>
          <w:color w:val="000000" w:themeColor="text1"/>
          <w:szCs w:val="21"/>
          <w14:textFill>
            <w14:solidFill>
              <w14:schemeClr w14:val="tx1"/>
            </w14:solidFill>
          </w14:textFill>
        </w:rPr>
        <w:t>根据83所院校填报年度质量报告数据计算所得。</w:t>
      </w:r>
    </w:p>
    <w:p>
      <w:pPr>
        <w:spacing w:line="520" w:lineRule="exact"/>
        <w:ind w:firstLine="567"/>
        <w:outlineLvl w:val="1"/>
        <w:rPr>
          <w:rFonts w:ascii="楷体_GB2312" w:hAnsi="黑体" w:eastAsia="楷体_GB2312" w:cs="黑体"/>
          <w:bCs/>
          <w:color w:val="000000" w:themeColor="text1"/>
          <w:sz w:val="28"/>
          <w:szCs w:val="28"/>
          <w14:textFill>
            <w14:solidFill>
              <w14:schemeClr w14:val="tx1"/>
            </w14:solidFill>
          </w14:textFill>
        </w:rPr>
      </w:pPr>
      <w:bookmarkStart w:id="103" w:name="_Toc94172166"/>
      <w:bookmarkStart w:id="104" w:name="_Toc94172307"/>
      <w:bookmarkStart w:id="105" w:name="_Toc94183409"/>
      <w:r>
        <w:rPr>
          <w:rFonts w:hint="eastAsia" w:ascii="楷体_GB2312" w:hAnsi="黑体" w:eastAsia="楷体_GB2312" w:cs="黑体"/>
          <w:bCs/>
          <w:color w:val="000000" w:themeColor="text1"/>
          <w:sz w:val="28"/>
          <w:szCs w:val="28"/>
          <w14:textFill>
            <w14:solidFill>
              <w14:schemeClr w14:val="tx1"/>
            </w14:solidFill>
          </w14:textFill>
        </w:rPr>
        <w:t>2.</w:t>
      </w:r>
      <w:r>
        <w:rPr>
          <w:rFonts w:ascii="楷体_GB2312" w:hAnsi="黑体" w:eastAsia="楷体_GB2312" w:cs="黑体"/>
          <w:bCs/>
          <w:color w:val="000000" w:themeColor="text1"/>
          <w:sz w:val="28"/>
          <w:szCs w:val="28"/>
          <w14:textFill>
            <w14:solidFill>
              <w14:schemeClr w14:val="tx1"/>
            </w14:solidFill>
          </w14:textFill>
        </w:rPr>
        <w:t>2</w:t>
      </w:r>
      <w:r>
        <w:rPr>
          <w:rFonts w:hint="eastAsia" w:ascii="楷体_GB2312" w:hAnsi="黑体" w:eastAsia="楷体_GB2312" w:cs="黑体"/>
          <w:bCs/>
          <w:color w:val="000000" w:themeColor="text1"/>
          <w:sz w:val="28"/>
          <w:szCs w:val="28"/>
          <w14:textFill>
            <w14:solidFill>
              <w14:schemeClr w14:val="tx1"/>
            </w14:solidFill>
          </w14:textFill>
        </w:rPr>
        <w:t>资源投入</w:t>
      </w:r>
      <w:bookmarkEnd w:id="103"/>
      <w:bookmarkEnd w:id="104"/>
      <w:bookmarkEnd w:id="105"/>
    </w:p>
    <w:p>
      <w:pPr>
        <w:spacing w:line="52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2</w:t>
      </w:r>
      <w:r>
        <w:rPr>
          <w:rFonts w:ascii="仿宋_GB2312" w:hAnsi="仿宋" w:eastAsia="仿宋_GB2312"/>
          <w:color w:val="000000" w:themeColor="text1"/>
          <w:sz w:val="28"/>
          <w:szCs w:val="28"/>
          <w14:textFill>
            <w14:solidFill>
              <w14:schemeClr w14:val="tx1"/>
            </w14:solidFill>
          </w14:textFill>
        </w:rPr>
        <w:t>021</w:t>
      </w:r>
      <w:r>
        <w:rPr>
          <w:rFonts w:hint="eastAsia" w:ascii="仿宋_GB2312" w:hAnsi="仿宋" w:eastAsia="仿宋_GB2312"/>
          <w:color w:val="000000" w:themeColor="text1"/>
          <w:sz w:val="28"/>
          <w:szCs w:val="28"/>
          <w14:textFill>
            <w14:solidFill>
              <w14:schemeClr w14:val="tx1"/>
            </w14:solidFill>
          </w14:textFill>
        </w:rPr>
        <w:t>年，山东省坚持教育优先发展，财政资金投入优先保障教育，公共资源配置优先满足教育。</w:t>
      </w:r>
    </w:p>
    <w:p>
      <w:pPr>
        <w:spacing w:line="520" w:lineRule="exact"/>
        <w:ind w:firstLine="562" w:firstLineChars="200"/>
        <w:rPr>
          <w:rFonts w:ascii="仿宋_GB2312" w:hAnsi="仿宋" w:eastAsia="仿宋_GB2312"/>
          <w:b/>
          <w:bCs/>
          <w:color w:val="000000" w:themeColor="text1"/>
          <w:sz w:val="28"/>
          <w:szCs w:val="28"/>
          <w14:textFill>
            <w14:solidFill>
              <w14:schemeClr w14:val="tx1"/>
            </w14:solidFill>
          </w14:textFill>
        </w:rPr>
      </w:pPr>
      <w:r>
        <w:rPr>
          <w:rFonts w:hint="eastAsia" w:ascii="仿宋_GB2312" w:hAnsi="仿宋" w:eastAsia="仿宋_GB2312"/>
          <w:b/>
          <w:bCs/>
          <w:color w:val="000000" w:themeColor="text1"/>
          <w:sz w:val="28"/>
          <w:szCs w:val="28"/>
          <w14:textFill>
            <w14:solidFill>
              <w14:schemeClr w14:val="tx1"/>
            </w14:solidFill>
          </w14:textFill>
        </w:rPr>
        <w:t>2.</w:t>
      </w:r>
      <w:r>
        <w:rPr>
          <w:rFonts w:ascii="仿宋_GB2312" w:hAnsi="仿宋" w:eastAsia="仿宋_GB2312"/>
          <w:b/>
          <w:bCs/>
          <w:color w:val="000000" w:themeColor="text1"/>
          <w:sz w:val="28"/>
          <w:szCs w:val="28"/>
          <w14:textFill>
            <w14:solidFill>
              <w14:schemeClr w14:val="tx1"/>
            </w14:solidFill>
          </w14:textFill>
        </w:rPr>
        <w:t>2</w:t>
      </w:r>
      <w:r>
        <w:rPr>
          <w:rFonts w:hint="eastAsia" w:ascii="仿宋_GB2312" w:hAnsi="仿宋" w:eastAsia="仿宋_GB2312"/>
          <w:b/>
          <w:bCs/>
          <w:color w:val="000000" w:themeColor="text1"/>
          <w:sz w:val="28"/>
          <w:szCs w:val="28"/>
          <w14:textFill>
            <w14:solidFill>
              <w14:schemeClr w14:val="tx1"/>
            </w14:solidFill>
          </w14:textFill>
        </w:rPr>
        <w:t>.1基本办学条件持续优化</w:t>
      </w:r>
    </w:p>
    <w:p>
      <w:pPr>
        <w:spacing w:line="52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山东高职院校基本办学条件各项指标均达到《普通高等学校基本办学条件指标》要求。2021年，全省高职院校生均占地面积73.17平方米，较2017年占地面积略有减少，主要是高职扩招后在校生人数增加。生均教学科研仪器设备值12317.30元，较2017年增加2543.19元；生均教学及辅助、行政办公用房面积28.94平方米/生，较2017年增加14.49平方米/生；生均校内实践教学工位数0.7个，较2017年增加0.14个；合作企业为高职院校提供的校内实践教学设备值总值56359.16万元。山东高职院校办学条件不断完善，各项指标均有不同程度提升。（见表</w:t>
      </w:r>
      <w:r>
        <w:rPr>
          <w:rFonts w:ascii="仿宋_GB2312" w:hAnsi="仿宋" w:eastAsia="仿宋_GB2312"/>
          <w:color w:val="000000" w:themeColor="text1"/>
          <w:sz w:val="28"/>
          <w:szCs w:val="28"/>
          <w14:textFill>
            <w14:solidFill>
              <w14:schemeClr w14:val="tx1"/>
            </w14:solidFill>
          </w14:textFill>
        </w:rPr>
        <w:t>2</w:t>
      </w:r>
      <w:r>
        <w:rPr>
          <w:rFonts w:hint="eastAsia" w:ascii="仿宋_GB2312" w:hAnsi="仿宋" w:eastAsia="仿宋_GB2312"/>
          <w:color w:val="000000" w:themeColor="text1"/>
          <w:sz w:val="28"/>
          <w:szCs w:val="28"/>
          <w14:textFill>
            <w14:solidFill>
              <w14:schemeClr w14:val="tx1"/>
            </w14:solidFill>
          </w14:textFill>
        </w:rPr>
        <w:t>-2）。</w:t>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106" w:name="_Toc94172308"/>
      <w:bookmarkStart w:id="107" w:name="_Toc94172167"/>
      <w:bookmarkStart w:id="108" w:name="_Toc94183410"/>
      <w:bookmarkStart w:id="109" w:name="_Toc91604968"/>
      <w:bookmarkStart w:id="110" w:name="_Toc91606485"/>
      <w:r>
        <w:rPr>
          <w:rFonts w:hint="eastAsia" w:ascii="宋体" w:hAnsi="宋体" w:eastAsia="宋体"/>
          <w:color w:val="000000" w:themeColor="text1"/>
          <w:sz w:val="24"/>
          <w:szCs w:val="24"/>
          <w14:textFill>
            <w14:solidFill>
              <w14:schemeClr w14:val="tx1"/>
            </w14:solidFill>
          </w14:textFill>
        </w:rPr>
        <w:t>表2-2 山东高职院校基本办学条件一览表</w:t>
      </w:r>
      <w:bookmarkEnd w:id="106"/>
      <w:bookmarkEnd w:id="107"/>
      <w:bookmarkEnd w:id="108"/>
      <w:bookmarkEnd w:id="109"/>
      <w:bookmarkEnd w:id="110"/>
    </w:p>
    <w:tbl>
      <w:tblPr>
        <w:tblStyle w:val="34"/>
        <w:tblW w:w="5000"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
      <w:tblGrid>
        <w:gridCol w:w="430"/>
        <w:gridCol w:w="2384"/>
        <w:gridCol w:w="704"/>
        <w:gridCol w:w="980"/>
        <w:gridCol w:w="1035"/>
        <w:gridCol w:w="1125"/>
        <w:gridCol w:w="1177"/>
        <w:gridCol w:w="1121"/>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98" w:hRule="atLeast"/>
          <w:tblHeader/>
          <w:jc w:val="center"/>
        </w:trPr>
        <w:tc>
          <w:tcPr>
            <w:tcW w:w="425" w:type="dxa"/>
            <w:tcBorders>
              <w:top w:val="single" w:color="auto" w:sz="12" w:space="0"/>
              <w:bottom w:val="single" w:color="auto" w:sz="12" w:space="0"/>
            </w:tcBorders>
            <w:shd w:val="clear" w:color="auto" w:fill="0070C0"/>
            <w:vAlign w:val="center"/>
          </w:tcPr>
          <w:p>
            <w:pPr>
              <w:widowControl/>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序号</w:t>
            </w:r>
          </w:p>
        </w:tc>
        <w:tc>
          <w:tcPr>
            <w:tcW w:w="2354" w:type="dxa"/>
            <w:tcBorders>
              <w:top w:val="single" w:color="auto" w:sz="12" w:space="0"/>
              <w:bottom w:val="single" w:color="auto" w:sz="12" w:space="0"/>
            </w:tcBorders>
            <w:shd w:val="clear" w:color="auto" w:fill="0070C0"/>
            <w:vAlign w:val="center"/>
          </w:tcPr>
          <w:p>
            <w:pPr>
              <w:widowControl/>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办学指标</w:t>
            </w:r>
          </w:p>
        </w:tc>
        <w:tc>
          <w:tcPr>
            <w:tcW w:w="695" w:type="dxa"/>
            <w:tcBorders>
              <w:top w:val="single" w:color="auto" w:sz="12" w:space="0"/>
              <w:bottom w:val="single" w:color="auto" w:sz="12" w:space="0"/>
            </w:tcBorders>
            <w:shd w:val="clear" w:color="auto" w:fill="0070C0"/>
            <w:vAlign w:val="center"/>
          </w:tcPr>
          <w:p>
            <w:pPr>
              <w:widowControl/>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合格</w:t>
            </w:r>
          </w:p>
          <w:p>
            <w:pPr>
              <w:widowControl/>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指标</w:t>
            </w:r>
          </w:p>
        </w:tc>
        <w:tc>
          <w:tcPr>
            <w:tcW w:w="968" w:type="dxa"/>
            <w:tcBorders>
              <w:top w:val="single" w:color="auto" w:sz="12" w:space="0"/>
              <w:bottom w:val="single" w:color="auto" w:sz="12" w:space="0"/>
            </w:tcBorders>
            <w:shd w:val="clear" w:color="auto" w:fill="0070C0"/>
            <w:vAlign w:val="center"/>
          </w:tcPr>
          <w:p>
            <w:pPr>
              <w:widowControl/>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2017年</w:t>
            </w:r>
          </w:p>
        </w:tc>
        <w:tc>
          <w:tcPr>
            <w:tcW w:w="1022" w:type="dxa"/>
            <w:tcBorders>
              <w:top w:val="single" w:color="auto" w:sz="12" w:space="0"/>
              <w:bottom w:val="single" w:color="auto" w:sz="12" w:space="0"/>
            </w:tcBorders>
            <w:shd w:val="clear" w:color="auto" w:fill="0070C0"/>
            <w:vAlign w:val="center"/>
          </w:tcPr>
          <w:p>
            <w:pPr>
              <w:widowControl/>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2018年</w:t>
            </w:r>
          </w:p>
        </w:tc>
        <w:tc>
          <w:tcPr>
            <w:tcW w:w="1111" w:type="dxa"/>
            <w:tcBorders>
              <w:top w:val="single" w:color="auto" w:sz="12" w:space="0"/>
              <w:bottom w:val="single" w:color="auto" w:sz="12" w:space="0"/>
            </w:tcBorders>
            <w:shd w:val="clear" w:color="auto" w:fill="0070C0"/>
            <w:vAlign w:val="center"/>
          </w:tcPr>
          <w:p>
            <w:pPr>
              <w:widowControl/>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2019年</w:t>
            </w:r>
          </w:p>
        </w:tc>
        <w:tc>
          <w:tcPr>
            <w:tcW w:w="1162" w:type="dxa"/>
            <w:tcBorders>
              <w:top w:val="single" w:color="auto" w:sz="12" w:space="0"/>
              <w:bottom w:val="single" w:color="auto" w:sz="12" w:space="0"/>
            </w:tcBorders>
            <w:shd w:val="clear" w:color="auto" w:fill="0070C0"/>
            <w:vAlign w:val="center"/>
          </w:tcPr>
          <w:p>
            <w:pPr>
              <w:widowControl/>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2020年</w:t>
            </w:r>
          </w:p>
        </w:tc>
        <w:tc>
          <w:tcPr>
            <w:tcW w:w="1107" w:type="dxa"/>
            <w:tcBorders>
              <w:top w:val="single" w:color="auto" w:sz="12" w:space="0"/>
              <w:bottom w:val="single" w:color="auto" w:sz="12" w:space="0"/>
            </w:tcBorders>
            <w:shd w:val="clear" w:color="auto" w:fill="0070C0"/>
            <w:vAlign w:val="center"/>
          </w:tcPr>
          <w:p>
            <w:pPr>
              <w:widowControl/>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2021年</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455" w:hRule="atLeast"/>
          <w:jc w:val="center"/>
        </w:trPr>
        <w:tc>
          <w:tcPr>
            <w:tcW w:w="425" w:type="dxa"/>
            <w:tcBorders>
              <w:top w:val="single" w:color="auto" w:sz="12" w:space="0"/>
            </w:tcBorders>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p>
        </w:tc>
        <w:tc>
          <w:tcPr>
            <w:tcW w:w="2354" w:type="dxa"/>
            <w:tcBorders>
              <w:top w:val="single" w:color="auto" w:sz="12" w:space="0"/>
            </w:tcBorders>
            <w:vAlign w:val="center"/>
          </w:tcPr>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生均占地面积</w:t>
            </w:r>
          </w:p>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（平方米/生）</w:t>
            </w:r>
          </w:p>
        </w:tc>
        <w:tc>
          <w:tcPr>
            <w:tcW w:w="695" w:type="dxa"/>
            <w:tcBorders>
              <w:top w:val="single" w:color="auto" w:sz="12" w:space="0"/>
            </w:tcBorders>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54</w:t>
            </w:r>
          </w:p>
        </w:tc>
        <w:tc>
          <w:tcPr>
            <w:tcW w:w="968" w:type="dxa"/>
            <w:tcBorders>
              <w:top w:val="single" w:color="auto" w:sz="12" w:space="0"/>
            </w:tcBorders>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77.95</w:t>
            </w:r>
          </w:p>
        </w:tc>
        <w:tc>
          <w:tcPr>
            <w:tcW w:w="1022" w:type="dxa"/>
            <w:tcBorders>
              <w:top w:val="single" w:color="auto" w:sz="12" w:space="0"/>
            </w:tcBorders>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81.78</w:t>
            </w:r>
          </w:p>
        </w:tc>
        <w:tc>
          <w:tcPr>
            <w:tcW w:w="1111" w:type="dxa"/>
            <w:tcBorders>
              <w:top w:val="single" w:color="auto" w:sz="12" w:space="0"/>
            </w:tcBorders>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80.12</w:t>
            </w:r>
          </w:p>
        </w:tc>
        <w:tc>
          <w:tcPr>
            <w:tcW w:w="1162" w:type="dxa"/>
            <w:tcBorders>
              <w:top w:val="single" w:color="auto" w:sz="12" w:space="0"/>
            </w:tcBorders>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65.58</w:t>
            </w:r>
          </w:p>
        </w:tc>
        <w:tc>
          <w:tcPr>
            <w:tcW w:w="1107" w:type="dxa"/>
            <w:tcBorders>
              <w:top w:val="single" w:color="auto" w:sz="12" w:space="0"/>
            </w:tcBorders>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73.17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455" w:hRule="atLeast"/>
          <w:jc w:val="center"/>
        </w:trPr>
        <w:tc>
          <w:tcPr>
            <w:tcW w:w="425"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w:t>
            </w:r>
          </w:p>
        </w:tc>
        <w:tc>
          <w:tcPr>
            <w:tcW w:w="2354" w:type="dxa"/>
            <w:shd w:val="clear" w:color="auto" w:fill="DAEEF6"/>
            <w:vAlign w:val="center"/>
          </w:tcPr>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生均教学及辅助、行政办公用房面积（平方米/生）</w:t>
            </w:r>
          </w:p>
        </w:tc>
        <w:tc>
          <w:tcPr>
            <w:tcW w:w="695"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14</w:t>
            </w:r>
          </w:p>
        </w:tc>
        <w:tc>
          <w:tcPr>
            <w:tcW w:w="968"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17.45</w:t>
            </w:r>
          </w:p>
        </w:tc>
        <w:tc>
          <w:tcPr>
            <w:tcW w:w="1022"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17.51</w:t>
            </w:r>
          </w:p>
        </w:tc>
        <w:tc>
          <w:tcPr>
            <w:tcW w:w="1111"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18.18</w:t>
            </w:r>
          </w:p>
        </w:tc>
        <w:tc>
          <w:tcPr>
            <w:tcW w:w="1162"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14.08</w:t>
            </w:r>
          </w:p>
        </w:tc>
        <w:tc>
          <w:tcPr>
            <w:tcW w:w="1107"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28.94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455" w:hRule="atLeast"/>
          <w:jc w:val="center"/>
        </w:trPr>
        <w:tc>
          <w:tcPr>
            <w:tcW w:w="425"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w:t>
            </w:r>
          </w:p>
        </w:tc>
        <w:tc>
          <w:tcPr>
            <w:tcW w:w="2354" w:type="dxa"/>
            <w:vAlign w:val="center"/>
          </w:tcPr>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生均宿舍面积</w:t>
            </w:r>
          </w:p>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（平方米/生）</w:t>
            </w:r>
          </w:p>
        </w:tc>
        <w:tc>
          <w:tcPr>
            <w:tcW w:w="695"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6.5</w:t>
            </w:r>
          </w:p>
        </w:tc>
        <w:tc>
          <w:tcPr>
            <w:tcW w:w="968"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8.19</w:t>
            </w:r>
          </w:p>
        </w:tc>
        <w:tc>
          <w:tcPr>
            <w:tcW w:w="1022" w:type="dxa"/>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8.48</w:t>
            </w:r>
          </w:p>
        </w:tc>
        <w:tc>
          <w:tcPr>
            <w:tcW w:w="1111" w:type="dxa"/>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8.72</w:t>
            </w:r>
          </w:p>
        </w:tc>
        <w:tc>
          <w:tcPr>
            <w:tcW w:w="1162" w:type="dxa"/>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6.52</w:t>
            </w:r>
          </w:p>
        </w:tc>
        <w:tc>
          <w:tcPr>
            <w:tcW w:w="1107" w:type="dxa"/>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8.42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455" w:hRule="atLeast"/>
          <w:jc w:val="center"/>
        </w:trPr>
        <w:tc>
          <w:tcPr>
            <w:tcW w:w="425"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w:t>
            </w:r>
          </w:p>
        </w:tc>
        <w:tc>
          <w:tcPr>
            <w:tcW w:w="2354" w:type="dxa"/>
            <w:shd w:val="clear" w:color="auto" w:fill="DAEEF6"/>
            <w:vAlign w:val="center"/>
          </w:tcPr>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生均教学科研仪器设备值（元/生）</w:t>
            </w:r>
          </w:p>
        </w:tc>
        <w:tc>
          <w:tcPr>
            <w:tcW w:w="695"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4000</w:t>
            </w:r>
          </w:p>
        </w:tc>
        <w:tc>
          <w:tcPr>
            <w:tcW w:w="968"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9774.11</w:t>
            </w:r>
          </w:p>
        </w:tc>
        <w:tc>
          <w:tcPr>
            <w:tcW w:w="1022"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10566.35</w:t>
            </w:r>
          </w:p>
        </w:tc>
        <w:tc>
          <w:tcPr>
            <w:tcW w:w="1111"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11993.76</w:t>
            </w:r>
          </w:p>
        </w:tc>
        <w:tc>
          <w:tcPr>
            <w:tcW w:w="1162"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10669.89</w:t>
            </w:r>
          </w:p>
        </w:tc>
        <w:tc>
          <w:tcPr>
            <w:tcW w:w="1107"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12317.30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455" w:hRule="atLeast"/>
          <w:jc w:val="center"/>
        </w:trPr>
        <w:tc>
          <w:tcPr>
            <w:tcW w:w="425"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w:t>
            </w:r>
          </w:p>
        </w:tc>
        <w:tc>
          <w:tcPr>
            <w:tcW w:w="2354" w:type="dxa"/>
            <w:vAlign w:val="center"/>
          </w:tcPr>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新增教学仪器设备值（万元）</w:t>
            </w:r>
          </w:p>
        </w:tc>
        <w:tc>
          <w:tcPr>
            <w:tcW w:w="695"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1000</w:t>
            </w:r>
          </w:p>
        </w:tc>
        <w:tc>
          <w:tcPr>
            <w:tcW w:w="968"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7170.66</w:t>
            </w:r>
          </w:p>
        </w:tc>
        <w:tc>
          <w:tcPr>
            <w:tcW w:w="1022" w:type="dxa"/>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79830.41</w:t>
            </w:r>
          </w:p>
        </w:tc>
        <w:tc>
          <w:tcPr>
            <w:tcW w:w="1111" w:type="dxa"/>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105039.41</w:t>
            </w:r>
          </w:p>
        </w:tc>
        <w:tc>
          <w:tcPr>
            <w:tcW w:w="1162" w:type="dxa"/>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99545.16</w:t>
            </w:r>
          </w:p>
        </w:tc>
        <w:tc>
          <w:tcPr>
            <w:tcW w:w="1107" w:type="dxa"/>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179904.41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503" w:hRule="atLeast"/>
          <w:jc w:val="center"/>
        </w:trPr>
        <w:tc>
          <w:tcPr>
            <w:tcW w:w="425"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w:t>
            </w:r>
          </w:p>
        </w:tc>
        <w:tc>
          <w:tcPr>
            <w:tcW w:w="2354" w:type="dxa"/>
            <w:shd w:val="clear" w:color="auto" w:fill="DAEEF6"/>
            <w:vAlign w:val="center"/>
          </w:tcPr>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生均图书（册）</w:t>
            </w:r>
          </w:p>
        </w:tc>
        <w:tc>
          <w:tcPr>
            <w:tcW w:w="695"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80</w:t>
            </w:r>
          </w:p>
        </w:tc>
        <w:tc>
          <w:tcPr>
            <w:tcW w:w="968"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80.38</w:t>
            </w:r>
          </w:p>
        </w:tc>
        <w:tc>
          <w:tcPr>
            <w:tcW w:w="1022"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81.78</w:t>
            </w:r>
          </w:p>
        </w:tc>
        <w:tc>
          <w:tcPr>
            <w:tcW w:w="1111"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84.87</w:t>
            </w:r>
          </w:p>
        </w:tc>
        <w:tc>
          <w:tcPr>
            <w:tcW w:w="1162"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80</w:t>
            </w:r>
          </w:p>
        </w:tc>
        <w:tc>
          <w:tcPr>
            <w:tcW w:w="1107"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79.53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538" w:hRule="atLeast"/>
          <w:jc w:val="center"/>
        </w:trPr>
        <w:tc>
          <w:tcPr>
            <w:tcW w:w="425"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7</w:t>
            </w:r>
          </w:p>
        </w:tc>
        <w:tc>
          <w:tcPr>
            <w:tcW w:w="2354" w:type="dxa"/>
            <w:vAlign w:val="center"/>
          </w:tcPr>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生均年进书量（册）</w:t>
            </w:r>
          </w:p>
        </w:tc>
        <w:tc>
          <w:tcPr>
            <w:tcW w:w="695"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w:t>
            </w:r>
          </w:p>
        </w:tc>
        <w:tc>
          <w:tcPr>
            <w:tcW w:w="968"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4.12</w:t>
            </w:r>
          </w:p>
        </w:tc>
        <w:tc>
          <w:tcPr>
            <w:tcW w:w="1022"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4.22</w:t>
            </w:r>
          </w:p>
        </w:tc>
        <w:tc>
          <w:tcPr>
            <w:tcW w:w="1111"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4.02</w:t>
            </w:r>
          </w:p>
        </w:tc>
        <w:tc>
          <w:tcPr>
            <w:tcW w:w="1162"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3.63</w:t>
            </w:r>
          </w:p>
        </w:tc>
        <w:tc>
          <w:tcPr>
            <w:tcW w:w="1107" w:type="dxa"/>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6.41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455" w:hRule="atLeast"/>
          <w:jc w:val="center"/>
        </w:trPr>
        <w:tc>
          <w:tcPr>
            <w:tcW w:w="425"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w:t>
            </w:r>
          </w:p>
        </w:tc>
        <w:tc>
          <w:tcPr>
            <w:tcW w:w="2354" w:type="dxa"/>
            <w:shd w:val="clear" w:color="auto" w:fill="DAEEF6"/>
            <w:vAlign w:val="center"/>
          </w:tcPr>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百名学生配教学用计算机（台）</w:t>
            </w:r>
          </w:p>
        </w:tc>
        <w:tc>
          <w:tcPr>
            <w:tcW w:w="695"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w:t>
            </w:r>
          </w:p>
        </w:tc>
        <w:tc>
          <w:tcPr>
            <w:tcW w:w="968" w:type="dxa"/>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26.12</w:t>
            </w:r>
          </w:p>
        </w:tc>
        <w:tc>
          <w:tcPr>
            <w:tcW w:w="1022"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28.13</w:t>
            </w:r>
          </w:p>
        </w:tc>
        <w:tc>
          <w:tcPr>
            <w:tcW w:w="1111"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29.88</w:t>
            </w:r>
          </w:p>
        </w:tc>
        <w:tc>
          <w:tcPr>
            <w:tcW w:w="1162"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32.86</w:t>
            </w:r>
          </w:p>
        </w:tc>
        <w:tc>
          <w:tcPr>
            <w:tcW w:w="1107" w:type="dxa"/>
            <w:shd w:val="clear" w:color="auto" w:fill="DAEEF6"/>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28.29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455" w:hRule="atLeast"/>
          <w:jc w:val="center"/>
        </w:trPr>
        <w:tc>
          <w:tcPr>
            <w:tcW w:w="425" w:type="dxa"/>
            <w:tcBorders>
              <w:bottom w:val="single" w:color="auto" w:sz="2" w:space="0"/>
            </w:tcBorders>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9</w:t>
            </w:r>
          </w:p>
        </w:tc>
        <w:tc>
          <w:tcPr>
            <w:tcW w:w="2354" w:type="dxa"/>
            <w:tcBorders>
              <w:bottom w:val="single" w:color="auto" w:sz="2" w:space="0"/>
            </w:tcBorders>
            <w:vAlign w:val="center"/>
          </w:tcPr>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生均校内实践教学工位数（个/生）</w:t>
            </w:r>
          </w:p>
        </w:tc>
        <w:tc>
          <w:tcPr>
            <w:tcW w:w="695" w:type="dxa"/>
            <w:tcBorders>
              <w:bottom w:val="single" w:color="auto" w:sz="2" w:space="0"/>
            </w:tcBorders>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968" w:type="dxa"/>
            <w:tcBorders>
              <w:bottom w:val="single" w:color="auto" w:sz="2" w:space="0"/>
            </w:tcBorders>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0.56</w:t>
            </w:r>
          </w:p>
        </w:tc>
        <w:tc>
          <w:tcPr>
            <w:tcW w:w="1022" w:type="dxa"/>
            <w:tcBorders>
              <w:bottom w:val="single" w:color="auto" w:sz="2" w:space="0"/>
            </w:tcBorders>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0.63</w:t>
            </w:r>
          </w:p>
        </w:tc>
        <w:tc>
          <w:tcPr>
            <w:tcW w:w="1111" w:type="dxa"/>
            <w:tcBorders>
              <w:bottom w:val="single" w:color="auto" w:sz="2" w:space="0"/>
            </w:tcBorders>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0.99</w:t>
            </w:r>
          </w:p>
        </w:tc>
        <w:tc>
          <w:tcPr>
            <w:tcW w:w="1162" w:type="dxa"/>
            <w:tcBorders>
              <w:bottom w:val="single" w:color="auto" w:sz="2" w:space="0"/>
            </w:tcBorders>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0.65</w:t>
            </w:r>
          </w:p>
        </w:tc>
        <w:tc>
          <w:tcPr>
            <w:tcW w:w="1107" w:type="dxa"/>
            <w:tcBorders>
              <w:bottom w:val="single" w:color="auto" w:sz="2" w:space="0"/>
            </w:tcBorders>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0.70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455" w:hRule="atLeast"/>
          <w:jc w:val="center"/>
        </w:trPr>
        <w:tc>
          <w:tcPr>
            <w:tcW w:w="425" w:type="dxa"/>
            <w:tcBorders>
              <w:bottom w:val="single" w:color="auto" w:sz="12" w:space="0"/>
            </w:tcBorders>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10</w:t>
            </w:r>
          </w:p>
        </w:tc>
        <w:tc>
          <w:tcPr>
            <w:tcW w:w="2354" w:type="dxa"/>
            <w:tcBorders>
              <w:bottom w:val="single" w:color="auto" w:sz="12" w:space="0"/>
            </w:tcBorders>
            <w:shd w:val="clear" w:color="auto" w:fill="DAEEF6"/>
            <w:vAlign w:val="center"/>
          </w:tcPr>
          <w:p>
            <w:pPr>
              <w:widowControl/>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企业提供的校内实践教学设备值（万元）</w:t>
            </w:r>
          </w:p>
        </w:tc>
        <w:tc>
          <w:tcPr>
            <w:tcW w:w="695" w:type="dxa"/>
            <w:tcBorders>
              <w:bottom w:val="single" w:color="auto" w:sz="12" w:space="0"/>
            </w:tcBorders>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968" w:type="dxa"/>
            <w:tcBorders>
              <w:bottom w:val="single" w:color="auto" w:sz="12" w:space="0"/>
            </w:tcBorders>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26356.60</w:t>
            </w:r>
          </w:p>
        </w:tc>
        <w:tc>
          <w:tcPr>
            <w:tcW w:w="1022" w:type="dxa"/>
            <w:tcBorders>
              <w:bottom w:val="single" w:color="auto" w:sz="12" w:space="0"/>
            </w:tcBorders>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50682.16</w:t>
            </w:r>
          </w:p>
        </w:tc>
        <w:tc>
          <w:tcPr>
            <w:tcW w:w="1111" w:type="dxa"/>
            <w:tcBorders>
              <w:bottom w:val="single" w:color="auto" w:sz="12" w:space="0"/>
            </w:tcBorders>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62968.76</w:t>
            </w:r>
          </w:p>
        </w:tc>
        <w:tc>
          <w:tcPr>
            <w:tcW w:w="1162" w:type="dxa"/>
            <w:tcBorders>
              <w:bottom w:val="single" w:color="auto" w:sz="12" w:space="0"/>
            </w:tcBorders>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125732.36</w:t>
            </w:r>
          </w:p>
        </w:tc>
        <w:tc>
          <w:tcPr>
            <w:tcW w:w="1107" w:type="dxa"/>
            <w:tcBorders>
              <w:bottom w:val="single" w:color="auto" w:sz="12" w:space="0"/>
            </w:tcBorders>
            <w:shd w:val="clear" w:color="auto" w:fill="DAEEF6"/>
            <w:vAlign w:val="center"/>
          </w:tcPr>
          <w:p>
            <w:pPr>
              <w:widowControl/>
              <w:jc w:val="center"/>
              <w:rPr>
                <w:rFonts w:ascii="宋体" w:hAnsi="宋体" w:eastAsia="宋体"/>
                <w:color w:val="000000" w:themeColor="text1"/>
                <w:szCs w:val="21"/>
                <w14:textFill>
                  <w14:solidFill>
                    <w14:schemeClr w14:val="tx1"/>
                  </w14:solidFill>
                </w14:textFill>
              </w:rPr>
            </w:pPr>
            <w:bookmarkStart w:id="111" w:name="_Hlk90798051"/>
            <w:r>
              <w:rPr>
                <w:rFonts w:hint="eastAsia" w:ascii="宋体" w:hAnsi="宋体" w:eastAsia="宋体"/>
                <w:color w:val="000000" w:themeColor="text1"/>
                <w:szCs w:val="21"/>
                <w14:textFill>
                  <w14:solidFill>
                    <w14:schemeClr w14:val="tx1"/>
                  </w14:solidFill>
                </w14:textFill>
              </w:rPr>
              <w:t>56359.16</w:t>
            </w:r>
            <w:bookmarkEnd w:id="111"/>
          </w:p>
        </w:tc>
      </w:tr>
    </w:tbl>
    <w:p>
      <w:pPr>
        <w:rPr>
          <w:rFonts w:ascii="宋体" w:hAnsi="宋体" w:eastAsia="宋体"/>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数据来源：</w:t>
      </w:r>
      <w:r>
        <w:rPr>
          <w:rFonts w:hint="eastAsia" w:ascii="宋体" w:hAnsi="宋体" w:eastAsia="宋体"/>
          <w:color w:val="000000" w:themeColor="text1"/>
          <w:szCs w:val="21"/>
          <w14:textFill>
            <w14:solidFill>
              <w14:schemeClr w14:val="tx1"/>
            </w14:solidFill>
          </w14:textFill>
        </w:rPr>
        <w:t>根据83所院校填报数据计算所得。其中，1.2.3.6.8项数据来源为</w:t>
      </w:r>
      <w:bookmarkStart w:id="112" w:name="_Hlk90929476"/>
      <w:r>
        <w:rPr>
          <w:rFonts w:ascii="宋体" w:hAnsi="宋体" w:eastAsia="宋体"/>
          <w:color w:val="000000" w:themeColor="text1"/>
          <w:szCs w:val="21"/>
          <w14:textFill>
            <w14:solidFill>
              <w14:schemeClr w14:val="tx1"/>
            </w14:solidFill>
          </w14:textFill>
        </w:rPr>
        <w:t>2017-2021年度高等职业院校人才培养工作状态数据采集与管理平台</w:t>
      </w:r>
      <w:r>
        <w:rPr>
          <w:rFonts w:hint="eastAsia" w:ascii="宋体" w:hAnsi="宋体" w:eastAsia="宋体"/>
          <w:color w:val="000000" w:themeColor="text1"/>
          <w:szCs w:val="21"/>
          <w14:textFill>
            <w14:solidFill>
              <w14:schemeClr w14:val="tx1"/>
            </w14:solidFill>
          </w14:textFill>
        </w:rPr>
        <w:t>。</w:t>
      </w:r>
    </w:p>
    <w:bookmarkEnd w:id="112"/>
    <w:p>
      <w:pPr>
        <w:spacing w:line="520" w:lineRule="exact"/>
        <w:ind w:firstLine="562" w:firstLineChars="200"/>
        <w:rPr>
          <w:rFonts w:ascii="仿宋_GB2312" w:hAnsi="仿宋" w:eastAsia="仿宋_GB2312"/>
          <w:b/>
          <w:bCs/>
          <w:color w:val="000000" w:themeColor="text1"/>
          <w:sz w:val="28"/>
          <w:szCs w:val="28"/>
          <w14:textFill>
            <w14:solidFill>
              <w14:schemeClr w14:val="tx1"/>
            </w14:solidFill>
          </w14:textFill>
        </w:rPr>
      </w:pPr>
      <w:r>
        <w:rPr>
          <w:rFonts w:hint="eastAsia" w:ascii="仿宋_GB2312" w:hAnsi="仿宋" w:eastAsia="仿宋_GB2312"/>
          <w:b/>
          <w:bCs/>
          <w:color w:val="000000" w:themeColor="text1"/>
          <w:sz w:val="28"/>
          <w:szCs w:val="28"/>
          <w14:textFill>
            <w14:solidFill>
              <w14:schemeClr w14:val="tx1"/>
            </w14:solidFill>
          </w14:textFill>
        </w:rPr>
        <w:t>2.</w:t>
      </w:r>
      <w:r>
        <w:rPr>
          <w:rFonts w:ascii="仿宋_GB2312" w:hAnsi="仿宋" w:eastAsia="仿宋_GB2312"/>
          <w:b/>
          <w:bCs/>
          <w:color w:val="000000" w:themeColor="text1"/>
          <w:sz w:val="28"/>
          <w:szCs w:val="28"/>
          <w14:textFill>
            <w14:solidFill>
              <w14:schemeClr w14:val="tx1"/>
            </w14:solidFill>
          </w14:textFill>
        </w:rPr>
        <w:t>2</w:t>
      </w:r>
      <w:r>
        <w:rPr>
          <w:rFonts w:hint="eastAsia" w:ascii="仿宋_GB2312" w:hAnsi="仿宋" w:eastAsia="仿宋_GB2312"/>
          <w:b/>
          <w:bCs/>
          <w:color w:val="000000" w:themeColor="text1"/>
          <w:sz w:val="28"/>
          <w:szCs w:val="28"/>
          <w14:textFill>
            <w14:solidFill>
              <w14:schemeClr w14:val="tx1"/>
            </w14:solidFill>
          </w14:textFill>
        </w:rPr>
        <w:t>.2信息化建设力度不断增强</w:t>
      </w:r>
    </w:p>
    <w:p>
      <w:pPr>
        <w:spacing w:line="520" w:lineRule="exact"/>
        <w:ind w:firstLine="562"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b/>
          <w:bCs/>
          <w:color w:val="000000" w:themeColor="text1"/>
          <w:sz w:val="28"/>
          <w:szCs w:val="28"/>
          <w14:textFill>
            <w14:solidFill>
              <w14:schemeClr w14:val="tx1"/>
            </w14:solidFill>
          </w14:textFill>
        </w:rPr>
        <w:t>数字化校园建设进程进一步加快。</w:t>
      </w:r>
      <w:r>
        <w:rPr>
          <w:rFonts w:hint="eastAsia" w:ascii="仿宋_GB2312" w:hAnsi="仿宋" w:eastAsia="仿宋_GB2312"/>
          <w:color w:val="000000" w:themeColor="text1"/>
          <w:sz w:val="28"/>
          <w:szCs w:val="28"/>
          <w14:textFill>
            <w14:solidFill>
              <w14:schemeClr w14:val="tx1"/>
            </w14:solidFill>
          </w14:textFill>
        </w:rPr>
        <w:t>2021年我省独立设置信息中心（办公室）的院校82所，信息化专兼职管理人员978人，信息化管理机构与队伍建设取得长足发展。网络信息点校均值为5928.96个，校园无线网络全部覆盖率的学校达66.27%；校园一卡通建成使用率为91.57%；拥有各类数字化管理系统1429套，比去年提高13.5%，重点覆盖教务管理系统、科研管理系统等领域。2021年，山东省遴选疫情防控环境下信息化应用优秀案例，高职院校入选3</w:t>
      </w:r>
      <w:r>
        <w:rPr>
          <w:rFonts w:ascii="仿宋_GB2312" w:hAnsi="仿宋" w:eastAsia="仿宋_GB2312"/>
          <w:color w:val="000000" w:themeColor="text1"/>
          <w:sz w:val="28"/>
          <w:szCs w:val="28"/>
          <w14:textFill>
            <w14:solidFill>
              <w14:schemeClr w14:val="tx1"/>
            </w14:solidFill>
          </w14:textFill>
        </w:rPr>
        <w:t>5</w:t>
      </w:r>
      <w:r>
        <w:rPr>
          <w:rFonts w:hint="eastAsia" w:ascii="仿宋_GB2312" w:hAnsi="仿宋" w:eastAsia="仿宋_GB2312"/>
          <w:color w:val="000000" w:themeColor="text1"/>
          <w:sz w:val="28"/>
          <w:szCs w:val="28"/>
          <w14:textFill>
            <w14:solidFill>
              <w14:schemeClr w14:val="tx1"/>
            </w14:solidFill>
          </w14:textFill>
        </w:rPr>
        <w:t>个。</w:t>
      </w:r>
    </w:p>
    <w:p>
      <w:pPr>
        <w:spacing w:line="520" w:lineRule="exact"/>
        <w:ind w:firstLine="562"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b/>
          <w:bCs/>
          <w:color w:val="000000" w:themeColor="text1"/>
          <w:sz w:val="28"/>
          <w:szCs w:val="28"/>
          <w14:textFill>
            <w14:solidFill>
              <w14:schemeClr w14:val="tx1"/>
            </w14:solidFill>
          </w14:textFill>
        </w:rPr>
        <w:t>线上教学资源逐渐丰富。</w:t>
      </w:r>
      <w:r>
        <w:rPr>
          <w:rFonts w:hint="eastAsia" w:ascii="仿宋_GB2312" w:hAnsi="仿宋" w:eastAsia="仿宋_GB2312"/>
          <w:color w:val="000000" w:themeColor="text1"/>
          <w:sz w:val="28"/>
          <w:szCs w:val="28"/>
          <w14:textFill>
            <w14:solidFill>
              <w14:schemeClr w14:val="tx1"/>
            </w14:solidFill>
          </w14:textFill>
        </w:rPr>
        <w:t>2021年，山东省高职院校线上开设课程数达35273门，线上开设课程数占教学计划内课程总数比例为61.14%；高职院校主持的31个国家级、46个省级专业教学资源库建设进一步完善。高职教育形成了优质课程教学资源共建共享体系，优质教学资源促进了信息化教学改革。高职院校在有效利用信息化资源的同时，积极进行课堂革命，将信息技术与教育教学紧密衔接，合力推动学习成效。</w:t>
      </w:r>
    </w:p>
    <w:p>
      <w:pPr>
        <w:spacing w:line="520" w:lineRule="exact"/>
        <w:ind w:firstLine="560" w:firstLineChars="200"/>
        <w:rPr>
          <w:rFonts w:ascii="仿宋_GB2312" w:hAnsi="仿宋" w:eastAsia="仿宋_GB2312"/>
          <w:color w:val="000000" w:themeColor="text1"/>
          <w:sz w:val="28"/>
          <w:szCs w:val="28"/>
          <w14:textFill>
            <w14:solidFill>
              <w14:schemeClr w14:val="tx1"/>
            </w14:solidFill>
          </w14:textFill>
        </w:rPr>
      </w:pPr>
    </w:p>
    <w:p>
      <w:pPr>
        <w:spacing w:line="520" w:lineRule="exact"/>
        <w:ind w:firstLine="560" w:firstLineChars="200"/>
        <w:rPr>
          <w:rFonts w:ascii="仿宋_GB2312" w:hAnsi="仿宋" w:eastAsia="仿宋_GB2312"/>
          <w:color w:val="000000" w:themeColor="text1"/>
          <w:sz w:val="28"/>
          <w:szCs w:val="28"/>
          <w14:textFill>
            <w14:solidFill>
              <w14:schemeClr w14:val="tx1"/>
            </w14:solidFill>
          </w14:textFill>
        </w:rPr>
      </w:pPr>
    </w:p>
    <w:p>
      <w:pPr>
        <w:spacing w:line="520" w:lineRule="exact"/>
        <w:ind w:firstLine="560" w:firstLineChars="200"/>
        <w:rPr>
          <w:rFonts w:ascii="仿宋_GB2312" w:hAnsi="仿宋" w:eastAsia="仿宋_GB2312"/>
          <w:color w:val="000000" w:themeColor="text1"/>
          <w:sz w:val="28"/>
          <w:szCs w:val="28"/>
          <w14:textFill>
            <w14:solidFill>
              <w14:schemeClr w14:val="tx1"/>
            </w14:solidFill>
          </w14:textFill>
        </w:rPr>
      </w:pPr>
    </w:p>
    <w:tbl>
      <w:tblPr>
        <w:tblStyle w:val="21"/>
        <w:tblW w:w="5132" w:type="pct"/>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299"/>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545" w:hRule="atLeast"/>
          <w:jc w:val="center"/>
        </w:trPr>
        <w:tc>
          <w:tcPr>
            <w:tcW w:w="9067" w:type="dxa"/>
            <w:tcBorders>
              <w:bottom w:val="single" w:color="FFFFFF" w:sz="4" w:space="0"/>
            </w:tcBorders>
            <w:shd w:val="clear" w:color="auto" w:fill="0070C0"/>
            <w:vAlign w:val="center"/>
          </w:tcPr>
          <w:p>
            <w:pPr>
              <w:spacing w:line="520" w:lineRule="exact"/>
              <w:outlineLvl w:val="1"/>
              <w:rPr>
                <w:rFonts w:ascii="楷体_GB2312" w:hAnsi="Times New Roman" w:eastAsia="楷体_GB2312" w:cs="Times New Roman"/>
                <w:b/>
                <w:color w:val="000000" w:themeColor="text1"/>
                <w:kern w:val="0"/>
                <w:sz w:val="28"/>
                <w:szCs w:val="28"/>
                <w14:textFill>
                  <w14:solidFill>
                    <w14:schemeClr w14:val="tx1"/>
                  </w14:solidFill>
                </w14:textFill>
              </w:rPr>
            </w:pPr>
            <w:bookmarkStart w:id="113" w:name="_Toc91604969"/>
            <w:bookmarkStart w:id="114" w:name="_Toc94172309"/>
            <w:bookmarkStart w:id="115" w:name="_Toc94172168"/>
            <w:bookmarkStart w:id="116" w:name="_Toc94183411"/>
            <w:r>
              <w:rPr>
                <w:rFonts w:hint="eastAsia" w:ascii="楷体_GB2312" w:hAnsi="黑体" w:eastAsia="楷体_GB2312" w:cs="黑体"/>
                <w:b/>
                <w:bCs/>
                <w:color w:val="FFFFFF" w:themeColor="background1"/>
                <w:sz w:val="28"/>
                <w:szCs w:val="28"/>
                <w14:textFill>
                  <w14:solidFill>
                    <w14:schemeClr w14:val="bg1"/>
                  </w14:solidFill>
                </w14:textFill>
              </w:rPr>
              <w:t>专栏2-1 “互联网+”教育教学，提升职业教育信息化建设水平</w:t>
            </w:r>
            <w:bookmarkEnd w:id="113"/>
            <w:bookmarkEnd w:id="114"/>
            <w:bookmarkEnd w:id="115"/>
            <w:bookmarkEnd w:id="116"/>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699" w:hRule="atLeast"/>
          <w:jc w:val="center"/>
        </w:trPr>
        <w:tc>
          <w:tcPr>
            <w:tcW w:w="9067" w:type="dxa"/>
            <w:shd w:val="clear" w:color="auto" w:fill="CDEAFF"/>
          </w:tcPr>
          <w:p>
            <w:pPr>
              <w:widowControl/>
              <w:spacing w:line="500" w:lineRule="exact"/>
              <w:ind w:firstLine="482" w:firstLineChars="200"/>
              <w:jc w:val="left"/>
              <w:rPr>
                <w:rFonts w:ascii="仿宋_GB2312" w:hAnsi="仿宋" w:eastAsia="仿宋_GB2312" w:cs="Times New Roman"/>
                <w:bCs/>
                <w:color w:val="000000" w:themeColor="text1"/>
                <w:kern w:val="0"/>
                <w:sz w:val="24"/>
                <w:szCs w:val="24"/>
                <w14:textFill>
                  <w14:solidFill>
                    <w14:schemeClr w14:val="tx1"/>
                  </w14:solidFill>
                </w14:textFill>
              </w:rPr>
            </w:pPr>
            <w:r>
              <w:rPr>
                <w:rFonts w:hint="eastAsia" w:ascii="仿宋_GB2312" w:hAnsi="仿宋" w:eastAsia="仿宋_GB2312" w:cs="Times New Roman"/>
                <w:b/>
                <w:bCs/>
                <w:color w:val="0070C0"/>
                <w:kern w:val="0"/>
                <w:sz w:val="24"/>
                <w:szCs w:val="24"/>
              </w:rPr>
              <w:t>济南职业学院</w:t>
            </w:r>
            <w:r>
              <w:rPr>
                <w:rFonts w:hint="eastAsia" w:ascii="仿宋_GB2312" w:hAnsi="仿宋" w:eastAsia="仿宋_GB2312" w:cs="Times New Roman"/>
                <w:bCs/>
                <w:color w:val="000000" w:themeColor="text1"/>
                <w:kern w:val="0"/>
                <w:sz w:val="24"/>
                <w:szCs w:val="24"/>
                <w14:textFill>
                  <w14:solidFill>
                    <w14:schemeClr w14:val="tx1"/>
                  </w14:solidFill>
                </w14:textFill>
              </w:rPr>
              <w:t>基于“超星、蓝墨云班课、雨课堂”等信息化模式改革工作，开发优质数字教学资源，分别建立创新创业教育主题空间，心理健康文学艺术教育、传统文化教育、健康生活、职业规划教育主题空间；开展移动教学大赛，支持教师在网络平台自建网络课程3423门；利用教学网络空间，立项国家级专业教学资源库4个、省级教学资源库2个，建成校级精品资源共享课程40门，省级精品资源共享课程17门，国家级在线开发课程1门。</w:t>
            </w:r>
          </w:p>
          <w:p>
            <w:pPr>
              <w:spacing w:line="500" w:lineRule="exact"/>
              <w:ind w:firstLine="482" w:firstLineChars="200"/>
              <w:rPr>
                <w:rFonts w:ascii="仿宋_GB2312" w:hAnsi="仿宋" w:eastAsia="仿宋_GB2312" w:cs="Times New Roman"/>
                <w:bCs/>
                <w:color w:val="000000" w:themeColor="text1"/>
                <w:kern w:val="0"/>
                <w:sz w:val="24"/>
                <w:szCs w:val="24"/>
                <w14:textFill>
                  <w14:solidFill>
                    <w14:schemeClr w14:val="tx1"/>
                  </w14:solidFill>
                </w14:textFill>
              </w:rPr>
            </w:pPr>
            <w:r>
              <w:rPr>
                <w:rFonts w:hint="eastAsia" w:ascii="仿宋_GB2312" w:hAnsi="仿宋" w:eastAsia="仿宋_GB2312" w:cs="Times New Roman"/>
                <w:b/>
                <w:bCs/>
                <w:color w:val="0070C0"/>
                <w:kern w:val="0"/>
                <w:sz w:val="24"/>
                <w:szCs w:val="24"/>
              </w:rPr>
              <w:t>烟台职业学院</w:t>
            </w:r>
            <w:r>
              <w:rPr>
                <w:rFonts w:hint="eastAsia" w:ascii="仿宋_GB2312" w:hAnsi="仿宋" w:eastAsia="仿宋_GB2312" w:cs="Times New Roman"/>
                <w:bCs/>
                <w:color w:val="000000" w:themeColor="text1"/>
                <w:kern w:val="0"/>
                <w:sz w:val="24"/>
                <w:szCs w:val="24"/>
                <w14:textFill>
                  <w14:solidFill>
                    <w14:schemeClr w14:val="tx1"/>
                  </w14:solidFill>
                </w14:textFill>
              </w:rPr>
              <w:t>将信息化与教学资源建设纳入“双高”校建设，在教学资源中心平台和在线开放平台两方面同时发力，建成的各类课程资源，通过智慧树、学银在线和智慧职教平台向公众开放课程，邀请全国著名信息化教育专家、在线开放课程平台讲师来校举行专题讲座，为全体教师培训课程资源建设、微课制作、在线开放课程设计与制作等内容，加大在线开放课程建设力度，促进课程教学共享应用。</w:t>
            </w:r>
          </w:p>
          <w:p>
            <w:pPr>
              <w:spacing w:line="500" w:lineRule="exact"/>
              <w:ind w:firstLine="482" w:firstLineChars="200"/>
              <w:rPr>
                <w:rFonts w:ascii="仿宋_GB2312" w:hAnsi="Times New Roman" w:eastAsia="仿宋_GB2312" w:cs="Times New Roman"/>
                <w:color w:val="000000" w:themeColor="text1"/>
                <w:kern w:val="0"/>
                <w:sz w:val="28"/>
                <w:szCs w:val="28"/>
                <w14:textFill>
                  <w14:solidFill>
                    <w14:schemeClr w14:val="tx1"/>
                  </w14:solidFill>
                </w14:textFill>
              </w:rPr>
            </w:pPr>
            <w:r>
              <w:rPr>
                <w:rFonts w:hint="eastAsia" w:ascii="仿宋_GB2312" w:hAnsi="仿宋" w:eastAsia="仿宋_GB2312" w:cs="Times New Roman"/>
                <w:b/>
                <w:bCs/>
                <w:color w:val="0070C0"/>
                <w:kern w:val="0"/>
                <w:sz w:val="24"/>
                <w:szCs w:val="24"/>
              </w:rPr>
              <w:t>临沂职业学院</w:t>
            </w:r>
            <w:r>
              <w:rPr>
                <w:rFonts w:hint="eastAsia" w:ascii="仿宋_GB2312" w:hAnsi="仿宋" w:eastAsia="仿宋_GB2312" w:cs="Times New Roman"/>
                <w:bCs/>
                <w:color w:val="000000" w:themeColor="text1"/>
                <w:kern w:val="0"/>
                <w:sz w:val="24"/>
                <w:szCs w:val="24"/>
                <w14:textFill>
                  <w14:solidFill>
                    <w14:schemeClr w14:val="tx1"/>
                  </w14:solidFill>
                </w14:textFill>
              </w:rPr>
              <w:t>围绕“数字校园融合平台”和“在线教育综合平台”两个平台的建设，加强信息化基础设施建设，强化项目质量监控，高质量完成数字校园融合平台建设等多个信息化建设项目。山东省教育厅公布的第二批教育信息化试点单位验收中成绩优秀，评为山东省教育信息化示范单位。学院信息化建设入选山东省教育厅教育信息化典型创新案例，实现了学院信息化建设跨越式发展。</w:t>
            </w:r>
          </w:p>
        </w:tc>
      </w:tr>
    </w:tbl>
    <w:p>
      <w:pPr>
        <w:spacing w:line="520" w:lineRule="exact"/>
        <w:ind w:firstLine="567"/>
        <w:outlineLvl w:val="1"/>
        <w:rPr>
          <w:rFonts w:ascii="楷体_GB2312" w:hAnsi="黑体" w:eastAsia="楷体_GB2312" w:cs="黑体"/>
          <w:bCs/>
          <w:color w:val="000000" w:themeColor="text1"/>
          <w:sz w:val="28"/>
          <w:szCs w:val="28"/>
          <w14:textFill>
            <w14:solidFill>
              <w14:schemeClr w14:val="tx1"/>
            </w14:solidFill>
          </w14:textFill>
        </w:rPr>
      </w:pPr>
      <w:bookmarkStart w:id="117" w:name="_Toc94172310"/>
      <w:bookmarkStart w:id="118" w:name="_Toc94172169"/>
      <w:bookmarkStart w:id="119" w:name="_Toc94183412"/>
      <w:r>
        <w:rPr>
          <w:rFonts w:hint="eastAsia" w:ascii="楷体_GB2312" w:hAnsi="黑体" w:eastAsia="楷体_GB2312" w:cs="黑体"/>
          <w:bCs/>
          <w:color w:val="000000" w:themeColor="text1"/>
          <w:sz w:val="28"/>
          <w:szCs w:val="28"/>
          <w14:textFill>
            <w14:solidFill>
              <w14:schemeClr w14:val="tx1"/>
            </w14:solidFill>
          </w14:textFill>
        </w:rPr>
        <w:t>2.</w:t>
      </w:r>
      <w:r>
        <w:rPr>
          <w:rFonts w:ascii="楷体_GB2312" w:hAnsi="黑体" w:eastAsia="楷体_GB2312" w:cs="黑体"/>
          <w:bCs/>
          <w:color w:val="000000" w:themeColor="text1"/>
          <w:sz w:val="28"/>
          <w:szCs w:val="28"/>
          <w14:textFill>
            <w14:solidFill>
              <w14:schemeClr w14:val="tx1"/>
            </w14:solidFill>
          </w14:textFill>
        </w:rPr>
        <w:t>3</w:t>
      </w:r>
      <w:r>
        <w:rPr>
          <w:rFonts w:hint="eastAsia" w:ascii="楷体_GB2312" w:hAnsi="黑体" w:eastAsia="楷体_GB2312" w:cs="黑体"/>
          <w:bCs/>
          <w:color w:val="000000" w:themeColor="text1"/>
          <w:sz w:val="28"/>
          <w:szCs w:val="28"/>
          <w14:textFill>
            <w14:solidFill>
              <w14:schemeClr w14:val="tx1"/>
            </w14:solidFill>
          </w14:textFill>
        </w:rPr>
        <w:t>经费保障</w:t>
      </w:r>
      <w:bookmarkEnd w:id="117"/>
      <w:bookmarkEnd w:id="118"/>
      <w:bookmarkEnd w:id="119"/>
    </w:p>
    <w:p>
      <w:pPr>
        <w:spacing w:line="50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山东</w:t>
      </w:r>
      <w:r>
        <w:rPr>
          <w:rFonts w:ascii="仿宋_GB2312" w:hAnsi="仿宋" w:eastAsia="仿宋_GB2312"/>
          <w:color w:val="000000" w:themeColor="text1"/>
          <w:sz w:val="28"/>
          <w:szCs w:val="28"/>
          <w14:textFill>
            <w14:solidFill>
              <w14:schemeClr w14:val="tx1"/>
            </w14:solidFill>
          </w14:textFill>
        </w:rPr>
        <w:t>省</w:t>
      </w:r>
      <w:r>
        <w:rPr>
          <w:rFonts w:hint="eastAsia" w:ascii="仿宋_GB2312" w:hAnsi="仿宋" w:eastAsia="仿宋_GB2312"/>
          <w:color w:val="000000" w:themeColor="text1"/>
          <w:sz w:val="28"/>
          <w:szCs w:val="28"/>
          <w14:textFill>
            <w14:solidFill>
              <w14:schemeClr w14:val="tx1"/>
            </w14:solidFill>
          </w14:textFill>
        </w:rPr>
        <w:t>建立完善高职教育经费投入机制，不断加大省级和地市级职业教育经费投入力度。2021年，山东高职院校总收入173.85亿元，比去年增长11.41亿元，总支出177.64亿元，比去年增加17.65亿元。落实公办高职院校生均拨款制度，逐步提高高职院校财政性生均经费标准和生均公用经费标准，实行教育部门办学与行业办学无差别拨款，2021年高职年生均财政拨款公办院校平均13658.98元，其中专项补贴4723.35元，高于国家高职院校年生均财政拨款水平1.2万元的标准。企业支持高职院校办学力度逐年加大，提供校内实践教学设备值稳步增长，达到126374万元，比去年增长近42.49%。企业兼职教师课酬及企业兼职教师人均财政补贴分别为14104.75万元、1574.38万元，占比11.2%，较去年有所下降，需要加大财政专项补贴，进一步落实企业兼职教师管理办法，按标准支付兼职教师课酬。</w:t>
      </w:r>
    </w:p>
    <w:p>
      <w:pPr>
        <w:jc w:val="center"/>
        <w:rPr>
          <w:rFonts w:ascii="宋体" w:hAnsi="宋体" w:eastAsia="宋体"/>
          <w:color w:val="000000" w:themeColor="text1"/>
          <w:szCs w:val="21"/>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inline distT="0" distB="0" distL="0" distR="0">
            <wp:extent cx="5316855" cy="2217420"/>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left"/>
        <w:rPr>
          <w:rFonts w:ascii="宋体" w:hAnsi="宋体" w:eastAsia="宋体"/>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数据来源：</w:t>
      </w:r>
      <w:r>
        <w:rPr>
          <w:rFonts w:ascii="宋体" w:hAnsi="宋体" w:eastAsia="宋体"/>
          <w:color w:val="000000" w:themeColor="text1"/>
          <w:szCs w:val="21"/>
          <w14:textFill>
            <w14:solidFill>
              <w14:schemeClr w14:val="tx1"/>
            </w14:solidFill>
          </w14:textFill>
        </w:rPr>
        <w:t>2017-2021年度高等职业院校人才培养工作状态数据采集与管理平台</w:t>
      </w:r>
      <w:r>
        <w:rPr>
          <w:rFonts w:hint="eastAsia" w:ascii="宋体" w:hAnsi="宋体" w:eastAsia="宋体"/>
          <w:color w:val="000000" w:themeColor="text1"/>
          <w:szCs w:val="21"/>
          <w14:textFill>
            <w14:solidFill>
              <w14:schemeClr w14:val="tx1"/>
            </w14:solidFill>
          </w14:textFill>
        </w:rPr>
        <w:t>。</w:t>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120" w:name="_Toc91604971"/>
      <w:bookmarkStart w:id="121" w:name="_Toc94172170"/>
      <w:bookmarkStart w:id="122" w:name="_Toc94172311"/>
      <w:bookmarkStart w:id="123" w:name="_Toc94183413"/>
      <w:r>
        <w:rPr>
          <w:rFonts w:hint="eastAsia" w:ascii="宋体" w:hAnsi="宋体" w:eastAsia="宋体"/>
          <w:b/>
          <w:bCs/>
          <w:color w:val="000000" w:themeColor="text1"/>
          <w:sz w:val="24"/>
          <w:szCs w:val="24"/>
          <w14:textFill>
            <w14:solidFill>
              <w14:schemeClr w14:val="tx1"/>
            </w14:solidFill>
          </w14:textFill>
        </w:rPr>
        <w:t>图2-1</w:t>
      </w:r>
      <w:r>
        <w:rPr>
          <w:rFonts w:ascii="宋体" w:hAnsi="宋体" w:eastAsia="宋体"/>
          <w:b/>
          <w:bCs/>
          <w:color w:val="000000" w:themeColor="text1"/>
          <w:sz w:val="24"/>
          <w:szCs w:val="24"/>
          <w14:textFill>
            <w14:solidFill>
              <w14:schemeClr w14:val="tx1"/>
            </w14:solidFill>
          </w14:textFill>
        </w:rPr>
        <w:t xml:space="preserve">  </w:t>
      </w:r>
      <w:r>
        <w:rPr>
          <w:rFonts w:hint="eastAsia" w:ascii="宋体" w:hAnsi="宋体" w:eastAsia="宋体"/>
          <w:b/>
          <w:bCs/>
          <w:color w:val="000000" w:themeColor="text1"/>
          <w:sz w:val="24"/>
          <w:szCs w:val="24"/>
          <w14:textFill>
            <w14:solidFill>
              <w14:schemeClr w14:val="tx1"/>
            </w14:solidFill>
          </w14:textFill>
        </w:rPr>
        <w:t>2017—2021年山东省高职院校教育经费总投入及增幅</w:t>
      </w:r>
      <w:bookmarkEnd w:id="120"/>
      <w:bookmarkEnd w:id="121"/>
      <w:bookmarkEnd w:id="122"/>
      <w:bookmarkEnd w:id="123"/>
    </w:p>
    <w:p>
      <w:pPr>
        <w:spacing w:line="500" w:lineRule="exact"/>
        <w:ind w:firstLine="562" w:firstLineChars="200"/>
        <w:rPr>
          <w:rFonts w:ascii="仿宋_GB2312" w:hAnsi="仿宋" w:eastAsia="仿宋_GB2312"/>
          <w:b/>
          <w:bCs/>
          <w:color w:val="000000" w:themeColor="text1"/>
          <w:sz w:val="28"/>
          <w:szCs w:val="28"/>
          <w14:textFill>
            <w14:solidFill>
              <w14:schemeClr w14:val="tx1"/>
            </w14:solidFill>
          </w14:textFill>
        </w:rPr>
      </w:pPr>
      <w:r>
        <w:rPr>
          <w:rFonts w:hint="eastAsia" w:ascii="仿宋_GB2312" w:hAnsi="仿宋" w:eastAsia="仿宋_GB2312"/>
          <w:b/>
          <w:bCs/>
          <w:color w:val="000000" w:themeColor="text1"/>
          <w:sz w:val="28"/>
          <w:szCs w:val="28"/>
          <w14:textFill>
            <w14:solidFill>
              <w14:schemeClr w14:val="tx1"/>
            </w14:solidFill>
          </w14:textFill>
        </w:rPr>
        <w:t>2.</w:t>
      </w:r>
      <w:r>
        <w:rPr>
          <w:rFonts w:ascii="仿宋_GB2312" w:hAnsi="仿宋" w:eastAsia="仿宋_GB2312"/>
          <w:b/>
          <w:bCs/>
          <w:color w:val="000000" w:themeColor="text1"/>
          <w:sz w:val="28"/>
          <w:szCs w:val="28"/>
          <w14:textFill>
            <w14:solidFill>
              <w14:schemeClr w14:val="tx1"/>
            </w14:solidFill>
          </w14:textFill>
        </w:rPr>
        <w:t>3</w:t>
      </w:r>
      <w:r>
        <w:rPr>
          <w:rFonts w:hint="eastAsia" w:ascii="仿宋_GB2312" w:hAnsi="仿宋" w:eastAsia="仿宋_GB2312"/>
          <w:b/>
          <w:bCs/>
          <w:color w:val="000000" w:themeColor="text1"/>
          <w:sz w:val="28"/>
          <w:szCs w:val="28"/>
          <w14:textFill>
            <w14:solidFill>
              <w14:schemeClr w14:val="tx1"/>
            </w14:solidFill>
          </w14:textFill>
        </w:rPr>
        <w:t>.</w:t>
      </w:r>
      <w:r>
        <w:rPr>
          <w:rFonts w:ascii="仿宋_GB2312" w:hAnsi="仿宋" w:eastAsia="仿宋_GB2312"/>
          <w:b/>
          <w:bCs/>
          <w:color w:val="000000" w:themeColor="text1"/>
          <w:sz w:val="28"/>
          <w:szCs w:val="28"/>
          <w14:textFill>
            <w14:solidFill>
              <w14:schemeClr w14:val="tx1"/>
            </w14:solidFill>
          </w14:textFill>
        </w:rPr>
        <w:t>1</w:t>
      </w:r>
      <w:r>
        <w:rPr>
          <w:rFonts w:hint="eastAsia" w:ascii="仿宋_GB2312" w:hAnsi="仿宋" w:eastAsia="仿宋_GB2312"/>
          <w:b/>
          <w:bCs/>
          <w:color w:val="000000" w:themeColor="text1"/>
          <w:sz w:val="28"/>
          <w:szCs w:val="28"/>
          <w14:textFill>
            <w14:solidFill>
              <w14:schemeClr w14:val="tx1"/>
            </w14:solidFill>
          </w14:textFill>
        </w:rPr>
        <w:t>学生资助制度建设日益完善</w:t>
      </w:r>
    </w:p>
    <w:p>
      <w:pPr>
        <w:spacing w:line="50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山东省职业院校资助政策制度体系进一步完善，建立信息化平台，推进学生资助精准化、规范化、标准化进程。将“奖、助、勤、免、贷”等多项资助手段进行整合，不断推出学生资助活动，扩大奖助学金覆盖面，提高资助补助标准，丰富各类资助形式。</w:t>
      </w:r>
    </w:p>
    <w:p>
      <w:pPr>
        <w:spacing w:line="500" w:lineRule="exact"/>
        <w:ind w:firstLine="562" w:firstLineChars="20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仿宋" w:eastAsia="仿宋_GB2312"/>
          <w:b/>
          <w:bCs/>
          <w:color w:val="000000" w:themeColor="text1"/>
          <w:sz w:val="28"/>
          <w:szCs w:val="28"/>
          <w14:textFill>
            <w14:solidFill>
              <w14:schemeClr w14:val="tx1"/>
            </w14:solidFill>
          </w14:textFill>
        </w:rPr>
        <w:t>学生资助人数与资金不断增长。</w:t>
      </w:r>
      <w:r>
        <w:rPr>
          <w:rFonts w:hint="eastAsia" w:ascii="仿宋_GB2312" w:hAnsi="仿宋" w:eastAsia="仿宋_GB2312"/>
          <w:color w:val="000000" w:themeColor="text1"/>
          <w:sz w:val="28"/>
          <w:szCs w:val="28"/>
          <w14:textFill>
            <w14:solidFill>
              <w14:schemeClr w14:val="tx1"/>
            </w14:solidFill>
          </w14:textFill>
        </w:rPr>
        <w:t>2021年，全省共资助学生35.09万人次，资助金额9.4亿元；其中奖学金发放学生数11.46万人次，资助金额19614万元；助学金发放学生数12.7万人次，资助金额35150万元；资助困难补助学生4.7万人次，资助金额2138万元；资助减免学杂费学生17.7万人次，资助金额11916万元；资助勤工助学学生1.87万人次，资助金额1363万元。</w:t>
      </w:r>
      <w:r>
        <w:rPr>
          <w:rStyle w:val="27"/>
          <w:rFonts w:hint="eastAsia" w:ascii="仿宋_GB2312" w:hAnsi="Times New Roman" w:eastAsia="仿宋_GB2312" w:cs="Times New Roman"/>
          <w:color w:val="000000" w:themeColor="text1"/>
          <w:sz w:val="28"/>
          <w:szCs w:val="28"/>
          <w14:textFill>
            <w14:solidFill>
              <w14:schemeClr w14:val="tx1"/>
            </w14:solidFill>
          </w14:textFill>
        </w:rPr>
        <w:footnoteReference w:id="0"/>
      </w:r>
    </w:p>
    <w:p>
      <w:pPr>
        <w:spacing w:line="500" w:lineRule="exact"/>
        <w:ind w:firstLine="562"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b/>
          <w:bCs/>
          <w:color w:val="000000" w:themeColor="text1"/>
          <w:sz w:val="28"/>
          <w:szCs w:val="28"/>
          <w14:textFill>
            <w14:solidFill>
              <w14:schemeClr w14:val="tx1"/>
            </w14:solidFill>
          </w14:textFill>
        </w:rPr>
        <w:t>学生资助形式不断丰富。</w:t>
      </w:r>
      <w:r>
        <w:rPr>
          <w:rFonts w:hint="eastAsia" w:ascii="仿宋_GB2312" w:hAnsi="仿宋" w:eastAsia="仿宋_GB2312"/>
          <w:color w:val="000000" w:themeColor="text1"/>
          <w:sz w:val="28"/>
          <w:szCs w:val="28"/>
          <w14:textFill>
            <w14:solidFill>
              <w14:schemeClr w14:val="tx1"/>
            </w14:solidFill>
          </w14:textFill>
        </w:rPr>
        <w:t>通过开展资助系列主题活动，为经济困难学生开设“绿色通道”，不断加大对家庭经济困难学生的支持力度，进一步减轻贷款学生经济负担。通过全国学生资助管理信息系统、山东省建档立卡系统等系统做好数据比对工作，全面掌握建档立卡、低保家庭、孤儿等特殊困难学生数据，做好困难生认定工作。发放奖助学金，通过提供学生平台自我展示、召开企业奖助学金签订等为学生成人成才提供便利与资金支持。</w:t>
      </w:r>
    </w:p>
    <w:tbl>
      <w:tblPr>
        <w:tblStyle w:val="21"/>
        <w:tblW w:w="5215" w:type="pct"/>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45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5" w:hRule="atLeast"/>
          <w:jc w:val="center"/>
        </w:trPr>
        <w:tc>
          <w:tcPr>
            <w:tcW w:w="9214" w:type="dxa"/>
            <w:tcBorders>
              <w:bottom w:val="single" w:color="FFFFFF" w:sz="4" w:space="0"/>
            </w:tcBorders>
            <w:shd w:val="clear" w:color="auto" w:fill="0070C0"/>
            <w:vAlign w:val="center"/>
          </w:tcPr>
          <w:p>
            <w:pPr>
              <w:spacing w:line="520" w:lineRule="exact"/>
              <w:outlineLvl w:val="1"/>
              <w:rPr>
                <w:rFonts w:ascii="楷体_GB2312" w:hAnsi="楷体" w:eastAsia="楷体_GB2312" w:cs="Times New Roman"/>
                <w:b/>
                <w:color w:val="000000" w:themeColor="text1"/>
                <w:kern w:val="0"/>
                <w:sz w:val="28"/>
                <w:szCs w:val="28"/>
                <w14:textFill>
                  <w14:solidFill>
                    <w14:schemeClr w14:val="tx1"/>
                  </w14:solidFill>
                </w14:textFill>
              </w:rPr>
            </w:pPr>
            <w:bookmarkStart w:id="124" w:name="_Toc94172171"/>
            <w:bookmarkStart w:id="125" w:name="_Toc94172312"/>
            <w:bookmarkStart w:id="126" w:name="_Toc91604972"/>
            <w:bookmarkStart w:id="127" w:name="_Toc94183414"/>
            <w:r>
              <w:rPr>
                <w:rFonts w:hint="eastAsia" w:ascii="楷体_GB2312" w:hAnsi="黑体" w:eastAsia="楷体_GB2312" w:cs="黑体"/>
                <w:b/>
                <w:bCs/>
                <w:color w:val="FFFFFF" w:themeColor="background1"/>
                <w:sz w:val="28"/>
                <w:szCs w:val="28"/>
                <w14:textFill>
                  <w14:solidFill>
                    <w14:schemeClr w14:val="bg1"/>
                  </w14:solidFill>
                </w14:textFill>
              </w:rPr>
              <w:t>专栏2-</w:t>
            </w:r>
            <w:r>
              <w:rPr>
                <w:rFonts w:ascii="楷体_GB2312" w:hAnsi="黑体" w:eastAsia="楷体_GB2312" w:cs="黑体"/>
                <w:b/>
                <w:bCs/>
                <w:color w:val="FFFFFF" w:themeColor="background1"/>
                <w:sz w:val="28"/>
                <w:szCs w:val="28"/>
                <w14:textFill>
                  <w14:solidFill>
                    <w14:schemeClr w14:val="bg1"/>
                  </w14:solidFill>
                </w14:textFill>
              </w:rPr>
              <w:t>2</w:t>
            </w:r>
            <w:r>
              <w:rPr>
                <w:rFonts w:hint="eastAsia" w:ascii="楷体_GB2312" w:hAnsi="黑体" w:eastAsia="楷体_GB2312" w:cs="黑体"/>
                <w:b/>
                <w:bCs/>
                <w:color w:val="FFFFFF" w:themeColor="background1"/>
                <w:sz w:val="28"/>
                <w:szCs w:val="28"/>
                <w14:textFill>
                  <w14:solidFill>
                    <w14:schemeClr w14:val="bg1"/>
                  </w14:solidFill>
                </w14:textFill>
              </w:rPr>
              <w:t xml:space="preserve"> 多措并举合力打造学生资助体系，助力学生成才</w:t>
            </w:r>
            <w:bookmarkEnd w:id="124"/>
            <w:bookmarkEnd w:id="125"/>
            <w:bookmarkEnd w:id="126"/>
            <w:bookmarkEnd w:id="127"/>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9" w:hRule="atLeast"/>
          <w:jc w:val="center"/>
        </w:trPr>
        <w:tc>
          <w:tcPr>
            <w:tcW w:w="9214" w:type="dxa"/>
            <w:shd w:val="clear" w:color="auto" w:fill="CDEAFF"/>
          </w:tcPr>
          <w:p>
            <w:pPr>
              <w:widowControl/>
              <w:spacing w:line="480" w:lineRule="exact"/>
              <w:ind w:firstLine="482" w:firstLineChars="200"/>
              <w:rPr>
                <w:rFonts w:ascii="仿宋_GB2312" w:hAnsi="仿宋" w:eastAsia="仿宋_GB2312" w:cs="Times New Roman"/>
                <w:b/>
                <w:bCs/>
                <w:color w:val="000000" w:themeColor="text1"/>
                <w:kern w:val="0"/>
                <w:sz w:val="24"/>
                <w:szCs w:val="24"/>
                <w14:textFill>
                  <w14:solidFill>
                    <w14:schemeClr w14:val="tx1"/>
                  </w14:solidFill>
                </w14:textFill>
              </w:rPr>
            </w:pPr>
            <w:r>
              <w:rPr>
                <w:rFonts w:hint="eastAsia" w:ascii="仿宋_GB2312" w:hAnsi="仿宋" w:eastAsia="仿宋_GB2312" w:cs="Times New Roman"/>
                <w:b/>
                <w:bCs/>
                <w:color w:val="0070C0"/>
                <w:kern w:val="0"/>
                <w:sz w:val="24"/>
                <w:szCs w:val="24"/>
              </w:rPr>
              <w:t>滨州职业学院</w:t>
            </w:r>
            <w:r>
              <w:rPr>
                <w:rFonts w:hint="eastAsia" w:ascii="仿宋_GB2312" w:hAnsi="仿宋" w:eastAsia="仿宋_GB2312" w:cs="Times New Roman"/>
                <w:bCs/>
                <w:color w:val="000000" w:themeColor="text1"/>
                <w:kern w:val="0"/>
                <w:sz w:val="24"/>
                <w:szCs w:val="24"/>
                <w14:textFill>
                  <w14:solidFill>
                    <w14:schemeClr w14:val="tx1"/>
                  </w14:solidFill>
                </w14:textFill>
              </w:rPr>
              <w:t>全面推进学生资助精准化、规范化、标准化进程。建立信息化平台，推进学生资助精准化、规范化、标准化进程；以“爱心传递”、资助诚信教育系列主题活动为依托，锻造资助育人品牌。2021年度共计发放奖助学金、应征入伍直招士官学费补偿、退役复学学费减免、退役士兵助学金、退役士兵生活补助费、建档立卡学费减免（含助学贷款、勤工助学）累计3852.707万元。</w:t>
            </w:r>
          </w:p>
          <w:p>
            <w:pPr>
              <w:widowControl/>
              <w:spacing w:line="480" w:lineRule="exact"/>
              <w:ind w:firstLine="482" w:firstLineChars="200"/>
              <w:rPr>
                <w:rFonts w:ascii="仿宋_GB2312" w:hAnsi="仿宋" w:eastAsia="仿宋_GB2312" w:cs="Times New Roman"/>
                <w:bCs/>
                <w:color w:val="000000" w:themeColor="text1"/>
                <w:kern w:val="0"/>
                <w:sz w:val="24"/>
                <w:szCs w:val="24"/>
                <w14:textFill>
                  <w14:solidFill>
                    <w14:schemeClr w14:val="tx1"/>
                  </w14:solidFill>
                </w14:textFill>
              </w:rPr>
            </w:pPr>
            <w:r>
              <w:rPr>
                <w:rFonts w:hint="eastAsia" w:ascii="仿宋_GB2312" w:hAnsi="仿宋" w:eastAsia="仿宋_GB2312" w:cs="Times New Roman"/>
                <w:b/>
                <w:bCs/>
                <w:color w:val="0070C0"/>
                <w:kern w:val="0"/>
                <w:sz w:val="24"/>
                <w:szCs w:val="24"/>
              </w:rPr>
              <w:t>山东畜牧兽医职业学院</w:t>
            </w:r>
            <w:r>
              <w:rPr>
                <w:rFonts w:hint="eastAsia" w:ascii="仿宋_GB2312" w:hAnsi="仿宋" w:eastAsia="仿宋_GB2312" w:cs="Times New Roman"/>
                <w:bCs/>
                <w:color w:val="000000" w:themeColor="text1"/>
                <w:kern w:val="0"/>
                <w:sz w:val="24"/>
                <w:szCs w:val="24"/>
                <w14:textFill>
                  <w14:solidFill>
                    <w14:schemeClr w14:val="tx1"/>
                  </w14:solidFill>
                </w14:textFill>
              </w:rPr>
              <w:t>实施精准管理，精准资助。坚持“不让任何一名学生因家庭困难而失学”理念，通过全国学生资助管理信息系统、山东省建档立卡系统等系统做好数据比对工作，召开企业奖助学金签订仪式、奖助学金颁发大会等方式，表彰勉励优秀学生。全年发放奖优、助困、引导类资助项目金额1970万元，受益学生9600余人次。</w:t>
            </w:r>
          </w:p>
          <w:p>
            <w:pPr>
              <w:spacing w:line="480" w:lineRule="exact"/>
              <w:ind w:firstLine="482" w:firstLineChars="200"/>
              <w:rPr>
                <w:rFonts w:ascii="仿宋_GB2312" w:hAnsi="Times New Roman" w:eastAsia="仿宋_GB2312" w:cs="Times New Roman"/>
                <w:color w:val="000000" w:themeColor="text1"/>
                <w:kern w:val="0"/>
                <w:sz w:val="28"/>
                <w:szCs w:val="28"/>
                <w14:textFill>
                  <w14:solidFill>
                    <w14:schemeClr w14:val="tx1"/>
                  </w14:solidFill>
                </w14:textFill>
              </w:rPr>
            </w:pPr>
            <w:r>
              <w:rPr>
                <w:rFonts w:hint="eastAsia" w:ascii="仿宋_GB2312" w:hAnsi="仿宋" w:eastAsia="仿宋_GB2312" w:cs="Times New Roman"/>
                <w:b/>
                <w:bCs/>
                <w:color w:val="0070C0"/>
                <w:kern w:val="0"/>
                <w:sz w:val="24"/>
                <w:szCs w:val="24"/>
              </w:rPr>
              <w:t>青岛港湾职业技术学院</w:t>
            </w:r>
            <w:r>
              <w:rPr>
                <w:rFonts w:hint="eastAsia" w:ascii="仿宋_GB2312" w:hAnsi="仿宋" w:eastAsia="仿宋_GB2312" w:cs="Times New Roman"/>
                <w:bCs/>
                <w:color w:val="000000" w:themeColor="text1"/>
                <w:kern w:val="0"/>
                <w:sz w:val="24"/>
                <w:szCs w:val="24"/>
                <w14:textFill>
                  <w14:solidFill>
                    <w14:schemeClr w14:val="tx1"/>
                  </w14:solidFill>
                </w14:textFill>
              </w:rPr>
              <w:t>持续开展“爱心传递”资助育人活动，通过奖学金评选发放环节，培养学生争先创优的奋斗精神；通过国家助学金申请发放环节，开展励志教育和感恩教育；通过国家助学贷款办理中，开展诚信和金融常识教育；通过勤工助学活动环节，着力培养学生的劳动意识和自强自立精神；通过应征入伍学费补偿贷款代偿等环节，培育学生树立正确的成才观、就业观和价值观；持续深入地把社会主义核心价值观融入资助工作全过程。</w:t>
            </w:r>
          </w:p>
        </w:tc>
      </w:tr>
    </w:tbl>
    <w:p>
      <w:pPr>
        <w:spacing w:line="520" w:lineRule="exact"/>
        <w:ind w:firstLine="567"/>
        <w:outlineLvl w:val="1"/>
        <w:rPr>
          <w:rFonts w:ascii="楷体_GB2312" w:hAnsi="黑体" w:eastAsia="楷体_GB2312" w:cs="黑体"/>
          <w:bCs/>
          <w:color w:val="000000" w:themeColor="text1"/>
          <w:sz w:val="28"/>
          <w:szCs w:val="28"/>
          <w14:textFill>
            <w14:solidFill>
              <w14:schemeClr w14:val="tx1"/>
            </w14:solidFill>
          </w14:textFill>
        </w:rPr>
      </w:pPr>
      <w:bookmarkStart w:id="128" w:name="_Toc94172172"/>
      <w:bookmarkStart w:id="129" w:name="_Toc94172313"/>
      <w:bookmarkStart w:id="130" w:name="_Toc94183415"/>
      <w:r>
        <w:rPr>
          <w:rFonts w:hint="eastAsia" w:ascii="楷体_GB2312" w:hAnsi="黑体" w:eastAsia="楷体_GB2312" w:cs="黑体"/>
          <w:bCs/>
          <w:color w:val="000000" w:themeColor="text1"/>
          <w:sz w:val="28"/>
          <w:szCs w:val="28"/>
          <w14:textFill>
            <w14:solidFill>
              <w14:schemeClr w14:val="tx1"/>
            </w14:solidFill>
          </w14:textFill>
        </w:rPr>
        <w:t>2.</w:t>
      </w:r>
      <w:r>
        <w:rPr>
          <w:rFonts w:ascii="楷体_GB2312" w:hAnsi="黑体" w:eastAsia="楷体_GB2312" w:cs="黑体"/>
          <w:bCs/>
          <w:color w:val="000000" w:themeColor="text1"/>
          <w:sz w:val="28"/>
          <w:szCs w:val="28"/>
          <w14:textFill>
            <w14:solidFill>
              <w14:schemeClr w14:val="tx1"/>
            </w14:solidFill>
          </w14:textFill>
        </w:rPr>
        <w:t>4</w:t>
      </w:r>
      <w:r>
        <w:rPr>
          <w:rFonts w:hint="eastAsia" w:ascii="楷体_GB2312" w:hAnsi="黑体" w:eastAsia="楷体_GB2312" w:cs="黑体"/>
          <w:bCs/>
          <w:color w:val="000000" w:themeColor="text1"/>
          <w:sz w:val="28"/>
          <w:szCs w:val="28"/>
          <w14:textFill>
            <w14:solidFill>
              <w14:schemeClr w14:val="tx1"/>
            </w14:solidFill>
          </w14:textFill>
        </w:rPr>
        <w:t>师资队伍</w:t>
      </w:r>
      <w:bookmarkEnd w:id="128"/>
      <w:bookmarkEnd w:id="129"/>
      <w:bookmarkEnd w:id="130"/>
    </w:p>
    <w:p>
      <w:pPr>
        <w:spacing w:line="500" w:lineRule="exact"/>
        <w:ind w:firstLine="562" w:firstLineChars="200"/>
        <w:rPr>
          <w:rFonts w:ascii="仿宋_GB2312" w:hAnsi="仿宋" w:eastAsia="仿宋_GB2312"/>
          <w:b/>
          <w:bCs/>
          <w:color w:val="000000" w:themeColor="text1"/>
          <w:sz w:val="28"/>
          <w:szCs w:val="28"/>
          <w14:textFill>
            <w14:solidFill>
              <w14:schemeClr w14:val="tx1"/>
            </w14:solidFill>
          </w14:textFill>
        </w:rPr>
      </w:pPr>
      <w:r>
        <w:rPr>
          <w:rFonts w:hint="eastAsia" w:ascii="仿宋_GB2312" w:hAnsi="仿宋" w:eastAsia="仿宋_GB2312"/>
          <w:b/>
          <w:bCs/>
          <w:color w:val="000000" w:themeColor="text1"/>
          <w:sz w:val="28"/>
          <w:szCs w:val="28"/>
          <w14:textFill>
            <w14:solidFill>
              <w14:schemeClr w14:val="tx1"/>
            </w14:solidFill>
          </w14:textFill>
        </w:rPr>
        <w:t>2.</w:t>
      </w:r>
      <w:r>
        <w:rPr>
          <w:rFonts w:ascii="仿宋_GB2312" w:hAnsi="仿宋" w:eastAsia="仿宋_GB2312"/>
          <w:b/>
          <w:bCs/>
          <w:color w:val="000000" w:themeColor="text1"/>
          <w:sz w:val="28"/>
          <w:szCs w:val="28"/>
          <w14:textFill>
            <w14:solidFill>
              <w14:schemeClr w14:val="tx1"/>
            </w14:solidFill>
          </w14:textFill>
        </w:rPr>
        <w:t>4</w:t>
      </w:r>
      <w:r>
        <w:rPr>
          <w:rFonts w:hint="eastAsia" w:ascii="仿宋_GB2312" w:hAnsi="仿宋" w:eastAsia="仿宋_GB2312"/>
          <w:b/>
          <w:bCs/>
          <w:color w:val="000000" w:themeColor="text1"/>
          <w:sz w:val="28"/>
          <w:szCs w:val="28"/>
          <w14:textFill>
            <w14:solidFill>
              <w14:schemeClr w14:val="tx1"/>
            </w14:solidFill>
          </w14:textFill>
        </w:rPr>
        <w:t>.1生师比明显改善</w:t>
      </w:r>
    </w:p>
    <w:p>
      <w:pPr>
        <w:spacing w:line="50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根据教育部印发的《普通高等学校基本办学条件指标（试行）》（教发〔2004〕2号），高职专科学校生师比不应高于18:1，山东省高职院校生师比均低于此标准，自2017年至2019年呈现逐年降低态势，2020、2021年两年生师比略有增长，这与2021年是高职百万扩招政策实施的最后一年有一定原因。基于近五年数据，高职院校生师比结果较为令人满意，但仍需根据学生数量、市场需求及专业设置等要求及时补充师资，在师资量与质上实现双提高。</w:t>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131" w:name="_Toc91604974"/>
      <w:bookmarkStart w:id="132" w:name="_Toc94172173"/>
      <w:bookmarkStart w:id="133" w:name="_Toc94172314"/>
      <w:bookmarkStart w:id="134" w:name="_Toc91606491"/>
      <w:bookmarkStart w:id="135" w:name="_Toc94183416"/>
      <w:r>
        <w:rPr>
          <w:rFonts w:hint="eastAsia" w:ascii="宋体" w:hAnsi="宋体" w:eastAsia="宋体"/>
          <w:color w:val="000000" w:themeColor="text1"/>
          <w:sz w:val="24"/>
          <w:szCs w:val="24"/>
          <w14:textFill>
            <w14:solidFill>
              <w14:schemeClr w14:val="tx1"/>
            </w14:solidFill>
          </w14:textFill>
        </w:rPr>
        <w:t>表2-</w:t>
      </w:r>
      <w:r>
        <w:rPr>
          <w:rFonts w:ascii="宋体" w:hAnsi="宋体" w:eastAsia="宋体"/>
          <w:color w:val="000000" w:themeColor="text1"/>
          <w:sz w:val="24"/>
          <w:szCs w:val="24"/>
          <w14:textFill>
            <w14:solidFill>
              <w14:schemeClr w14:val="tx1"/>
            </w14:solidFill>
          </w14:textFill>
        </w:rPr>
        <w:t xml:space="preserve">3 </w:t>
      </w:r>
      <w:r>
        <w:rPr>
          <w:rFonts w:hint="eastAsia" w:ascii="宋体" w:hAnsi="宋体" w:eastAsia="宋体"/>
          <w:color w:val="000000" w:themeColor="text1"/>
          <w:sz w:val="24"/>
          <w:szCs w:val="24"/>
          <w14:textFill>
            <w14:solidFill>
              <w14:schemeClr w14:val="tx1"/>
            </w14:solidFill>
          </w14:textFill>
        </w:rPr>
        <w:t>2017—2021年职业院校生师比变动情况</w:t>
      </w:r>
      <w:bookmarkEnd w:id="131"/>
      <w:bookmarkEnd w:id="132"/>
      <w:bookmarkEnd w:id="133"/>
      <w:bookmarkEnd w:id="134"/>
      <w:bookmarkEnd w:id="135"/>
    </w:p>
    <w:tbl>
      <w:tblPr>
        <w:tblStyle w:val="22"/>
        <w:tblW w:w="8629" w:type="dxa"/>
        <w:jc w:val="center"/>
        <w:tblBorders>
          <w:top w:val="single" w:color="auto" w:sz="12" w:space="0"/>
          <w:left w:val="none" w:color="auto" w:sz="0" w:space="0"/>
          <w:bottom w:val="single" w:color="auto" w:sz="12" w:space="0"/>
          <w:right w:val="none" w:color="auto" w:sz="0" w:space="0"/>
          <w:insideH w:val="single" w:color="2F5496" w:themeColor="accent1" w:themeShade="BF" w:sz="2" w:space="0"/>
          <w:insideV w:val="single" w:color="2F5496" w:themeColor="accent1" w:themeShade="BF" w:sz="2" w:space="0"/>
        </w:tblBorders>
        <w:tblLayout w:type="fixed"/>
        <w:tblCellMar>
          <w:top w:w="0" w:type="dxa"/>
          <w:left w:w="108" w:type="dxa"/>
          <w:bottom w:w="0" w:type="dxa"/>
          <w:right w:w="108" w:type="dxa"/>
        </w:tblCellMar>
      </w:tblPr>
      <w:tblGrid>
        <w:gridCol w:w="2126"/>
        <w:gridCol w:w="1300"/>
        <w:gridCol w:w="1301"/>
        <w:gridCol w:w="1300"/>
        <w:gridCol w:w="1301"/>
        <w:gridCol w:w="1301"/>
      </w:tblGrid>
      <w:tr>
        <w:tblPrEx>
          <w:tblBorders>
            <w:top w:val="single" w:color="auto" w:sz="12" w:space="0"/>
            <w:left w:val="none" w:color="auto" w:sz="0" w:space="0"/>
            <w:bottom w:val="single" w:color="auto" w:sz="12" w:space="0"/>
            <w:right w:val="none" w:color="auto" w:sz="0"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452" w:hRule="atLeast"/>
          <w:jc w:val="center"/>
        </w:trPr>
        <w:tc>
          <w:tcPr>
            <w:tcW w:w="2126" w:type="dxa"/>
            <w:tcBorders>
              <w:bottom w:val="single" w:color="2F5496" w:themeColor="accent1" w:themeShade="BF" w:sz="2" w:space="0"/>
            </w:tcBorders>
            <w:shd w:val="clear" w:color="auto" w:fill="0070C0"/>
            <w:vAlign w:val="center"/>
          </w:tcPr>
          <w:p>
            <w:pPr>
              <w:ind w:left="105" w:leftChars="50" w:right="105" w:rightChars="50"/>
              <w:jc w:val="center"/>
              <w:rPr>
                <w:rFonts w:ascii="楷体_GB2312" w:hAnsi="宋体" w:eastAsia="楷体_GB2312"/>
                <w:b/>
                <w:bCs/>
                <w:color w:val="FFFFFF" w:themeColor="background1"/>
                <w:sz w:val="24"/>
                <w:szCs w:val="24"/>
                <w14:textFill>
                  <w14:solidFill>
                    <w14:schemeClr w14:val="bg1"/>
                  </w14:solidFill>
                </w14:textFill>
              </w:rPr>
            </w:pPr>
            <w:r>
              <w:rPr>
                <w:rFonts w:hint="eastAsia" w:ascii="楷体_GB2312" w:hAnsi="宋体" w:eastAsia="楷体_GB2312"/>
                <w:b/>
                <w:bCs/>
                <w:color w:val="FFFFFF" w:themeColor="background1"/>
                <w:sz w:val="24"/>
                <w:szCs w:val="24"/>
                <w14:textFill>
                  <w14:solidFill>
                    <w14:schemeClr w14:val="bg1"/>
                  </w14:solidFill>
                </w14:textFill>
              </w:rPr>
              <w:t>职业院校生师比</w:t>
            </w:r>
          </w:p>
        </w:tc>
        <w:tc>
          <w:tcPr>
            <w:tcW w:w="1300" w:type="dxa"/>
            <w:tcBorders>
              <w:bottom w:val="single" w:color="2F5496" w:themeColor="accent1" w:themeShade="BF" w:sz="2" w:space="0"/>
            </w:tcBorders>
            <w:shd w:val="clear" w:color="auto" w:fill="0070C0"/>
            <w:vAlign w:val="center"/>
          </w:tcPr>
          <w:p>
            <w:pPr>
              <w:ind w:left="105" w:leftChars="50" w:right="105" w:rightChars="50"/>
              <w:jc w:val="center"/>
              <w:rPr>
                <w:rFonts w:ascii="楷体_GB2312" w:hAnsi="宋体" w:eastAsia="楷体_GB2312"/>
                <w:b/>
                <w:bCs/>
                <w:color w:val="FFFFFF" w:themeColor="background1"/>
                <w:sz w:val="24"/>
                <w:szCs w:val="24"/>
                <w14:textFill>
                  <w14:solidFill>
                    <w14:schemeClr w14:val="bg1"/>
                  </w14:solidFill>
                </w14:textFill>
              </w:rPr>
            </w:pPr>
            <w:r>
              <w:rPr>
                <w:rFonts w:hint="eastAsia" w:ascii="楷体_GB2312" w:hAnsi="宋体" w:eastAsia="楷体_GB2312"/>
                <w:b/>
                <w:bCs/>
                <w:color w:val="FFFFFF" w:themeColor="background1"/>
                <w:sz w:val="24"/>
                <w:szCs w:val="24"/>
                <w14:textFill>
                  <w14:solidFill>
                    <w14:schemeClr w14:val="bg1"/>
                  </w14:solidFill>
                </w14:textFill>
              </w:rPr>
              <w:t>2017年</w:t>
            </w:r>
          </w:p>
        </w:tc>
        <w:tc>
          <w:tcPr>
            <w:tcW w:w="1301" w:type="dxa"/>
            <w:tcBorders>
              <w:bottom w:val="single" w:color="2F5496" w:themeColor="accent1" w:themeShade="BF" w:sz="2" w:space="0"/>
            </w:tcBorders>
            <w:shd w:val="clear" w:color="auto" w:fill="0070C0"/>
            <w:vAlign w:val="center"/>
          </w:tcPr>
          <w:p>
            <w:pPr>
              <w:ind w:left="105" w:leftChars="50" w:right="105" w:rightChars="50"/>
              <w:jc w:val="center"/>
              <w:rPr>
                <w:rFonts w:ascii="楷体_GB2312" w:hAnsi="宋体" w:eastAsia="楷体_GB2312"/>
                <w:b/>
                <w:bCs/>
                <w:color w:val="FFFFFF" w:themeColor="background1"/>
                <w:sz w:val="24"/>
                <w:szCs w:val="24"/>
                <w14:textFill>
                  <w14:solidFill>
                    <w14:schemeClr w14:val="bg1"/>
                  </w14:solidFill>
                </w14:textFill>
              </w:rPr>
            </w:pPr>
            <w:r>
              <w:rPr>
                <w:rFonts w:hint="eastAsia" w:ascii="楷体_GB2312" w:hAnsi="宋体" w:eastAsia="楷体_GB2312"/>
                <w:b/>
                <w:bCs/>
                <w:color w:val="FFFFFF" w:themeColor="background1"/>
                <w:sz w:val="24"/>
                <w:szCs w:val="24"/>
                <w14:textFill>
                  <w14:solidFill>
                    <w14:schemeClr w14:val="bg1"/>
                  </w14:solidFill>
                </w14:textFill>
              </w:rPr>
              <w:t>2018年</w:t>
            </w:r>
          </w:p>
        </w:tc>
        <w:tc>
          <w:tcPr>
            <w:tcW w:w="1300" w:type="dxa"/>
            <w:tcBorders>
              <w:bottom w:val="single" w:color="2F5496" w:themeColor="accent1" w:themeShade="BF" w:sz="2" w:space="0"/>
            </w:tcBorders>
            <w:shd w:val="clear" w:color="auto" w:fill="0070C0"/>
            <w:vAlign w:val="center"/>
          </w:tcPr>
          <w:p>
            <w:pPr>
              <w:ind w:left="105" w:leftChars="50" w:right="105" w:rightChars="50"/>
              <w:jc w:val="center"/>
              <w:rPr>
                <w:rFonts w:ascii="楷体_GB2312" w:hAnsi="宋体" w:eastAsia="楷体_GB2312"/>
                <w:b/>
                <w:bCs/>
                <w:color w:val="FFFFFF" w:themeColor="background1"/>
                <w:sz w:val="24"/>
                <w:szCs w:val="24"/>
                <w14:textFill>
                  <w14:solidFill>
                    <w14:schemeClr w14:val="bg1"/>
                  </w14:solidFill>
                </w14:textFill>
              </w:rPr>
            </w:pPr>
            <w:r>
              <w:rPr>
                <w:rFonts w:hint="eastAsia" w:ascii="楷体_GB2312" w:hAnsi="宋体" w:eastAsia="楷体_GB2312"/>
                <w:b/>
                <w:bCs/>
                <w:color w:val="FFFFFF" w:themeColor="background1"/>
                <w:sz w:val="24"/>
                <w:szCs w:val="24"/>
                <w14:textFill>
                  <w14:solidFill>
                    <w14:schemeClr w14:val="bg1"/>
                  </w14:solidFill>
                </w14:textFill>
              </w:rPr>
              <w:t>2019年</w:t>
            </w:r>
          </w:p>
        </w:tc>
        <w:tc>
          <w:tcPr>
            <w:tcW w:w="1301" w:type="dxa"/>
            <w:tcBorders>
              <w:bottom w:val="single" w:color="2F5496" w:themeColor="accent1" w:themeShade="BF" w:sz="2" w:space="0"/>
            </w:tcBorders>
            <w:shd w:val="clear" w:color="auto" w:fill="0070C0"/>
            <w:vAlign w:val="center"/>
          </w:tcPr>
          <w:p>
            <w:pPr>
              <w:ind w:left="105" w:leftChars="50" w:right="105" w:rightChars="50"/>
              <w:jc w:val="center"/>
              <w:rPr>
                <w:rFonts w:ascii="楷体_GB2312" w:hAnsi="宋体" w:eastAsia="楷体_GB2312"/>
                <w:b/>
                <w:bCs/>
                <w:color w:val="FFFFFF" w:themeColor="background1"/>
                <w:sz w:val="24"/>
                <w:szCs w:val="24"/>
                <w14:textFill>
                  <w14:solidFill>
                    <w14:schemeClr w14:val="bg1"/>
                  </w14:solidFill>
                </w14:textFill>
              </w:rPr>
            </w:pPr>
            <w:r>
              <w:rPr>
                <w:rFonts w:hint="eastAsia" w:ascii="楷体_GB2312" w:hAnsi="宋体" w:eastAsia="楷体_GB2312"/>
                <w:b/>
                <w:bCs/>
                <w:color w:val="FFFFFF" w:themeColor="background1"/>
                <w:sz w:val="24"/>
                <w:szCs w:val="24"/>
                <w14:textFill>
                  <w14:solidFill>
                    <w14:schemeClr w14:val="bg1"/>
                  </w14:solidFill>
                </w14:textFill>
              </w:rPr>
              <w:t>2020年</w:t>
            </w:r>
          </w:p>
        </w:tc>
        <w:tc>
          <w:tcPr>
            <w:tcW w:w="1301" w:type="dxa"/>
            <w:tcBorders>
              <w:bottom w:val="single" w:color="2F5496" w:themeColor="accent1" w:themeShade="BF" w:sz="2" w:space="0"/>
            </w:tcBorders>
            <w:shd w:val="clear" w:color="auto" w:fill="0070C0"/>
            <w:vAlign w:val="center"/>
          </w:tcPr>
          <w:p>
            <w:pPr>
              <w:ind w:left="105" w:leftChars="50" w:right="105" w:rightChars="50"/>
              <w:jc w:val="center"/>
              <w:rPr>
                <w:rFonts w:ascii="楷体_GB2312" w:hAnsi="宋体" w:eastAsia="楷体_GB2312"/>
                <w:b/>
                <w:bCs/>
                <w:color w:val="FFFFFF" w:themeColor="background1"/>
                <w:sz w:val="24"/>
                <w:szCs w:val="24"/>
                <w14:textFill>
                  <w14:solidFill>
                    <w14:schemeClr w14:val="bg1"/>
                  </w14:solidFill>
                </w14:textFill>
              </w:rPr>
            </w:pPr>
            <w:r>
              <w:rPr>
                <w:rFonts w:hint="eastAsia" w:ascii="楷体_GB2312" w:hAnsi="宋体" w:eastAsia="楷体_GB2312"/>
                <w:b/>
                <w:bCs/>
                <w:color w:val="FFFFFF" w:themeColor="background1"/>
                <w:sz w:val="24"/>
                <w:szCs w:val="24"/>
                <w14:textFill>
                  <w14:solidFill>
                    <w14:schemeClr w14:val="bg1"/>
                  </w14:solidFill>
                </w14:textFill>
              </w:rPr>
              <w:t>2021年</w:t>
            </w:r>
          </w:p>
        </w:tc>
      </w:tr>
      <w:tr>
        <w:tblPrEx>
          <w:tblBorders>
            <w:top w:val="single" w:color="auto" w:sz="12" w:space="0"/>
            <w:left w:val="none" w:color="auto" w:sz="0" w:space="0"/>
            <w:bottom w:val="single" w:color="auto" w:sz="12" w:space="0"/>
            <w:right w:val="none" w:color="auto" w:sz="0"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457" w:hRule="atLeast"/>
          <w:jc w:val="center"/>
        </w:trPr>
        <w:tc>
          <w:tcPr>
            <w:tcW w:w="2126" w:type="dxa"/>
            <w:tcBorders>
              <w:top w:val="single" w:color="2F5496" w:themeColor="accent1" w:themeShade="BF" w:sz="2" w:space="0"/>
              <w:bottom w:val="single" w:color="auto" w:sz="12" w:space="0"/>
            </w:tcBorders>
            <w:shd w:val="clear" w:color="auto" w:fill="auto"/>
            <w:vAlign w:val="center"/>
          </w:tcPr>
          <w:p>
            <w:pPr>
              <w:ind w:left="105" w:leftChars="50" w:right="105" w:rightChars="5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高职生师比</w:t>
            </w:r>
          </w:p>
        </w:tc>
        <w:tc>
          <w:tcPr>
            <w:tcW w:w="1300" w:type="dxa"/>
            <w:tcBorders>
              <w:top w:val="single" w:color="2F5496" w:themeColor="accent1" w:themeShade="BF" w:sz="2" w:space="0"/>
              <w:bottom w:val="single" w:color="auto" w:sz="12" w:space="0"/>
            </w:tcBorders>
            <w:vAlign w:val="center"/>
          </w:tcPr>
          <w:p>
            <w:pPr>
              <w:ind w:left="105" w:leftChars="50" w:right="105" w:rightChars="5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15.05:1</w:t>
            </w:r>
          </w:p>
        </w:tc>
        <w:tc>
          <w:tcPr>
            <w:tcW w:w="1301" w:type="dxa"/>
            <w:tcBorders>
              <w:top w:val="single" w:color="2F5496" w:themeColor="accent1" w:themeShade="BF" w:sz="2" w:space="0"/>
              <w:bottom w:val="single" w:color="auto" w:sz="12" w:space="0"/>
            </w:tcBorders>
            <w:vAlign w:val="center"/>
          </w:tcPr>
          <w:p>
            <w:pPr>
              <w:ind w:left="105" w:leftChars="50" w:right="105" w:rightChars="5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14.60:1</w:t>
            </w:r>
          </w:p>
        </w:tc>
        <w:tc>
          <w:tcPr>
            <w:tcW w:w="1300" w:type="dxa"/>
            <w:tcBorders>
              <w:top w:val="single" w:color="2F5496" w:themeColor="accent1" w:themeShade="BF" w:sz="2" w:space="0"/>
              <w:bottom w:val="single" w:color="auto" w:sz="12" w:space="0"/>
            </w:tcBorders>
            <w:vAlign w:val="center"/>
          </w:tcPr>
          <w:p>
            <w:pPr>
              <w:ind w:left="105" w:leftChars="50" w:right="105" w:rightChars="5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14.46:1</w:t>
            </w:r>
          </w:p>
        </w:tc>
        <w:tc>
          <w:tcPr>
            <w:tcW w:w="1301" w:type="dxa"/>
            <w:tcBorders>
              <w:top w:val="single" w:color="2F5496" w:themeColor="accent1" w:themeShade="BF" w:sz="2" w:space="0"/>
              <w:bottom w:val="single" w:color="auto" w:sz="12" w:space="0"/>
            </w:tcBorders>
            <w:vAlign w:val="center"/>
          </w:tcPr>
          <w:p>
            <w:pPr>
              <w:ind w:left="105" w:leftChars="50" w:right="105" w:rightChars="5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15.44:1</w:t>
            </w:r>
          </w:p>
        </w:tc>
        <w:tc>
          <w:tcPr>
            <w:tcW w:w="1301" w:type="dxa"/>
            <w:tcBorders>
              <w:top w:val="single" w:color="2F5496" w:themeColor="accent1" w:themeShade="BF" w:sz="2" w:space="0"/>
              <w:bottom w:val="single" w:color="auto" w:sz="12" w:space="0"/>
            </w:tcBorders>
            <w:vAlign w:val="center"/>
          </w:tcPr>
          <w:p>
            <w:pPr>
              <w:ind w:left="105" w:leftChars="50" w:right="105" w:rightChars="5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14.57:1</w:t>
            </w:r>
          </w:p>
        </w:tc>
      </w:tr>
    </w:tbl>
    <w:p>
      <w:pPr>
        <w:rPr>
          <w:rFonts w:ascii="宋体" w:hAnsi="宋体" w:eastAsia="宋体"/>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数据来源</w:t>
      </w:r>
      <w:r>
        <w:rPr>
          <w:rFonts w:hint="eastAsia" w:ascii="宋体" w:hAnsi="宋体" w:eastAsia="宋体"/>
          <w:color w:val="000000" w:themeColor="text1"/>
          <w:szCs w:val="21"/>
          <w14:textFill>
            <w14:solidFill>
              <w14:schemeClr w14:val="tx1"/>
            </w14:solidFill>
          </w14:textFill>
        </w:rPr>
        <w:t>：</w:t>
      </w:r>
      <w:r>
        <w:rPr>
          <w:rFonts w:ascii="宋体" w:hAnsi="宋体" w:eastAsia="宋体"/>
          <w:color w:val="000000" w:themeColor="text1"/>
          <w:szCs w:val="21"/>
          <w14:textFill>
            <w14:solidFill>
              <w14:schemeClr w14:val="tx1"/>
            </w14:solidFill>
          </w14:textFill>
        </w:rPr>
        <w:t>2017-2021年度高等职业院校人才培养工作状态数据采集与管理平台</w:t>
      </w:r>
      <w:r>
        <w:rPr>
          <w:rFonts w:hint="eastAsia" w:ascii="宋体" w:hAnsi="宋体" w:eastAsia="宋体"/>
          <w:color w:val="000000" w:themeColor="text1"/>
          <w:szCs w:val="21"/>
          <w14:textFill>
            <w14:solidFill>
              <w14:schemeClr w14:val="tx1"/>
            </w14:solidFill>
          </w14:textFill>
        </w:rPr>
        <w:t>。</w:t>
      </w:r>
    </w:p>
    <w:p>
      <w:pPr>
        <w:spacing w:line="500" w:lineRule="exact"/>
        <w:ind w:firstLine="562" w:firstLineChars="200"/>
        <w:rPr>
          <w:rFonts w:ascii="仿宋_GB2312" w:hAnsi="仿宋" w:eastAsia="仿宋_GB2312"/>
          <w:b/>
          <w:bCs/>
          <w:color w:val="000000" w:themeColor="text1"/>
          <w:sz w:val="28"/>
          <w:szCs w:val="28"/>
          <w14:textFill>
            <w14:solidFill>
              <w14:schemeClr w14:val="tx1"/>
            </w14:solidFill>
          </w14:textFill>
        </w:rPr>
      </w:pPr>
      <w:r>
        <w:rPr>
          <w:rFonts w:hint="eastAsia" w:ascii="仿宋_GB2312" w:hAnsi="仿宋" w:eastAsia="仿宋_GB2312"/>
          <w:b/>
          <w:bCs/>
          <w:color w:val="000000" w:themeColor="text1"/>
          <w:sz w:val="28"/>
          <w:szCs w:val="28"/>
          <w14:textFill>
            <w14:solidFill>
              <w14:schemeClr w14:val="tx1"/>
            </w14:solidFill>
          </w14:textFill>
        </w:rPr>
        <w:t>2.</w:t>
      </w:r>
      <w:r>
        <w:rPr>
          <w:rFonts w:ascii="仿宋_GB2312" w:hAnsi="仿宋" w:eastAsia="仿宋_GB2312"/>
          <w:b/>
          <w:bCs/>
          <w:color w:val="000000" w:themeColor="text1"/>
          <w:sz w:val="28"/>
          <w:szCs w:val="28"/>
          <w14:textFill>
            <w14:solidFill>
              <w14:schemeClr w14:val="tx1"/>
            </w14:solidFill>
          </w14:textFill>
        </w:rPr>
        <w:t>4</w:t>
      </w:r>
      <w:r>
        <w:rPr>
          <w:rFonts w:hint="eastAsia" w:ascii="仿宋_GB2312" w:hAnsi="仿宋" w:eastAsia="仿宋_GB2312"/>
          <w:b/>
          <w:bCs/>
          <w:color w:val="000000" w:themeColor="text1"/>
          <w:sz w:val="28"/>
          <w:szCs w:val="28"/>
          <w14:textFill>
            <w14:solidFill>
              <w14:schemeClr w14:val="tx1"/>
            </w14:solidFill>
          </w14:textFill>
        </w:rPr>
        <w:t>.2教师队伍结构稳步提升</w:t>
      </w:r>
    </w:p>
    <w:p>
      <w:pPr>
        <w:spacing w:line="50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2</w:t>
      </w:r>
      <w:r>
        <w:rPr>
          <w:rFonts w:ascii="仿宋_GB2312" w:hAnsi="仿宋" w:eastAsia="仿宋_GB2312"/>
          <w:color w:val="000000" w:themeColor="text1"/>
          <w:sz w:val="28"/>
          <w:szCs w:val="28"/>
          <w14:textFill>
            <w14:solidFill>
              <w14:schemeClr w14:val="tx1"/>
            </w14:solidFill>
          </w14:textFill>
        </w:rPr>
        <w:t>021</w:t>
      </w:r>
      <w:r>
        <w:rPr>
          <w:rFonts w:hint="eastAsia" w:ascii="仿宋_GB2312" w:hAnsi="仿宋" w:eastAsia="仿宋_GB2312"/>
          <w:color w:val="000000" w:themeColor="text1"/>
          <w:sz w:val="28"/>
          <w:szCs w:val="28"/>
          <w14:textFill>
            <w14:solidFill>
              <w14:schemeClr w14:val="tx1"/>
            </w14:solidFill>
          </w14:textFill>
        </w:rPr>
        <w:t>年，山东省高职院校教师总数为55164人，其中校内专任教师41127人，占教师总数74.55%，校外兼职兼课教师20472人，占教师总数37.11%。专任教师中，高级专业技术职务专任教师比例为32.34%，与2020年相比提高了1.64%；具有硕士研究生以上学历17884人，占教师总数43.48%，具有硕士以上学位27740人，占67.45%。具备双师素质的教师占专任教师比例为68.97%，双师比例稳定在60%以上。校外兼职兼课教师中，兼职教师17801人，占总数86.95%；校外兼课教师2671人，占13.05%。企业兼职教师年课时总量2632850，占年度总学时的25%，比去年提高1.48%，兼职教师在实践教学中的参与度逐步提升。</w:t>
      </w:r>
      <w:bookmarkStart w:id="136" w:name="_Toc23250"/>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137" w:name="_Toc91604975"/>
      <w:bookmarkStart w:id="138" w:name="_Toc94183417"/>
      <w:bookmarkStart w:id="139" w:name="_Toc91606492"/>
      <w:bookmarkStart w:id="140" w:name="_Toc94172174"/>
      <w:bookmarkStart w:id="141" w:name="_Toc94172315"/>
      <w:r>
        <w:rPr>
          <w:rFonts w:hint="eastAsia" w:ascii="宋体" w:hAnsi="宋体" w:eastAsia="宋体"/>
          <w:color w:val="000000" w:themeColor="text1"/>
          <w:sz w:val="24"/>
          <w:szCs w:val="24"/>
          <w14:textFill>
            <w14:solidFill>
              <w14:schemeClr w14:val="tx1"/>
            </w14:solidFill>
          </w14:textFill>
        </w:rPr>
        <w:t>表</w:t>
      </w:r>
      <w:bookmarkStart w:id="142" w:name="_Toc6560"/>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w:t>
      </w:r>
      <w:r>
        <w:rPr>
          <w:rFonts w:hint="eastAsia" w:ascii="宋体" w:hAnsi="宋体" w:eastAsia="宋体"/>
          <w:color w:val="000000" w:themeColor="text1"/>
          <w:sz w:val="24"/>
          <w:szCs w:val="24"/>
          <w14:textFill>
            <w14:solidFill>
              <w14:schemeClr w14:val="tx1"/>
            </w14:solidFill>
          </w14:textFill>
        </w:rPr>
        <w:t xml:space="preserve"> 山东省高职院校教师队伍结构表</w:t>
      </w:r>
      <w:bookmarkEnd w:id="136"/>
      <w:bookmarkEnd w:id="137"/>
      <w:bookmarkEnd w:id="138"/>
      <w:bookmarkEnd w:id="139"/>
      <w:bookmarkEnd w:id="140"/>
      <w:bookmarkEnd w:id="141"/>
      <w:bookmarkEnd w:id="142"/>
    </w:p>
    <w:tbl>
      <w:tblPr>
        <w:tblStyle w:val="21"/>
        <w:tblW w:w="4997" w:type="pct"/>
        <w:tblInd w:w="0" w:type="dxa"/>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00"/>
        <w:gridCol w:w="1503"/>
        <w:gridCol w:w="3385"/>
        <w:gridCol w:w="771"/>
        <w:gridCol w:w="1250"/>
        <w:gridCol w:w="1245"/>
      </w:tblGrid>
      <w:tr>
        <w:tblPrEx>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blHeader/>
        </w:trPr>
        <w:tc>
          <w:tcPr>
            <w:tcW w:w="699" w:type="dxa"/>
            <w:tcBorders>
              <w:top w:val="single" w:color="2F5496" w:themeColor="accent1" w:themeShade="BF" w:sz="12" w:space="0"/>
              <w:bottom w:val="single" w:color="2F5496" w:themeColor="accent1" w:themeShade="BF" w:sz="12" w:space="0"/>
              <w:right w:val="single" w:color="auto" w:sz="2" w:space="0"/>
            </w:tcBorders>
            <w:shd w:val="clear" w:color="000000" w:fill="0070C0"/>
            <w:tcMar>
              <w:top w:w="15" w:type="dxa"/>
              <w:left w:w="15" w:type="dxa"/>
              <w:right w:w="15" w:type="dxa"/>
            </w:tcMar>
            <w:vAlign w:val="center"/>
          </w:tcPr>
          <w:p>
            <w:pPr>
              <w:widowControl/>
              <w:ind w:left="105" w:leftChars="50" w:right="105" w:rightChars="50"/>
              <w:jc w:val="center"/>
              <w:rPr>
                <w:rFonts w:ascii="楷体_GB2312" w:hAnsi="宋体" w:eastAsia="楷体_GB2312" w:cs="Times New Roman"/>
                <w:b/>
                <w:bCs/>
                <w:color w:val="FFFFFF" w:themeColor="background1"/>
                <w:szCs w:val="21"/>
                <w14:textFill>
                  <w14:solidFill>
                    <w14:schemeClr w14:val="bg1"/>
                  </w14:solidFill>
                </w14:textFill>
              </w:rPr>
            </w:pPr>
            <w:r>
              <w:rPr>
                <w:rFonts w:hint="eastAsia" w:ascii="楷体_GB2312" w:hAnsi="宋体" w:eastAsia="楷体_GB2312" w:cs="Times New Roman"/>
                <w:b/>
                <w:bCs/>
                <w:color w:val="FFFFFF" w:themeColor="background1"/>
                <w:szCs w:val="21"/>
                <w14:textFill>
                  <w14:solidFill>
                    <w14:schemeClr w14:val="bg1"/>
                  </w14:solidFill>
                </w14:textFill>
              </w:rPr>
              <w:t>序号</w:t>
            </w:r>
          </w:p>
        </w:tc>
        <w:tc>
          <w:tcPr>
            <w:tcW w:w="4879" w:type="dxa"/>
            <w:gridSpan w:val="2"/>
            <w:tcBorders>
              <w:top w:val="single" w:color="2F5496" w:themeColor="accent1" w:themeShade="BF" w:sz="12" w:space="0"/>
              <w:left w:val="single" w:color="auto" w:sz="2" w:space="0"/>
              <w:bottom w:val="single" w:color="2F5496" w:themeColor="accent1" w:themeShade="BF" w:sz="12" w:space="0"/>
              <w:right w:val="single" w:color="auto" w:sz="2" w:space="0"/>
            </w:tcBorders>
            <w:shd w:val="clear" w:color="000000" w:fill="0070C0"/>
            <w:tcMar>
              <w:top w:w="15" w:type="dxa"/>
              <w:left w:w="15" w:type="dxa"/>
              <w:right w:w="15" w:type="dxa"/>
            </w:tcMar>
            <w:vAlign w:val="center"/>
          </w:tcPr>
          <w:p>
            <w:pPr>
              <w:widowControl/>
              <w:ind w:left="105" w:leftChars="50" w:right="105" w:rightChars="50"/>
              <w:jc w:val="center"/>
              <w:rPr>
                <w:rFonts w:ascii="楷体_GB2312" w:hAnsi="宋体" w:eastAsia="楷体_GB2312" w:cs="Times New Roman"/>
                <w:b/>
                <w:bCs/>
                <w:color w:val="FFFFFF" w:themeColor="background1"/>
                <w:szCs w:val="21"/>
                <w14:textFill>
                  <w14:solidFill>
                    <w14:schemeClr w14:val="bg1"/>
                  </w14:solidFill>
                </w14:textFill>
              </w:rPr>
            </w:pPr>
            <w:r>
              <w:rPr>
                <w:rFonts w:hint="eastAsia" w:ascii="楷体_GB2312" w:hAnsi="宋体" w:eastAsia="楷体_GB2312" w:cs="Times New Roman"/>
                <w:b/>
                <w:bCs/>
                <w:color w:val="FFFFFF" w:themeColor="background1"/>
                <w:szCs w:val="21"/>
                <w14:textFill>
                  <w14:solidFill>
                    <w14:schemeClr w14:val="bg1"/>
                  </w14:solidFill>
                </w14:textFill>
              </w:rPr>
              <w:t>指标</w:t>
            </w:r>
          </w:p>
        </w:tc>
        <w:tc>
          <w:tcPr>
            <w:tcW w:w="770" w:type="dxa"/>
            <w:tcBorders>
              <w:top w:val="single" w:color="2F5496" w:themeColor="accent1" w:themeShade="BF" w:sz="12" w:space="0"/>
              <w:left w:val="single" w:color="auto" w:sz="2" w:space="0"/>
              <w:bottom w:val="single" w:color="2F5496" w:themeColor="accent1" w:themeShade="BF" w:sz="12" w:space="0"/>
              <w:right w:val="single" w:color="auto" w:sz="2" w:space="0"/>
            </w:tcBorders>
            <w:shd w:val="clear" w:color="000000" w:fill="0070C0"/>
            <w:tcMar>
              <w:top w:w="15" w:type="dxa"/>
              <w:left w:w="15" w:type="dxa"/>
              <w:right w:w="15" w:type="dxa"/>
            </w:tcMar>
            <w:vAlign w:val="center"/>
          </w:tcPr>
          <w:p>
            <w:pPr>
              <w:widowControl/>
              <w:ind w:left="105" w:leftChars="50" w:right="105" w:rightChars="50"/>
              <w:jc w:val="center"/>
              <w:rPr>
                <w:rFonts w:ascii="楷体_GB2312" w:hAnsi="宋体" w:eastAsia="楷体_GB2312" w:cs="Times New Roman"/>
                <w:b/>
                <w:bCs/>
                <w:color w:val="FFFFFF" w:themeColor="background1"/>
                <w:szCs w:val="21"/>
                <w14:textFill>
                  <w14:solidFill>
                    <w14:schemeClr w14:val="bg1"/>
                  </w14:solidFill>
                </w14:textFill>
              </w:rPr>
            </w:pPr>
            <w:r>
              <w:rPr>
                <w:rFonts w:hint="eastAsia" w:ascii="楷体_GB2312" w:hAnsi="宋体" w:eastAsia="楷体_GB2312" w:cs="Times New Roman"/>
                <w:b/>
                <w:bCs/>
                <w:color w:val="FFFFFF" w:themeColor="background1"/>
                <w:szCs w:val="21"/>
                <w14:textFill>
                  <w14:solidFill>
                    <w14:schemeClr w14:val="bg1"/>
                  </w14:solidFill>
                </w14:textFill>
              </w:rPr>
              <w:t>单位</w:t>
            </w:r>
          </w:p>
        </w:tc>
        <w:tc>
          <w:tcPr>
            <w:tcW w:w="1248" w:type="dxa"/>
            <w:tcBorders>
              <w:top w:val="single" w:color="2F5496" w:themeColor="accent1" w:themeShade="BF" w:sz="12" w:space="0"/>
              <w:left w:val="single" w:color="auto" w:sz="2" w:space="0"/>
              <w:bottom w:val="single" w:color="2F5496" w:themeColor="accent1" w:themeShade="BF" w:sz="12" w:space="0"/>
              <w:right w:val="single" w:color="auto" w:sz="2" w:space="0"/>
            </w:tcBorders>
            <w:shd w:val="clear" w:color="000000" w:fill="0070C0"/>
            <w:tcMar>
              <w:top w:w="15" w:type="dxa"/>
              <w:left w:w="15" w:type="dxa"/>
              <w:right w:w="15" w:type="dxa"/>
            </w:tcMar>
            <w:vAlign w:val="center"/>
          </w:tcPr>
          <w:p>
            <w:pPr>
              <w:widowControl/>
              <w:ind w:left="105" w:leftChars="50" w:right="105" w:rightChars="50"/>
              <w:jc w:val="center"/>
              <w:rPr>
                <w:rFonts w:ascii="楷体_GB2312" w:hAnsi="宋体" w:eastAsia="楷体_GB2312" w:cs="Times New Roman"/>
                <w:b/>
                <w:bCs/>
                <w:color w:val="FFFFFF" w:themeColor="background1"/>
                <w:szCs w:val="21"/>
                <w14:textFill>
                  <w14:solidFill>
                    <w14:schemeClr w14:val="bg1"/>
                  </w14:solidFill>
                </w14:textFill>
              </w:rPr>
            </w:pPr>
            <w:r>
              <w:rPr>
                <w:rFonts w:hint="eastAsia" w:ascii="楷体_GB2312" w:hAnsi="宋体" w:eastAsia="楷体_GB2312" w:cs="Times New Roman"/>
                <w:b/>
                <w:bCs/>
                <w:color w:val="FFFFFF" w:themeColor="background1"/>
                <w:szCs w:val="21"/>
                <w14:textFill>
                  <w14:solidFill>
                    <w14:schemeClr w14:val="bg1"/>
                  </w14:solidFill>
                </w14:textFill>
              </w:rPr>
              <w:t>2020年</w:t>
            </w:r>
          </w:p>
        </w:tc>
        <w:tc>
          <w:tcPr>
            <w:tcW w:w="1243" w:type="dxa"/>
            <w:tcBorders>
              <w:top w:val="single" w:color="2F5496" w:themeColor="accent1" w:themeShade="BF" w:sz="12" w:space="0"/>
              <w:left w:val="single" w:color="auto" w:sz="2" w:space="0"/>
              <w:bottom w:val="single" w:color="2F5496" w:themeColor="accent1" w:themeShade="BF" w:sz="12" w:space="0"/>
            </w:tcBorders>
            <w:shd w:val="clear" w:color="000000" w:fill="0070C0"/>
            <w:vAlign w:val="center"/>
          </w:tcPr>
          <w:p>
            <w:pPr>
              <w:widowControl/>
              <w:ind w:left="105" w:leftChars="50" w:right="105" w:rightChars="50"/>
              <w:jc w:val="center"/>
              <w:rPr>
                <w:rFonts w:ascii="楷体_GB2312" w:hAnsi="宋体" w:eastAsia="楷体_GB2312" w:cs="Times New Roman"/>
                <w:b/>
                <w:bCs/>
                <w:color w:val="FFFFFF" w:themeColor="background1"/>
                <w:szCs w:val="21"/>
                <w14:textFill>
                  <w14:solidFill>
                    <w14:schemeClr w14:val="bg1"/>
                  </w14:solidFill>
                </w14:textFill>
              </w:rPr>
            </w:pPr>
            <w:r>
              <w:rPr>
                <w:rFonts w:hint="eastAsia" w:ascii="楷体_GB2312" w:hAnsi="宋体" w:eastAsia="楷体_GB2312" w:cs="Times New Roman"/>
                <w:b/>
                <w:bCs/>
                <w:color w:val="FFFFFF" w:themeColor="background1"/>
                <w:szCs w:val="21"/>
                <w14:textFill>
                  <w14:solidFill>
                    <w14:schemeClr w14:val="bg1"/>
                  </w14:solidFill>
                </w14:textFill>
              </w:rPr>
              <w:t>2021年</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699" w:type="dxa"/>
            <w:vMerge w:val="restart"/>
            <w:tcBorders>
              <w:top w:val="single" w:color="2F5496" w:themeColor="accent1" w:themeShade="BF" w:sz="1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left"/>
              <w:textAlignment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w:t>
            </w:r>
          </w:p>
        </w:tc>
        <w:tc>
          <w:tcPr>
            <w:tcW w:w="4879" w:type="dxa"/>
            <w:gridSpan w:val="2"/>
            <w:tcBorders>
              <w:top w:val="single" w:color="2F5496" w:themeColor="accent1" w:themeShade="BF" w:sz="1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高职院校教师总数</w:t>
            </w:r>
          </w:p>
        </w:tc>
        <w:tc>
          <w:tcPr>
            <w:tcW w:w="770" w:type="dxa"/>
            <w:tcBorders>
              <w:top w:val="single" w:color="2F5496" w:themeColor="accent1" w:themeShade="BF" w:sz="1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人</w:t>
            </w:r>
          </w:p>
        </w:tc>
        <w:tc>
          <w:tcPr>
            <w:tcW w:w="1248" w:type="dxa"/>
            <w:tcBorders>
              <w:top w:val="single" w:color="2F5496" w:themeColor="accent1" w:themeShade="BF" w:sz="1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50838</w:t>
            </w:r>
          </w:p>
        </w:tc>
        <w:tc>
          <w:tcPr>
            <w:tcW w:w="1243" w:type="dxa"/>
            <w:tcBorders>
              <w:top w:val="single" w:color="2F5496" w:themeColor="accent1" w:themeShade="BF" w:sz="12" w:space="0"/>
              <w:left w:val="single" w:color="auto" w:sz="2" w:space="0"/>
              <w:bottom w:val="single" w:color="auto" w:sz="2" w:space="0"/>
            </w:tcBorders>
            <w:shd w:val="clear" w:color="auto" w:fill="auto"/>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55164</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699" w:type="dxa"/>
            <w:vMerge w:val="continue"/>
            <w:tcBorders>
              <w:top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left"/>
              <w:textAlignment w:val="center"/>
              <w:rPr>
                <w:rFonts w:ascii="宋体" w:hAnsi="宋体" w:eastAsia="宋体" w:cs="Times New Roman"/>
                <w:color w:val="000000" w:themeColor="text1"/>
                <w:kern w:val="0"/>
                <w:szCs w:val="21"/>
                <w14:textFill>
                  <w14:solidFill>
                    <w14:schemeClr w14:val="tx1"/>
                  </w14:solidFill>
                </w14:textFill>
              </w:rPr>
            </w:pPr>
          </w:p>
        </w:tc>
        <w:tc>
          <w:tcPr>
            <w:tcW w:w="1500" w:type="dxa"/>
            <w:vMerge w:val="restart"/>
            <w:tcBorders>
              <w:top w:val="single" w:color="auto" w:sz="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其中：</w:t>
            </w:r>
          </w:p>
        </w:tc>
        <w:tc>
          <w:tcPr>
            <w:tcW w:w="337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专任教师总数</w:t>
            </w:r>
          </w:p>
        </w:tc>
        <w:tc>
          <w:tcPr>
            <w:tcW w:w="770" w:type="dxa"/>
            <w:tcBorders>
              <w:top w:val="single" w:color="auto" w:sz="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人</w:t>
            </w:r>
          </w:p>
        </w:tc>
        <w:tc>
          <w:tcPr>
            <w:tcW w:w="1248" w:type="dxa"/>
            <w:tcBorders>
              <w:top w:val="single" w:color="auto" w:sz="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37465</w:t>
            </w:r>
          </w:p>
        </w:tc>
        <w:tc>
          <w:tcPr>
            <w:tcW w:w="1243" w:type="dxa"/>
            <w:tcBorders>
              <w:top w:val="single" w:color="auto" w:sz="2" w:space="0"/>
              <w:left w:val="single" w:color="auto" w:sz="2" w:space="0"/>
              <w:bottom w:val="single" w:color="auto" w:sz="2" w:space="0"/>
            </w:tcBorders>
            <w:shd w:val="clear" w:color="auto" w:fill="auto"/>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41127</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699" w:type="dxa"/>
            <w:vMerge w:val="continue"/>
            <w:tcBorders>
              <w:top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left"/>
              <w:textAlignment w:val="center"/>
              <w:rPr>
                <w:rFonts w:ascii="宋体" w:hAnsi="宋体" w:eastAsia="宋体" w:cs="Times New Roman"/>
                <w:color w:val="000000" w:themeColor="text1"/>
                <w:kern w:val="0"/>
                <w:szCs w:val="21"/>
                <w14:textFill>
                  <w14:solidFill>
                    <w14:schemeClr w14:val="tx1"/>
                  </w14:solidFill>
                </w14:textFill>
              </w:rPr>
            </w:pPr>
          </w:p>
        </w:tc>
        <w:tc>
          <w:tcPr>
            <w:tcW w:w="1500" w:type="dxa"/>
            <w:vMerge w:val="continue"/>
            <w:tcBorders>
              <w:top w:val="single" w:color="auto" w:sz="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p>
        </w:tc>
        <w:tc>
          <w:tcPr>
            <w:tcW w:w="337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校外兼职教师数</w:t>
            </w:r>
          </w:p>
        </w:tc>
        <w:tc>
          <w:tcPr>
            <w:tcW w:w="770" w:type="dxa"/>
            <w:tcBorders>
              <w:top w:val="single" w:color="auto" w:sz="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人</w:t>
            </w:r>
          </w:p>
        </w:tc>
        <w:tc>
          <w:tcPr>
            <w:tcW w:w="1248" w:type="dxa"/>
            <w:tcBorders>
              <w:top w:val="single" w:color="auto" w:sz="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17320</w:t>
            </w:r>
          </w:p>
        </w:tc>
        <w:tc>
          <w:tcPr>
            <w:tcW w:w="1243" w:type="dxa"/>
            <w:tcBorders>
              <w:top w:val="single" w:color="auto" w:sz="2" w:space="0"/>
              <w:left w:val="single" w:color="auto" w:sz="2" w:space="0"/>
              <w:bottom w:val="single" w:color="auto" w:sz="2" w:space="0"/>
            </w:tcBorders>
            <w:shd w:val="clear" w:color="auto" w:fill="auto"/>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17801</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699" w:type="dxa"/>
            <w:vMerge w:val="continue"/>
            <w:tcBorders>
              <w:top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left"/>
              <w:textAlignment w:val="center"/>
              <w:rPr>
                <w:rFonts w:ascii="宋体" w:hAnsi="宋体" w:eastAsia="宋体" w:cs="Times New Roman"/>
                <w:color w:val="000000" w:themeColor="text1"/>
                <w:kern w:val="0"/>
                <w:szCs w:val="21"/>
                <w14:textFill>
                  <w14:solidFill>
                    <w14:schemeClr w14:val="tx1"/>
                  </w14:solidFill>
                </w14:textFill>
              </w:rPr>
            </w:pPr>
          </w:p>
        </w:tc>
        <w:tc>
          <w:tcPr>
            <w:tcW w:w="1500" w:type="dxa"/>
            <w:vMerge w:val="continue"/>
            <w:tcBorders>
              <w:top w:val="single" w:color="auto" w:sz="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p>
        </w:tc>
        <w:tc>
          <w:tcPr>
            <w:tcW w:w="337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校外兼课教师数</w:t>
            </w:r>
          </w:p>
        </w:tc>
        <w:tc>
          <w:tcPr>
            <w:tcW w:w="770" w:type="dxa"/>
            <w:tcBorders>
              <w:top w:val="single" w:color="auto" w:sz="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人</w:t>
            </w:r>
          </w:p>
        </w:tc>
        <w:tc>
          <w:tcPr>
            <w:tcW w:w="1248" w:type="dxa"/>
            <w:tcBorders>
              <w:top w:val="single" w:color="auto" w:sz="2" w:space="0"/>
              <w:left w:val="single" w:color="auto" w:sz="2" w:space="0"/>
              <w:bottom w:val="single" w:color="auto" w:sz="2" w:space="0"/>
              <w:right w:val="single" w:color="auto" w:sz="2" w:space="0"/>
            </w:tcBorders>
            <w:shd w:val="clear" w:color="auto" w:fill="auto"/>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2170</w:t>
            </w:r>
          </w:p>
        </w:tc>
        <w:tc>
          <w:tcPr>
            <w:tcW w:w="1243" w:type="dxa"/>
            <w:tcBorders>
              <w:top w:val="single" w:color="auto" w:sz="2" w:space="0"/>
              <w:left w:val="single" w:color="auto" w:sz="2" w:space="0"/>
              <w:bottom w:val="single" w:color="auto" w:sz="2" w:space="0"/>
            </w:tcBorders>
            <w:shd w:val="clear" w:color="auto" w:fill="auto"/>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2671</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699" w:type="dxa"/>
            <w:vMerge w:val="restart"/>
            <w:tcBorders>
              <w:top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textAlignment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w:t>
            </w:r>
          </w:p>
        </w:tc>
        <w:tc>
          <w:tcPr>
            <w:tcW w:w="1500" w:type="dxa"/>
            <w:vMerge w:val="restart"/>
            <w:tcBorders>
              <w:top w:val="single" w:color="auto" w:sz="2" w:space="0"/>
              <w:left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专任教师中：</w:t>
            </w:r>
          </w:p>
        </w:tc>
        <w:tc>
          <w:tcPr>
            <w:tcW w:w="3379" w:type="dxa"/>
            <w:tcBorders>
              <w:top w:val="single" w:color="auto" w:sz="2" w:space="0"/>
              <w:left w:val="single" w:color="auto" w:sz="2" w:space="0"/>
              <w:bottom w:val="single" w:color="auto" w:sz="2" w:space="0"/>
              <w:right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高级专业技术职务专任教师比例</w:t>
            </w:r>
          </w:p>
        </w:tc>
        <w:tc>
          <w:tcPr>
            <w:tcW w:w="770" w:type="dxa"/>
            <w:tcBorders>
              <w:top w:val="single" w:color="auto" w:sz="2" w:space="0"/>
              <w:left w:val="single" w:color="auto" w:sz="2" w:space="0"/>
              <w:bottom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w:t>
            </w:r>
          </w:p>
        </w:tc>
        <w:tc>
          <w:tcPr>
            <w:tcW w:w="1248" w:type="dxa"/>
            <w:tcBorders>
              <w:top w:val="single" w:color="auto" w:sz="2" w:space="0"/>
              <w:left w:val="single" w:color="auto" w:sz="2" w:space="0"/>
              <w:bottom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28.61</w:t>
            </w:r>
          </w:p>
        </w:tc>
        <w:tc>
          <w:tcPr>
            <w:tcW w:w="1243" w:type="dxa"/>
            <w:tcBorders>
              <w:top w:val="single" w:color="auto" w:sz="2" w:space="0"/>
              <w:left w:val="single" w:color="auto" w:sz="2" w:space="0"/>
              <w:bottom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20.25</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699" w:type="dxa"/>
            <w:vMerge w:val="continue"/>
            <w:tcBorders>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textAlignment w:val="center"/>
              <w:rPr>
                <w:rFonts w:ascii="宋体" w:hAnsi="宋体" w:eastAsia="宋体" w:cs="Times New Roman"/>
                <w:color w:val="000000" w:themeColor="text1"/>
                <w:kern w:val="0"/>
                <w:szCs w:val="21"/>
                <w14:textFill>
                  <w14:solidFill>
                    <w14:schemeClr w14:val="tx1"/>
                  </w14:solidFill>
                </w14:textFill>
              </w:rPr>
            </w:pPr>
          </w:p>
        </w:tc>
        <w:tc>
          <w:tcPr>
            <w:tcW w:w="1500" w:type="dxa"/>
            <w:vMerge w:val="continue"/>
            <w:tcBorders>
              <w:left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p>
        </w:tc>
        <w:tc>
          <w:tcPr>
            <w:tcW w:w="3379" w:type="dxa"/>
            <w:tcBorders>
              <w:top w:val="single" w:color="auto" w:sz="2" w:space="0"/>
              <w:left w:val="single" w:color="auto" w:sz="2" w:space="0"/>
              <w:bottom w:val="single" w:color="auto" w:sz="2" w:space="0"/>
              <w:right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双师素质专任教师比例</w:t>
            </w:r>
          </w:p>
        </w:tc>
        <w:tc>
          <w:tcPr>
            <w:tcW w:w="770" w:type="dxa"/>
            <w:tcBorders>
              <w:top w:val="single" w:color="auto" w:sz="2" w:space="0"/>
              <w:left w:val="single" w:color="auto" w:sz="2" w:space="0"/>
              <w:bottom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w:t>
            </w:r>
          </w:p>
        </w:tc>
        <w:tc>
          <w:tcPr>
            <w:tcW w:w="1248" w:type="dxa"/>
            <w:tcBorders>
              <w:top w:val="single" w:color="auto" w:sz="2" w:space="0"/>
              <w:left w:val="single" w:color="auto" w:sz="2" w:space="0"/>
              <w:bottom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68.67</w:t>
            </w:r>
          </w:p>
        </w:tc>
        <w:tc>
          <w:tcPr>
            <w:tcW w:w="1243" w:type="dxa"/>
            <w:tcBorders>
              <w:top w:val="single" w:color="auto" w:sz="2" w:space="0"/>
              <w:left w:val="single" w:color="auto" w:sz="2" w:space="0"/>
              <w:bottom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63.85</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699" w:type="dxa"/>
            <w:vMerge w:val="continue"/>
            <w:tcBorders>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left"/>
              <w:textAlignment w:val="center"/>
              <w:rPr>
                <w:rFonts w:ascii="宋体" w:hAnsi="宋体" w:eastAsia="宋体" w:cs="Times New Roman"/>
                <w:color w:val="000000" w:themeColor="text1"/>
                <w:kern w:val="0"/>
                <w:szCs w:val="21"/>
                <w14:textFill>
                  <w14:solidFill>
                    <w14:schemeClr w14:val="tx1"/>
                  </w14:solidFill>
                </w14:textFill>
              </w:rPr>
            </w:pPr>
          </w:p>
        </w:tc>
        <w:tc>
          <w:tcPr>
            <w:tcW w:w="1500" w:type="dxa"/>
            <w:vMerge w:val="continue"/>
            <w:tcBorders>
              <w:left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p>
        </w:tc>
        <w:tc>
          <w:tcPr>
            <w:tcW w:w="3379" w:type="dxa"/>
            <w:tcBorders>
              <w:top w:val="single" w:color="auto" w:sz="2" w:space="0"/>
              <w:left w:val="single" w:color="auto" w:sz="2" w:space="0"/>
              <w:bottom w:val="single" w:color="auto" w:sz="2" w:space="0"/>
              <w:right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具有研究生以上学位数</w:t>
            </w:r>
          </w:p>
        </w:tc>
        <w:tc>
          <w:tcPr>
            <w:tcW w:w="770" w:type="dxa"/>
            <w:tcBorders>
              <w:top w:val="single" w:color="auto" w:sz="2" w:space="0"/>
              <w:left w:val="single" w:color="auto" w:sz="2" w:space="0"/>
              <w:bottom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人</w:t>
            </w:r>
          </w:p>
        </w:tc>
        <w:tc>
          <w:tcPr>
            <w:tcW w:w="1248" w:type="dxa"/>
            <w:tcBorders>
              <w:top w:val="single" w:color="auto" w:sz="2" w:space="0"/>
              <w:left w:val="single" w:color="auto" w:sz="2" w:space="0"/>
              <w:bottom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23320</w:t>
            </w:r>
          </w:p>
        </w:tc>
        <w:tc>
          <w:tcPr>
            <w:tcW w:w="1243" w:type="dxa"/>
            <w:tcBorders>
              <w:top w:val="single" w:color="auto" w:sz="2" w:space="0"/>
              <w:left w:val="single" w:color="auto" w:sz="2" w:space="0"/>
              <w:bottom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27740</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699" w:type="dxa"/>
            <w:vMerge w:val="continue"/>
            <w:tcBorders>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left"/>
              <w:textAlignment w:val="center"/>
              <w:rPr>
                <w:rFonts w:ascii="宋体" w:hAnsi="宋体" w:eastAsia="宋体" w:cs="Times New Roman"/>
                <w:color w:val="000000" w:themeColor="text1"/>
                <w:kern w:val="0"/>
                <w:szCs w:val="21"/>
                <w14:textFill>
                  <w14:solidFill>
                    <w14:schemeClr w14:val="tx1"/>
                  </w14:solidFill>
                </w14:textFill>
              </w:rPr>
            </w:pPr>
          </w:p>
        </w:tc>
        <w:tc>
          <w:tcPr>
            <w:tcW w:w="1500" w:type="dxa"/>
            <w:vMerge w:val="continue"/>
            <w:tcBorders>
              <w:left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p>
        </w:tc>
        <w:tc>
          <w:tcPr>
            <w:tcW w:w="3379" w:type="dxa"/>
            <w:tcBorders>
              <w:top w:val="single" w:color="auto" w:sz="2" w:space="0"/>
              <w:left w:val="single" w:color="auto" w:sz="2" w:space="0"/>
              <w:bottom w:val="single" w:color="auto" w:sz="2" w:space="0"/>
              <w:right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具有研究生以上学历数</w:t>
            </w:r>
          </w:p>
        </w:tc>
        <w:tc>
          <w:tcPr>
            <w:tcW w:w="770" w:type="dxa"/>
            <w:tcBorders>
              <w:top w:val="single" w:color="auto" w:sz="2" w:space="0"/>
              <w:left w:val="single" w:color="auto" w:sz="2" w:space="0"/>
              <w:bottom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人</w:t>
            </w:r>
          </w:p>
        </w:tc>
        <w:tc>
          <w:tcPr>
            <w:tcW w:w="1248" w:type="dxa"/>
            <w:tcBorders>
              <w:top w:val="single" w:color="auto" w:sz="2" w:space="0"/>
              <w:left w:val="single" w:color="auto" w:sz="2" w:space="0"/>
              <w:bottom w:val="single" w:color="auto" w:sz="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15077</w:t>
            </w:r>
          </w:p>
        </w:tc>
        <w:tc>
          <w:tcPr>
            <w:tcW w:w="1243" w:type="dxa"/>
            <w:tcBorders>
              <w:top w:val="single" w:color="auto" w:sz="2" w:space="0"/>
              <w:left w:val="single" w:color="auto" w:sz="2" w:space="0"/>
              <w:bottom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17884</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699" w:type="dxa"/>
            <w:vMerge w:val="continue"/>
            <w:tcBorders>
              <w:bottom w:val="single" w:color="000000" w:themeColor="text1" w:sz="1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left"/>
              <w:textAlignment w:val="center"/>
              <w:rPr>
                <w:rFonts w:ascii="宋体" w:hAnsi="宋体" w:eastAsia="宋体" w:cs="Times New Roman"/>
                <w:color w:val="000000" w:themeColor="text1"/>
                <w:kern w:val="0"/>
                <w:szCs w:val="21"/>
                <w14:textFill>
                  <w14:solidFill>
                    <w14:schemeClr w14:val="tx1"/>
                  </w14:solidFill>
                </w14:textFill>
              </w:rPr>
            </w:pPr>
          </w:p>
        </w:tc>
        <w:tc>
          <w:tcPr>
            <w:tcW w:w="1500" w:type="dxa"/>
            <w:vMerge w:val="continue"/>
            <w:tcBorders>
              <w:left w:val="single" w:color="auto" w:sz="2" w:space="0"/>
              <w:bottom w:val="single" w:color="000000" w:themeColor="text1" w:sz="1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p>
        </w:tc>
        <w:tc>
          <w:tcPr>
            <w:tcW w:w="3379" w:type="dxa"/>
            <w:tcBorders>
              <w:top w:val="single" w:color="auto" w:sz="2" w:space="0"/>
              <w:left w:val="single" w:color="auto" w:sz="2" w:space="0"/>
              <w:bottom w:val="single" w:color="000000" w:themeColor="text1" w:sz="12" w:space="0"/>
              <w:right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ascii="宋体" w:hAnsi="宋体" w:eastAsia="宋体" w:cs="Times New Roman"/>
                <w:color w:val="000000" w:themeColor="text1"/>
                <w:kern w:val="0"/>
                <w:szCs w:val="21"/>
                <w14:textFill>
                  <w14:solidFill>
                    <w14:schemeClr w14:val="tx1"/>
                  </w14:solidFill>
                </w14:textFill>
              </w:rPr>
              <w:t>参加企业挂职锻炼</w:t>
            </w:r>
          </w:p>
        </w:tc>
        <w:tc>
          <w:tcPr>
            <w:tcW w:w="770" w:type="dxa"/>
            <w:tcBorders>
              <w:top w:val="single" w:color="auto" w:sz="2" w:space="0"/>
              <w:left w:val="single" w:color="auto" w:sz="2" w:space="0"/>
              <w:bottom w:val="single" w:color="000000" w:themeColor="text1" w:sz="1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ascii="宋体" w:hAnsi="宋体" w:eastAsia="宋体" w:cs="Times New Roman"/>
                <w:color w:val="000000" w:themeColor="text1"/>
                <w:kern w:val="0"/>
                <w:szCs w:val="21"/>
                <w14:textFill>
                  <w14:solidFill>
                    <w14:schemeClr w14:val="tx1"/>
                  </w14:solidFill>
                </w14:textFill>
              </w:rPr>
              <w:t>人天</w:t>
            </w:r>
          </w:p>
        </w:tc>
        <w:tc>
          <w:tcPr>
            <w:tcW w:w="1248" w:type="dxa"/>
            <w:tcBorders>
              <w:top w:val="single" w:color="auto" w:sz="2" w:space="0"/>
              <w:left w:val="single" w:color="auto" w:sz="2" w:space="0"/>
              <w:bottom w:val="single" w:color="000000" w:themeColor="text1" w:sz="12" w:space="0"/>
              <w:right w:val="single" w:color="auto" w:sz="2" w:space="0"/>
            </w:tcBorders>
            <w:shd w:val="clear" w:color="auto" w:fill="DAEEF6"/>
            <w:tcMar>
              <w:top w:w="15" w:type="dxa"/>
              <w:left w:w="15" w:type="dxa"/>
              <w:right w:w="15" w:type="dxa"/>
            </w:tcMar>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ascii="宋体" w:hAnsi="宋体" w:eastAsia="宋体" w:cs="Times New Roman"/>
                <w:color w:val="000000" w:themeColor="text1"/>
                <w:kern w:val="0"/>
                <w:szCs w:val="21"/>
                <w14:textFill>
                  <w14:solidFill>
                    <w14:schemeClr w14:val="tx1"/>
                  </w14:solidFill>
                </w14:textFill>
              </w:rPr>
              <w:t>789518</w:t>
            </w:r>
          </w:p>
        </w:tc>
        <w:tc>
          <w:tcPr>
            <w:tcW w:w="1243" w:type="dxa"/>
            <w:tcBorders>
              <w:top w:val="single" w:color="auto" w:sz="2" w:space="0"/>
              <w:left w:val="single" w:color="auto" w:sz="2" w:space="0"/>
              <w:bottom w:val="single" w:color="000000" w:themeColor="text1" w:sz="12" w:space="0"/>
            </w:tcBorders>
            <w:shd w:val="clear" w:color="auto" w:fill="DAEEF6"/>
            <w:vAlign w:val="center"/>
          </w:tcPr>
          <w:p>
            <w:pPr>
              <w:widowControl/>
              <w:adjustRightInd w:val="0"/>
              <w:snapToGrid w:val="0"/>
              <w:ind w:left="105" w:leftChars="50" w:right="105" w:rightChars="50"/>
              <w:jc w:val="center"/>
              <w:rPr>
                <w:rFonts w:ascii="宋体" w:hAnsi="宋体" w:eastAsia="宋体" w:cs="Times New Roman"/>
                <w:color w:val="000000" w:themeColor="text1"/>
                <w:kern w:val="0"/>
                <w:szCs w:val="21"/>
                <w14:textFill>
                  <w14:solidFill>
                    <w14:schemeClr w14:val="tx1"/>
                  </w14:solidFill>
                </w14:textFill>
              </w:rPr>
            </w:pPr>
            <w:r>
              <w:rPr>
                <w:rFonts w:ascii="宋体" w:hAnsi="宋体" w:eastAsia="宋体" w:cs="Times New Roman"/>
                <w:color w:val="000000" w:themeColor="text1"/>
                <w:kern w:val="0"/>
                <w:szCs w:val="21"/>
                <w14:textFill>
                  <w14:solidFill>
                    <w14:schemeClr w14:val="tx1"/>
                  </w14:solidFill>
                </w14:textFill>
              </w:rPr>
              <w:t>882532</w:t>
            </w:r>
          </w:p>
        </w:tc>
      </w:tr>
    </w:tbl>
    <w:p>
      <w:pPr>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b/>
          <w:bCs/>
          <w:color w:val="000000" w:themeColor="text1"/>
          <w:szCs w:val="21"/>
          <w:shd w:val="pct10" w:color="auto" w:fill="FFFFFF"/>
          <w14:textFill>
            <w14:solidFill>
              <w14:schemeClr w14:val="tx1"/>
            </w14:solidFill>
          </w14:textFill>
        </w:rPr>
        <w:t>数据来源：</w:t>
      </w:r>
      <w:r>
        <w:rPr>
          <w:rFonts w:hint="eastAsia" w:ascii="宋体" w:hAnsi="宋体" w:eastAsia="宋体"/>
          <w:color w:val="000000" w:themeColor="text1"/>
          <w:szCs w:val="21"/>
          <w14:textFill>
            <w14:solidFill>
              <w14:schemeClr w14:val="tx1"/>
            </w14:solidFill>
          </w14:textFill>
        </w:rPr>
        <w:t>2020-2021年</w:t>
      </w:r>
      <w:r>
        <w:rPr>
          <w:rFonts w:ascii="宋体" w:hAnsi="宋体" w:eastAsia="宋体"/>
          <w:color w:val="000000" w:themeColor="text1"/>
          <w:szCs w:val="21"/>
          <w14:textFill>
            <w14:solidFill>
              <w14:schemeClr w14:val="tx1"/>
            </w14:solidFill>
          </w14:textFill>
        </w:rPr>
        <w:t>度高等职业院校人才培养工作状态数据采集与管理平台</w:t>
      </w:r>
      <w:r>
        <w:rPr>
          <w:rFonts w:hint="eastAsia" w:ascii="宋体" w:hAnsi="宋体" w:eastAsia="宋体"/>
          <w:color w:val="000000" w:themeColor="text1"/>
          <w:szCs w:val="21"/>
          <w14:textFill>
            <w14:solidFill>
              <w14:schemeClr w14:val="tx1"/>
            </w14:solidFill>
          </w14:textFill>
        </w:rPr>
        <w:t>。</w:t>
      </w:r>
    </w:p>
    <w:p>
      <w:pPr>
        <w:spacing w:line="360" w:lineRule="auto"/>
        <w:rPr>
          <w:rFonts w:ascii="宋体" w:hAnsi="宋体" w:eastAsia="宋体"/>
          <w:color w:val="000000" w:themeColor="text1"/>
          <w:szCs w:val="21"/>
          <w14:textFill>
            <w14:solidFill>
              <w14:schemeClr w14:val="tx1"/>
            </w14:solidFill>
          </w14:textFill>
        </w:rPr>
      </w:pPr>
    </w:p>
    <w:tbl>
      <w:tblPr>
        <w:tblStyle w:val="21"/>
        <w:tblW w:w="5215" w:type="pct"/>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45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5" w:hRule="atLeast"/>
          <w:jc w:val="center"/>
        </w:trPr>
        <w:tc>
          <w:tcPr>
            <w:tcW w:w="9214" w:type="dxa"/>
            <w:tcBorders>
              <w:bottom w:val="single" w:color="FFFFFF" w:sz="4" w:space="0"/>
            </w:tcBorders>
            <w:shd w:val="clear" w:color="auto" w:fill="0070C0"/>
            <w:vAlign w:val="center"/>
          </w:tcPr>
          <w:p>
            <w:pPr>
              <w:spacing w:line="520" w:lineRule="exact"/>
              <w:outlineLvl w:val="1"/>
              <w:rPr>
                <w:rFonts w:ascii="楷体_GB2312" w:hAnsi="Times New Roman" w:eastAsia="楷体_GB2312" w:cs="Times New Roman"/>
                <w:b/>
                <w:color w:val="000000" w:themeColor="text1"/>
                <w:kern w:val="0"/>
                <w:sz w:val="28"/>
                <w:szCs w:val="28"/>
                <w14:textFill>
                  <w14:solidFill>
                    <w14:schemeClr w14:val="tx1"/>
                  </w14:solidFill>
                </w14:textFill>
              </w:rPr>
            </w:pPr>
            <w:bookmarkStart w:id="143" w:name="_Toc91604976"/>
            <w:bookmarkStart w:id="144" w:name="_Toc94172316"/>
            <w:bookmarkStart w:id="145" w:name="_Toc94172175"/>
            <w:bookmarkStart w:id="146" w:name="_Toc94183418"/>
            <w:r>
              <w:rPr>
                <w:rFonts w:hint="eastAsia" w:ascii="楷体_GB2312" w:hAnsi="黑体" w:eastAsia="楷体_GB2312" w:cs="黑体"/>
                <w:b/>
                <w:bCs/>
                <w:color w:val="FFFFFF" w:themeColor="background1"/>
                <w:sz w:val="28"/>
                <w:szCs w:val="28"/>
                <w14:textFill>
                  <w14:solidFill>
                    <w14:schemeClr w14:val="bg1"/>
                  </w14:solidFill>
                </w14:textFill>
              </w:rPr>
              <w:t>专栏2-3 构建教师培训计划，全力培育高素质教师队伍</w:t>
            </w:r>
            <w:bookmarkEnd w:id="143"/>
            <w:bookmarkEnd w:id="144"/>
            <w:bookmarkEnd w:id="145"/>
            <w:bookmarkEnd w:id="146"/>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408" w:hRule="atLeast"/>
          <w:jc w:val="center"/>
        </w:trPr>
        <w:tc>
          <w:tcPr>
            <w:tcW w:w="9214" w:type="dxa"/>
            <w:shd w:val="clear" w:color="auto" w:fill="CDEAFF"/>
          </w:tcPr>
          <w:p>
            <w:pPr>
              <w:widowControl/>
              <w:spacing w:line="500" w:lineRule="exact"/>
              <w:ind w:firstLine="482" w:firstLineChars="200"/>
              <w:rPr>
                <w:rFonts w:ascii="仿宋_GB2312" w:hAnsi="仿宋" w:eastAsia="仿宋_GB2312" w:cs="Times New Roman"/>
                <w:bCs/>
                <w:color w:val="000000" w:themeColor="text1"/>
                <w:kern w:val="0"/>
                <w:sz w:val="24"/>
                <w:szCs w:val="24"/>
                <w14:textFill>
                  <w14:solidFill>
                    <w14:schemeClr w14:val="tx1"/>
                  </w14:solidFill>
                </w14:textFill>
              </w:rPr>
            </w:pPr>
            <w:r>
              <w:rPr>
                <w:rFonts w:hint="eastAsia" w:ascii="仿宋_GB2312" w:hAnsi="仿宋" w:eastAsia="仿宋_GB2312" w:cs="Times New Roman"/>
                <w:b/>
                <w:bCs/>
                <w:color w:val="0070C0"/>
                <w:kern w:val="0"/>
                <w:sz w:val="24"/>
                <w:szCs w:val="24"/>
              </w:rPr>
              <w:t>威海职业学院</w:t>
            </w:r>
            <w:r>
              <w:rPr>
                <w:rFonts w:hint="eastAsia" w:ascii="仿宋_GB2312" w:hAnsi="仿宋" w:eastAsia="仿宋_GB2312" w:cs="Times New Roman"/>
                <w:bCs/>
                <w:color w:val="000000" w:themeColor="text1"/>
                <w:kern w:val="0"/>
                <w:sz w:val="24"/>
                <w:szCs w:val="24"/>
                <w14:textFill>
                  <w14:solidFill>
                    <w14:schemeClr w14:val="tx1"/>
                  </w14:solidFill>
                </w14:textFill>
              </w:rPr>
              <w:t>借力“三+”培训模式，打造育训皆能教师队伍。依托校本培训模块化项目库与专家库，对教师、教学团队分层分类施训，形成了“模块化项目库+专家库”“混合式+菜单式”“自发开课+自主选课”的“三+”校本培训运行模式，共开展校本培训项目54场次1144人次。2021年山东省教师发展经验丛书出版发行，威职经验在全省全国推广；《中国教育报》刊发文章，对该理念引领下的学校改革发展举措进行了全面阐述。</w:t>
            </w:r>
          </w:p>
          <w:p>
            <w:pPr>
              <w:widowControl/>
              <w:spacing w:line="500" w:lineRule="exact"/>
              <w:ind w:firstLine="482" w:firstLineChars="200"/>
              <w:rPr>
                <w:rFonts w:ascii="仿宋_GB2312" w:hAnsi="仿宋" w:eastAsia="仿宋_GB2312" w:cs="Times New Roman"/>
                <w:bCs/>
                <w:color w:val="000000" w:themeColor="text1"/>
                <w:kern w:val="0"/>
                <w:sz w:val="24"/>
                <w:szCs w:val="24"/>
                <w14:textFill>
                  <w14:solidFill>
                    <w14:schemeClr w14:val="tx1"/>
                  </w14:solidFill>
                </w14:textFill>
              </w:rPr>
            </w:pPr>
            <w:r>
              <w:rPr>
                <w:rFonts w:hint="eastAsia" w:ascii="仿宋_GB2312" w:hAnsi="仿宋" w:eastAsia="仿宋_GB2312" w:cs="Times New Roman"/>
                <w:b/>
                <w:bCs/>
                <w:color w:val="0070C0"/>
                <w:kern w:val="0"/>
                <w:sz w:val="24"/>
                <w:szCs w:val="24"/>
              </w:rPr>
              <w:t>德州职业技术学院</w:t>
            </w:r>
            <w:r>
              <w:rPr>
                <w:rFonts w:hint="eastAsia" w:ascii="仿宋_GB2312" w:hAnsi="仿宋" w:eastAsia="仿宋_GB2312" w:cs="Times New Roman"/>
                <w:color w:val="000000" w:themeColor="text1"/>
                <w:kern w:val="0"/>
                <w:sz w:val="24"/>
                <w:szCs w:val="24"/>
                <w14:textFill>
                  <w14:solidFill>
                    <w14:schemeClr w14:val="tx1"/>
                  </w14:solidFill>
                </w14:textFill>
              </w:rPr>
              <w:t>构建“一优三强”师资队伍建设体系，突出“匠心育人”理念，促进产学研协同创新，塑造一支师德高尚、学识水平高、教学能力强、实践操作能力过硬的“工匠之师”。建成省级以上教学团队</w:t>
            </w:r>
            <w:r>
              <w:rPr>
                <w:rFonts w:ascii="仿宋_GB2312" w:hAnsi="仿宋" w:eastAsia="仿宋_GB2312" w:cs="Times New Roman"/>
                <w:color w:val="000000" w:themeColor="text1"/>
                <w:kern w:val="0"/>
                <w:sz w:val="24"/>
                <w:szCs w:val="24"/>
                <w14:textFill>
                  <w14:solidFill>
                    <w14:schemeClr w14:val="tx1"/>
                  </w14:solidFill>
                </w14:textFill>
              </w:rPr>
              <w:t>6个、省级黄大年式教学团队1个、省级名师工作室4个</w:t>
            </w:r>
            <w:r>
              <w:rPr>
                <w:rFonts w:hint="eastAsia" w:ascii="仿宋_GB2312" w:hAnsi="仿宋" w:eastAsia="仿宋_GB2312" w:cs="Times New Roman"/>
                <w:color w:val="000000" w:themeColor="text1"/>
                <w:kern w:val="0"/>
                <w:sz w:val="24"/>
                <w:szCs w:val="24"/>
                <w14:textFill>
                  <w14:solidFill>
                    <w14:schemeClr w14:val="tx1"/>
                  </w14:solidFill>
                </w14:textFill>
              </w:rPr>
              <w:t>，教师参加省级以上教学比赛、技能大赛获奖</w:t>
            </w:r>
            <w:r>
              <w:rPr>
                <w:rFonts w:ascii="仿宋_GB2312" w:hAnsi="仿宋" w:eastAsia="仿宋_GB2312" w:cs="Times New Roman"/>
                <w:color w:val="000000" w:themeColor="text1"/>
                <w:kern w:val="0"/>
                <w:sz w:val="24"/>
                <w:szCs w:val="24"/>
                <w14:textFill>
                  <w14:solidFill>
                    <w14:schemeClr w14:val="tx1"/>
                  </w14:solidFill>
                </w14:textFill>
              </w:rPr>
              <w:t>46项，立项省级以上教科研课题38项</w:t>
            </w:r>
            <w:r>
              <w:rPr>
                <w:rFonts w:hint="eastAsia" w:ascii="仿宋_GB2312" w:hAnsi="仿宋" w:eastAsia="仿宋_GB2312" w:cs="Times New Roman"/>
                <w:color w:val="000000" w:themeColor="text1"/>
                <w:kern w:val="0"/>
                <w:sz w:val="24"/>
                <w:szCs w:val="24"/>
                <w14:textFill>
                  <w14:solidFill>
                    <w14:schemeClr w14:val="tx1"/>
                  </w14:solidFill>
                </w14:textFill>
              </w:rPr>
              <w:t>。</w:t>
            </w:r>
          </w:p>
        </w:tc>
      </w:tr>
    </w:tbl>
    <w:p>
      <w:pPr>
        <w:spacing w:line="500" w:lineRule="exact"/>
        <w:ind w:firstLine="562" w:firstLineChars="200"/>
        <w:rPr>
          <w:rFonts w:ascii="仿宋_GB2312" w:hAnsi="仿宋" w:eastAsia="仿宋_GB2312"/>
          <w:b/>
          <w:bCs/>
          <w:color w:val="000000" w:themeColor="text1"/>
          <w:sz w:val="28"/>
          <w:szCs w:val="28"/>
          <w14:textFill>
            <w14:solidFill>
              <w14:schemeClr w14:val="tx1"/>
            </w14:solidFill>
          </w14:textFill>
        </w:rPr>
      </w:pPr>
      <w:r>
        <w:rPr>
          <w:rFonts w:hint="eastAsia" w:ascii="仿宋_GB2312" w:hAnsi="仿宋" w:eastAsia="仿宋_GB2312"/>
          <w:b/>
          <w:bCs/>
          <w:color w:val="000000" w:themeColor="text1"/>
          <w:sz w:val="28"/>
          <w:szCs w:val="28"/>
          <w14:textFill>
            <w14:solidFill>
              <w14:schemeClr w14:val="tx1"/>
            </w14:solidFill>
          </w14:textFill>
        </w:rPr>
        <w:t>2.</w:t>
      </w:r>
      <w:r>
        <w:rPr>
          <w:rFonts w:ascii="仿宋_GB2312" w:hAnsi="仿宋" w:eastAsia="仿宋_GB2312"/>
          <w:b/>
          <w:bCs/>
          <w:color w:val="000000" w:themeColor="text1"/>
          <w:sz w:val="28"/>
          <w:szCs w:val="28"/>
          <w14:textFill>
            <w14:solidFill>
              <w14:schemeClr w14:val="tx1"/>
            </w14:solidFill>
          </w14:textFill>
        </w:rPr>
        <w:t>4</w:t>
      </w:r>
      <w:r>
        <w:rPr>
          <w:rFonts w:hint="eastAsia" w:ascii="仿宋_GB2312" w:hAnsi="仿宋" w:eastAsia="仿宋_GB2312"/>
          <w:b/>
          <w:bCs/>
          <w:color w:val="000000" w:themeColor="text1"/>
          <w:sz w:val="28"/>
          <w:szCs w:val="28"/>
          <w14:textFill>
            <w14:solidFill>
              <w14:schemeClr w14:val="tx1"/>
            </w14:solidFill>
          </w14:textFill>
        </w:rPr>
        <w:t>.4教师教学创新团队建设进一步强化</w:t>
      </w:r>
    </w:p>
    <w:p>
      <w:pPr>
        <w:spacing w:line="50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根据《教育部关于印发〈全国职业院校教师教学创新团队建设方案〉的通知》精神，2019年、2021年，教育部分两批共遴选建设360个国家级职业院校教师教学创新团队。首批国家级职业教育教师教学创新团队立项建设单位中，山东共有9所单位立项；第二批立项建设单位中，山东省又新增22所单位，立项单位总数量与浙江省并列，位列全国第二，立项单位数量约占全国所有立项建设单位数量的8.61%，具体见表2-</w:t>
      </w:r>
      <w:r>
        <w:rPr>
          <w:rFonts w:ascii="仿宋_GB2312" w:hAnsi="仿宋" w:eastAsia="仿宋_GB2312"/>
          <w:color w:val="000000" w:themeColor="text1"/>
          <w:sz w:val="28"/>
          <w:szCs w:val="28"/>
          <w14:textFill>
            <w14:solidFill>
              <w14:schemeClr w14:val="tx1"/>
            </w14:solidFill>
          </w14:textFill>
        </w:rPr>
        <w:t>5</w:t>
      </w:r>
      <w:r>
        <w:rPr>
          <w:rFonts w:hint="eastAsia" w:ascii="仿宋_GB2312" w:hAnsi="仿宋" w:eastAsia="仿宋_GB2312"/>
          <w:color w:val="000000" w:themeColor="text1"/>
          <w:sz w:val="28"/>
          <w:szCs w:val="28"/>
          <w14:textFill>
            <w14:solidFill>
              <w14:schemeClr w14:val="tx1"/>
            </w14:solidFill>
          </w14:textFill>
        </w:rPr>
        <w:t>所示。所涉及的专业领域主要包括工业机器人应用与维护、Web前端开发、云计算与大数据运用、建筑信息模型制作与应用、新能源与环保技术、现代物流管理、养老服务、高端装备、现代交通运输、新一代信息技术、卫生健康服务、绿色环保、文体旅游、现代农业、财经商贸等，专业设置与山东省城市发展建设方向相一致，各高职院校依托当地产业发展需求积极发展职业教育，培养专业高素质技术技能人才，推动山东省职业教育适应性发展。</w:t>
      </w:r>
    </w:p>
    <w:p>
      <w:pPr>
        <w:spacing w:line="500" w:lineRule="exact"/>
        <w:ind w:firstLine="560" w:firstLineChars="200"/>
        <w:rPr>
          <w:rFonts w:ascii="仿宋_GB2312" w:hAnsi="仿宋" w:eastAsia="仿宋_GB2312"/>
          <w:color w:val="000000" w:themeColor="text1"/>
          <w:sz w:val="28"/>
          <w:szCs w:val="28"/>
          <w14:textFill>
            <w14:solidFill>
              <w14:schemeClr w14:val="tx1"/>
            </w14:solidFill>
          </w14:textFill>
        </w:rPr>
      </w:pP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147" w:name="_Toc91606494"/>
      <w:bookmarkStart w:id="148" w:name="_Toc94183419"/>
      <w:bookmarkStart w:id="149" w:name="_Toc94172176"/>
      <w:bookmarkStart w:id="150" w:name="_Toc94172317"/>
      <w:bookmarkStart w:id="151" w:name="_Toc91604977"/>
      <w:r>
        <w:rPr>
          <w:rFonts w:hint="eastAsia" w:ascii="宋体" w:hAnsi="宋体" w:eastAsia="宋体"/>
          <w:color w:val="000000" w:themeColor="text1"/>
          <w:sz w:val="24"/>
          <w:szCs w:val="24"/>
          <w14:textFill>
            <w14:solidFill>
              <w14:schemeClr w14:val="tx1"/>
            </w14:solidFill>
          </w14:textFill>
        </w:rPr>
        <w:t>表2-</w:t>
      </w:r>
      <w:r>
        <w:rPr>
          <w:rFonts w:ascii="宋体" w:hAnsi="宋体" w:eastAsia="宋体"/>
          <w:color w:val="000000" w:themeColor="text1"/>
          <w:sz w:val="24"/>
          <w:szCs w:val="24"/>
          <w14:textFill>
            <w14:solidFill>
              <w14:schemeClr w14:val="tx1"/>
            </w14:solidFill>
          </w14:textFill>
        </w:rPr>
        <w:t>5</w:t>
      </w:r>
      <w:r>
        <w:rPr>
          <w:rFonts w:hint="eastAsia" w:ascii="宋体" w:hAnsi="宋体" w:eastAsia="宋体"/>
          <w:color w:val="000000" w:themeColor="text1"/>
          <w:sz w:val="24"/>
          <w:szCs w:val="24"/>
          <w14:textFill>
            <w14:solidFill>
              <w14:schemeClr w14:val="tx1"/>
            </w14:solidFill>
          </w14:textFill>
        </w:rPr>
        <w:t xml:space="preserve"> 国家级职业教育教师教学创新团队立项建设单位</w:t>
      </w:r>
      <w:bookmarkEnd w:id="147"/>
      <w:bookmarkEnd w:id="148"/>
      <w:bookmarkEnd w:id="149"/>
      <w:bookmarkEnd w:id="150"/>
      <w:bookmarkEnd w:id="151"/>
    </w:p>
    <w:tbl>
      <w:tblPr>
        <w:tblStyle w:val="22"/>
        <w:tblW w:w="0" w:type="auto"/>
        <w:jc w:val="center"/>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
      <w:tblGrid>
        <w:gridCol w:w="857"/>
        <w:gridCol w:w="1280"/>
        <w:gridCol w:w="1643"/>
        <w:gridCol w:w="1932"/>
        <w:gridCol w:w="1495"/>
        <w:gridCol w:w="1361"/>
      </w:tblGrid>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74" w:hRule="atLeast"/>
          <w:jc w:val="center"/>
        </w:trPr>
        <w:tc>
          <w:tcPr>
            <w:tcW w:w="857" w:type="dxa"/>
            <w:tcBorders>
              <w:top w:val="single" w:color="2F5496" w:themeColor="accent1" w:themeShade="BF" w:sz="12" w:space="0"/>
              <w:bottom w:val="single" w:color="auto" w:sz="2" w:space="0"/>
            </w:tcBorders>
            <w:shd w:val="clear" w:color="auto" w:fill="4472C4"/>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序号</w:t>
            </w:r>
          </w:p>
        </w:tc>
        <w:tc>
          <w:tcPr>
            <w:tcW w:w="1280" w:type="dxa"/>
            <w:tcBorders>
              <w:top w:val="single" w:color="2F5496" w:themeColor="accent1" w:themeShade="BF" w:sz="12" w:space="0"/>
              <w:bottom w:val="single" w:color="auto" w:sz="2" w:space="0"/>
            </w:tcBorders>
            <w:shd w:val="clear" w:color="auto" w:fill="4472C4"/>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所在地区</w:t>
            </w:r>
          </w:p>
        </w:tc>
        <w:tc>
          <w:tcPr>
            <w:tcW w:w="1643" w:type="dxa"/>
            <w:tcBorders>
              <w:top w:val="single" w:color="2F5496" w:themeColor="accent1" w:themeShade="BF" w:sz="12" w:space="0"/>
              <w:bottom w:val="single" w:color="auto" w:sz="2" w:space="0"/>
            </w:tcBorders>
            <w:shd w:val="clear" w:color="auto" w:fill="4472C4"/>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首批立项（个）</w:t>
            </w:r>
          </w:p>
        </w:tc>
        <w:tc>
          <w:tcPr>
            <w:tcW w:w="1932" w:type="dxa"/>
            <w:tcBorders>
              <w:top w:val="single" w:color="2F5496" w:themeColor="accent1" w:themeShade="BF" w:sz="12" w:space="0"/>
              <w:bottom w:val="single" w:color="auto" w:sz="2" w:space="0"/>
            </w:tcBorders>
            <w:shd w:val="clear" w:color="auto" w:fill="4472C4"/>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第二批立项（个）</w:t>
            </w:r>
          </w:p>
        </w:tc>
        <w:tc>
          <w:tcPr>
            <w:tcW w:w="1495" w:type="dxa"/>
            <w:tcBorders>
              <w:top w:val="single" w:color="2F5496" w:themeColor="accent1" w:themeShade="BF" w:sz="12" w:space="0"/>
              <w:bottom w:val="single" w:color="auto" w:sz="2" w:space="0"/>
            </w:tcBorders>
            <w:shd w:val="clear" w:color="auto" w:fill="4472C4"/>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总立项（个）</w:t>
            </w:r>
          </w:p>
        </w:tc>
        <w:tc>
          <w:tcPr>
            <w:tcW w:w="1361" w:type="dxa"/>
            <w:tcBorders>
              <w:top w:val="single" w:color="2F5496" w:themeColor="accent1" w:themeShade="BF" w:sz="12" w:space="0"/>
              <w:bottom w:val="single" w:color="auto" w:sz="2" w:space="0"/>
            </w:tcBorders>
            <w:shd w:val="clear" w:color="auto" w:fill="4472C4"/>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全国占比/%</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74" w:hRule="atLeast"/>
          <w:jc w:val="center"/>
        </w:trPr>
        <w:tc>
          <w:tcPr>
            <w:tcW w:w="857"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p>
        </w:tc>
        <w:tc>
          <w:tcPr>
            <w:tcW w:w="1280"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江苏</w:t>
            </w:r>
          </w:p>
        </w:tc>
        <w:tc>
          <w:tcPr>
            <w:tcW w:w="1643"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13</w:t>
            </w:r>
          </w:p>
        </w:tc>
        <w:tc>
          <w:tcPr>
            <w:tcW w:w="1932"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26</w:t>
            </w:r>
          </w:p>
        </w:tc>
        <w:tc>
          <w:tcPr>
            <w:tcW w:w="1495"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39</w:t>
            </w:r>
          </w:p>
        </w:tc>
        <w:tc>
          <w:tcPr>
            <w:tcW w:w="1361"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10.83</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86" w:hRule="atLeast"/>
          <w:jc w:val="center"/>
        </w:trPr>
        <w:tc>
          <w:tcPr>
            <w:tcW w:w="857" w:type="dxa"/>
            <w:tcBorders>
              <w:top w:val="single" w:color="auto" w:sz="2" w:space="0"/>
              <w:bottom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w:t>
            </w:r>
          </w:p>
        </w:tc>
        <w:tc>
          <w:tcPr>
            <w:tcW w:w="1280" w:type="dxa"/>
            <w:tcBorders>
              <w:top w:val="single" w:color="auto" w:sz="2" w:space="0"/>
              <w:bottom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山东</w:t>
            </w:r>
          </w:p>
        </w:tc>
        <w:tc>
          <w:tcPr>
            <w:tcW w:w="1643" w:type="dxa"/>
            <w:tcBorders>
              <w:top w:val="single" w:color="auto" w:sz="2" w:space="0"/>
              <w:bottom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9</w:t>
            </w:r>
          </w:p>
        </w:tc>
        <w:tc>
          <w:tcPr>
            <w:tcW w:w="1932" w:type="dxa"/>
            <w:tcBorders>
              <w:top w:val="single" w:color="auto" w:sz="2" w:space="0"/>
              <w:bottom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22</w:t>
            </w:r>
          </w:p>
        </w:tc>
        <w:tc>
          <w:tcPr>
            <w:tcW w:w="1495" w:type="dxa"/>
            <w:tcBorders>
              <w:top w:val="single" w:color="auto" w:sz="2" w:space="0"/>
              <w:bottom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31</w:t>
            </w:r>
          </w:p>
        </w:tc>
        <w:tc>
          <w:tcPr>
            <w:tcW w:w="1361" w:type="dxa"/>
            <w:tcBorders>
              <w:top w:val="single" w:color="auto" w:sz="2" w:space="0"/>
              <w:bottom w:val="single" w:color="auto" w:sz="2" w:space="0"/>
            </w:tcBorders>
            <w:shd w:val="clear" w:color="auto" w:fill="DAEEF6"/>
            <w:vAlign w:val="center"/>
          </w:tcPr>
          <w:p>
            <w:pPr>
              <w:widowControl/>
              <w:adjustRightInd w:val="0"/>
              <w:snapToGrid w:val="0"/>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8.61</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74" w:hRule="atLeast"/>
          <w:jc w:val="center"/>
        </w:trPr>
        <w:tc>
          <w:tcPr>
            <w:tcW w:w="857" w:type="dxa"/>
            <w:tcBorders>
              <w:top w:val="single" w:color="auto" w:sz="2" w:space="0"/>
              <w:bottom w:val="single" w:color="auto" w:sz="2" w:space="0"/>
            </w:tcBorders>
            <w:shd w:val="clear" w:color="auto" w:fill="auto"/>
            <w:vAlign w:val="center"/>
          </w:tcPr>
          <w:p>
            <w:pPr>
              <w:widowControl/>
              <w:adjustRightInd w:val="0"/>
              <w:snapToGrid w:val="0"/>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w:t>
            </w:r>
          </w:p>
        </w:tc>
        <w:tc>
          <w:tcPr>
            <w:tcW w:w="1280" w:type="dxa"/>
            <w:tcBorders>
              <w:top w:val="single" w:color="auto" w:sz="2" w:space="0"/>
              <w:bottom w:val="single" w:color="auto" w:sz="2" w:space="0"/>
            </w:tcBorders>
            <w:shd w:val="clear" w:color="auto" w:fill="auto"/>
            <w:vAlign w:val="center"/>
          </w:tcPr>
          <w:p>
            <w:pPr>
              <w:widowControl/>
              <w:adjustRightInd w:val="0"/>
              <w:snapToGrid w:val="0"/>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浙江</w:t>
            </w:r>
          </w:p>
        </w:tc>
        <w:tc>
          <w:tcPr>
            <w:tcW w:w="1643"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11</w:t>
            </w:r>
          </w:p>
        </w:tc>
        <w:tc>
          <w:tcPr>
            <w:tcW w:w="1932"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20</w:t>
            </w:r>
          </w:p>
        </w:tc>
        <w:tc>
          <w:tcPr>
            <w:tcW w:w="1495"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31</w:t>
            </w:r>
          </w:p>
        </w:tc>
        <w:tc>
          <w:tcPr>
            <w:tcW w:w="1361"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8.61</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74" w:hRule="atLeast"/>
          <w:jc w:val="center"/>
        </w:trPr>
        <w:tc>
          <w:tcPr>
            <w:tcW w:w="857"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w:t>
            </w:r>
          </w:p>
        </w:tc>
        <w:tc>
          <w:tcPr>
            <w:tcW w:w="1280"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广东</w:t>
            </w:r>
          </w:p>
        </w:tc>
        <w:tc>
          <w:tcPr>
            <w:tcW w:w="1643"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w:t>
            </w:r>
          </w:p>
        </w:tc>
        <w:tc>
          <w:tcPr>
            <w:tcW w:w="1932"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15</w:t>
            </w:r>
          </w:p>
        </w:tc>
        <w:tc>
          <w:tcPr>
            <w:tcW w:w="1495"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23</w:t>
            </w:r>
          </w:p>
        </w:tc>
        <w:tc>
          <w:tcPr>
            <w:tcW w:w="1361"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6.39</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74" w:hRule="atLeast"/>
          <w:jc w:val="center"/>
        </w:trPr>
        <w:tc>
          <w:tcPr>
            <w:tcW w:w="857"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w:t>
            </w:r>
          </w:p>
        </w:tc>
        <w:tc>
          <w:tcPr>
            <w:tcW w:w="1280"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重庆</w:t>
            </w:r>
          </w:p>
        </w:tc>
        <w:tc>
          <w:tcPr>
            <w:tcW w:w="1643"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7</w:t>
            </w:r>
          </w:p>
        </w:tc>
        <w:tc>
          <w:tcPr>
            <w:tcW w:w="1932"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15</w:t>
            </w:r>
          </w:p>
        </w:tc>
        <w:tc>
          <w:tcPr>
            <w:tcW w:w="1495"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22</w:t>
            </w:r>
          </w:p>
        </w:tc>
        <w:tc>
          <w:tcPr>
            <w:tcW w:w="1361"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6.11</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74" w:hRule="atLeast"/>
          <w:jc w:val="center"/>
        </w:trPr>
        <w:tc>
          <w:tcPr>
            <w:tcW w:w="857"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w:t>
            </w:r>
          </w:p>
        </w:tc>
        <w:tc>
          <w:tcPr>
            <w:tcW w:w="1280"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湖南</w:t>
            </w:r>
          </w:p>
        </w:tc>
        <w:tc>
          <w:tcPr>
            <w:tcW w:w="1643"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w:t>
            </w:r>
          </w:p>
        </w:tc>
        <w:tc>
          <w:tcPr>
            <w:tcW w:w="1932"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13</w:t>
            </w:r>
          </w:p>
        </w:tc>
        <w:tc>
          <w:tcPr>
            <w:tcW w:w="1495"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21</w:t>
            </w:r>
          </w:p>
        </w:tc>
        <w:tc>
          <w:tcPr>
            <w:tcW w:w="1361"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5.83</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86" w:hRule="atLeast"/>
          <w:jc w:val="center"/>
        </w:trPr>
        <w:tc>
          <w:tcPr>
            <w:tcW w:w="857"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7</w:t>
            </w:r>
          </w:p>
        </w:tc>
        <w:tc>
          <w:tcPr>
            <w:tcW w:w="1280"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河北</w:t>
            </w:r>
          </w:p>
        </w:tc>
        <w:tc>
          <w:tcPr>
            <w:tcW w:w="1643"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w:t>
            </w:r>
          </w:p>
        </w:tc>
        <w:tc>
          <w:tcPr>
            <w:tcW w:w="1932"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14</w:t>
            </w:r>
          </w:p>
        </w:tc>
        <w:tc>
          <w:tcPr>
            <w:tcW w:w="1495"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19</w:t>
            </w:r>
          </w:p>
        </w:tc>
        <w:tc>
          <w:tcPr>
            <w:tcW w:w="1361"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5.28</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74" w:hRule="atLeast"/>
          <w:jc w:val="center"/>
        </w:trPr>
        <w:tc>
          <w:tcPr>
            <w:tcW w:w="857"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w:t>
            </w:r>
          </w:p>
        </w:tc>
        <w:tc>
          <w:tcPr>
            <w:tcW w:w="1280"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广西</w:t>
            </w:r>
          </w:p>
        </w:tc>
        <w:tc>
          <w:tcPr>
            <w:tcW w:w="1643"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w:t>
            </w:r>
          </w:p>
        </w:tc>
        <w:tc>
          <w:tcPr>
            <w:tcW w:w="1932"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11</w:t>
            </w:r>
          </w:p>
        </w:tc>
        <w:tc>
          <w:tcPr>
            <w:tcW w:w="1495"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16</w:t>
            </w:r>
          </w:p>
        </w:tc>
        <w:tc>
          <w:tcPr>
            <w:tcW w:w="1361" w:type="dxa"/>
            <w:tcBorders>
              <w:top w:val="single" w:color="auto" w:sz="2" w:space="0"/>
              <w:bottom w:val="single" w:color="auto" w:sz="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4.44</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74" w:hRule="atLeast"/>
          <w:jc w:val="center"/>
        </w:trPr>
        <w:tc>
          <w:tcPr>
            <w:tcW w:w="857"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9</w:t>
            </w:r>
          </w:p>
        </w:tc>
        <w:tc>
          <w:tcPr>
            <w:tcW w:w="1280"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湖北</w:t>
            </w:r>
          </w:p>
        </w:tc>
        <w:tc>
          <w:tcPr>
            <w:tcW w:w="1643"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w:t>
            </w:r>
          </w:p>
        </w:tc>
        <w:tc>
          <w:tcPr>
            <w:tcW w:w="1932"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10</w:t>
            </w:r>
          </w:p>
        </w:tc>
        <w:tc>
          <w:tcPr>
            <w:tcW w:w="1495"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15</w:t>
            </w:r>
          </w:p>
        </w:tc>
        <w:tc>
          <w:tcPr>
            <w:tcW w:w="1361" w:type="dxa"/>
            <w:tcBorders>
              <w:top w:val="single" w:color="auto" w:sz="2" w:space="0"/>
              <w:bottom w:val="single" w:color="auto" w:sz="2" w:space="0"/>
            </w:tcBorders>
            <w:shd w:val="clear" w:color="auto" w:fill="auto"/>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4.17</w:t>
            </w:r>
          </w:p>
        </w:tc>
      </w:tr>
      <w:tr>
        <w:tblPrEx>
          <w:tblBorders>
            <w:top w:val="single" w:color="2F5496" w:themeColor="accent1" w:themeShade="BF" w:sz="12" w:space="0"/>
            <w:left w:val="none" w:color="auto" w:sz="0" w:space="0"/>
            <w:bottom w:val="single" w:color="2F5496" w:themeColor="accent1" w:themeShade="BF"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86" w:hRule="atLeast"/>
          <w:jc w:val="center"/>
        </w:trPr>
        <w:tc>
          <w:tcPr>
            <w:tcW w:w="857" w:type="dxa"/>
            <w:tcBorders>
              <w:top w:val="single" w:color="auto" w:sz="2" w:space="0"/>
              <w:bottom w:val="single" w:color="2F5496" w:themeColor="accent1" w:themeShade="BF" w:sz="1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10</w:t>
            </w:r>
          </w:p>
        </w:tc>
        <w:tc>
          <w:tcPr>
            <w:tcW w:w="1280" w:type="dxa"/>
            <w:tcBorders>
              <w:top w:val="single" w:color="auto" w:sz="2" w:space="0"/>
              <w:bottom w:val="single" w:color="2F5496" w:themeColor="accent1" w:themeShade="BF" w:sz="1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天津</w:t>
            </w:r>
          </w:p>
        </w:tc>
        <w:tc>
          <w:tcPr>
            <w:tcW w:w="1643" w:type="dxa"/>
            <w:tcBorders>
              <w:top w:val="single" w:color="auto" w:sz="2" w:space="0"/>
              <w:bottom w:val="single" w:color="2F5496" w:themeColor="accent1" w:themeShade="BF" w:sz="1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w:t>
            </w:r>
          </w:p>
        </w:tc>
        <w:tc>
          <w:tcPr>
            <w:tcW w:w="1932" w:type="dxa"/>
            <w:tcBorders>
              <w:top w:val="single" w:color="auto" w:sz="2" w:space="0"/>
              <w:bottom w:val="single" w:color="2F5496" w:themeColor="accent1" w:themeShade="BF" w:sz="1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w:t>
            </w:r>
          </w:p>
        </w:tc>
        <w:tc>
          <w:tcPr>
            <w:tcW w:w="1495" w:type="dxa"/>
            <w:tcBorders>
              <w:top w:val="single" w:color="auto" w:sz="2" w:space="0"/>
              <w:bottom w:val="single" w:color="2F5496" w:themeColor="accent1" w:themeShade="BF" w:sz="1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14</w:t>
            </w:r>
          </w:p>
        </w:tc>
        <w:tc>
          <w:tcPr>
            <w:tcW w:w="1361" w:type="dxa"/>
            <w:tcBorders>
              <w:top w:val="single" w:color="auto" w:sz="2" w:space="0"/>
              <w:bottom w:val="single" w:color="2F5496" w:themeColor="accent1" w:themeShade="BF" w:sz="12" w:space="0"/>
            </w:tcBorders>
            <w:shd w:val="clear" w:color="auto" w:fill="DAEEF6"/>
            <w:vAlign w:val="center"/>
          </w:tcPr>
          <w:p>
            <w:pPr>
              <w:ind w:left="105" w:leftChars="50" w:right="105" w:rightChars="5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3.89</w:t>
            </w:r>
          </w:p>
        </w:tc>
      </w:tr>
    </w:tbl>
    <w:p>
      <w:pPr>
        <w:ind w:left="105" w:leftChars="50" w:right="105" w:rightChars="50"/>
        <w:rPr>
          <w:rFonts w:ascii="宋体" w:hAnsi="宋体" w:eastAsia="宋体"/>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数据来源：</w:t>
      </w:r>
      <w:r>
        <w:rPr>
          <w:rFonts w:hint="eastAsia" w:ascii="宋体" w:hAnsi="宋体" w:eastAsia="宋体"/>
          <w:color w:val="000000" w:themeColor="text1"/>
          <w:szCs w:val="21"/>
          <w14:textFill>
            <w14:solidFill>
              <w14:schemeClr w14:val="tx1"/>
            </w14:solidFill>
          </w14:textFill>
        </w:rPr>
        <w:t>教育部《关于公布首批国家级职业教育教师教学创新团队立项建设单位和培育建设单位名单的通知》（教师函〔2019〕7号）；教育部《关于公布第二批国家级职业教育教师教学创新团队立项建设单位和培育建设单位名单的通知》（教师函〔2021〕7号）</w:t>
      </w:r>
    </w:p>
    <w:p>
      <w:pPr>
        <w:spacing w:line="500" w:lineRule="exact"/>
        <w:ind w:firstLine="560" w:firstLineChars="200"/>
        <w:rPr>
          <w:rFonts w:ascii="仿宋_GB2312" w:hAnsi="仿宋" w:eastAsia="仿宋_GB2312"/>
          <w:color w:val="000000" w:themeColor="text1"/>
          <w:sz w:val="28"/>
          <w:szCs w:val="28"/>
          <w14:textFill>
            <w14:solidFill>
              <w14:schemeClr w14:val="tx1"/>
            </w14:solidFill>
          </w14:textFill>
        </w:rPr>
      </w:pPr>
    </w:p>
    <w:tbl>
      <w:tblPr>
        <w:tblStyle w:val="21"/>
        <w:tblW w:w="850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50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atLeast"/>
          <w:jc w:val="center"/>
        </w:trPr>
        <w:tc>
          <w:tcPr>
            <w:tcW w:w="8504" w:type="dxa"/>
            <w:tcBorders>
              <w:bottom w:val="single" w:color="FFFFFF" w:sz="4" w:space="0"/>
            </w:tcBorders>
            <w:shd w:val="clear" w:color="auto" w:fill="0070C0"/>
            <w:vAlign w:val="center"/>
          </w:tcPr>
          <w:p>
            <w:pPr>
              <w:spacing w:line="520" w:lineRule="exact"/>
              <w:outlineLvl w:val="1"/>
              <w:rPr>
                <w:rFonts w:ascii="楷体_GB2312" w:hAnsi="Times New Roman" w:eastAsia="楷体_GB2312" w:cs="Times New Roman"/>
                <w:color w:val="000000" w:themeColor="text1"/>
                <w:kern w:val="0"/>
                <w:sz w:val="28"/>
                <w:szCs w:val="28"/>
                <w14:textFill>
                  <w14:solidFill>
                    <w14:schemeClr w14:val="tx1"/>
                  </w14:solidFill>
                </w14:textFill>
              </w:rPr>
            </w:pPr>
            <w:bookmarkStart w:id="152" w:name="_Toc94172318"/>
            <w:bookmarkStart w:id="153" w:name="_Toc91604978"/>
            <w:bookmarkStart w:id="154" w:name="_Toc94172177"/>
            <w:bookmarkStart w:id="155" w:name="_Toc94183420"/>
            <w:r>
              <w:rPr>
                <w:rFonts w:hint="eastAsia" w:ascii="楷体_GB2312" w:hAnsi="黑体" w:eastAsia="楷体_GB2312" w:cs="黑体"/>
                <w:b/>
                <w:bCs/>
                <w:color w:val="FFFFFF" w:themeColor="background1"/>
                <w:sz w:val="28"/>
                <w:szCs w:val="28"/>
                <w14:textFill>
                  <w14:solidFill>
                    <w14:schemeClr w14:val="bg1"/>
                  </w14:solidFill>
                </w14:textFill>
              </w:rPr>
              <w:t>专栏2-4  匠心独具，炼就国家级教师教学创新团队</w:t>
            </w:r>
            <w:bookmarkEnd w:id="152"/>
            <w:bookmarkEnd w:id="153"/>
            <w:bookmarkEnd w:id="154"/>
            <w:bookmarkEnd w:id="155"/>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jc w:val="center"/>
        </w:trPr>
        <w:tc>
          <w:tcPr>
            <w:tcW w:w="8504" w:type="dxa"/>
            <w:shd w:val="clear" w:color="auto" w:fill="CDEAFF"/>
          </w:tcPr>
          <w:p>
            <w:pPr>
              <w:spacing w:line="500" w:lineRule="exact"/>
              <w:ind w:firstLine="482" w:firstLineChars="200"/>
              <w:rPr>
                <w:rFonts w:ascii="仿宋_GB2312" w:hAnsi="仿宋" w:eastAsia="仿宋_GB2312" w:cs="Times New Roman"/>
                <w:b/>
                <w:bCs/>
                <w:color w:val="000000" w:themeColor="text1"/>
                <w:sz w:val="24"/>
                <w:szCs w:val="24"/>
                <w14:textFill>
                  <w14:solidFill>
                    <w14:schemeClr w14:val="tx1"/>
                  </w14:solidFill>
                </w14:textFill>
              </w:rPr>
            </w:pPr>
            <w:r>
              <w:rPr>
                <w:rFonts w:hint="eastAsia" w:ascii="仿宋_GB2312" w:hAnsi="仿宋" w:eastAsia="仿宋_GB2312" w:cs="Times New Roman"/>
                <w:b/>
                <w:bCs/>
                <w:color w:val="0070C0"/>
                <w:sz w:val="24"/>
                <w:szCs w:val="24"/>
              </w:rPr>
              <w:t>山东交通职业学院</w:t>
            </w:r>
            <w:r>
              <w:rPr>
                <w:rFonts w:hint="eastAsia" w:ascii="仿宋_GB2312" w:hAnsi="仿宋" w:eastAsia="仿宋_GB2312" w:cs="Times New Roman"/>
                <w:color w:val="000000" w:themeColor="text1"/>
                <w:sz w:val="24"/>
                <w:szCs w:val="24"/>
                <w14:textFill>
                  <w14:solidFill>
                    <w14:schemeClr w14:val="tx1"/>
                  </w14:solidFill>
                </w14:textFill>
              </w:rPr>
              <w:t>落实“青桐计划”，创建工匠学院、技能大师工作站，实施党支部书记和专业主任“双带头人”，建设名师、博士工作室，引领青年教师快速成长；实施“六个一”工程、青年教师“双拜师”和“两双一挂”计划，打造双师型教学创新团队。依托国际品牌培训基地，以国际标准为引领，实施国际企业师资认证。团队国家级职业教育教师教学创新团队、山东省高等学校青创人才引育计划建设团队，成为国家党建样板党支部。</w:t>
            </w:r>
          </w:p>
        </w:tc>
      </w:tr>
    </w:tbl>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widowControl/>
        <w:jc w:val="left"/>
        <w:rPr>
          <w:rFonts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br w:type="page"/>
      </w:r>
    </w:p>
    <w:p>
      <w:pPr>
        <w:spacing w:line="520" w:lineRule="exact"/>
        <w:ind w:firstLine="560" w:firstLineChars="200"/>
        <w:outlineLvl w:val="0"/>
        <w:rPr>
          <w:rFonts w:ascii="黑体" w:hAnsi="黑体" w:eastAsia="黑体" w:cs="黑体"/>
          <w:color w:val="000000" w:themeColor="text1"/>
          <w:sz w:val="28"/>
          <w:szCs w:val="28"/>
          <w14:textFill>
            <w14:solidFill>
              <w14:schemeClr w14:val="tx1"/>
            </w14:solidFill>
          </w14:textFill>
        </w:rPr>
      </w:pPr>
      <w:bookmarkStart w:id="156" w:name="_Toc94172178"/>
      <w:bookmarkStart w:id="157" w:name="_Toc94183421"/>
      <w:bookmarkStart w:id="158" w:name="_Toc94172319"/>
      <w:r>
        <w:rPr>
          <w:rFonts w:hint="eastAsia" w:ascii="黑体" w:hAnsi="黑体" w:eastAsia="黑体" w:cs="黑体"/>
          <w:color w:val="000000" w:themeColor="text1"/>
          <w:sz w:val="28"/>
          <w:szCs w:val="28"/>
          <w14:textFill>
            <w14:solidFill>
              <w14:schemeClr w14:val="tx1"/>
            </w14:solidFill>
          </w14:textFill>
        </w:rPr>
        <w:t>3</w:t>
      </w:r>
      <w:r>
        <w:rPr>
          <w:rFonts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14:textFill>
            <w14:solidFill>
              <w14:schemeClr w14:val="tx1"/>
            </w14:solidFill>
          </w14:textFill>
        </w:rPr>
        <w:t>教育教学</w:t>
      </w:r>
      <w:bookmarkEnd w:id="156"/>
      <w:bookmarkEnd w:id="157"/>
      <w:bookmarkEnd w:id="158"/>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山东省高职院校坚持党管办学方向、党管干部人才、党管意识形态，将党的领导贯穿办学治校全过程，以“三个走在前”标准加强改进全省高校党建工作</w:t>
      </w:r>
      <w:r>
        <w:rPr>
          <w:rFonts w:hint="eastAsia" w:ascii="仿宋_GB2312" w:hAnsi="宋体" w:eastAsia="仿宋_GB2312" w:cs="宋体"/>
          <w:color w:val="000000" w:themeColor="text1"/>
          <w:kern w:val="0"/>
          <w:sz w:val="28"/>
          <w:szCs w:val="28"/>
          <w14:textFill>
            <w14:solidFill>
              <w14:schemeClr w14:val="tx1"/>
            </w14:solidFill>
          </w14:textFill>
        </w:rPr>
        <w:t>，</w:t>
      </w:r>
      <w:r>
        <w:rPr>
          <w:rFonts w:hint="eastAsia" w:ascii="仿宋_GB2312" w:eastAsia="仿宋_GB2312"/>
          <w:color w:val="000000" w:themeColor="text1"/>
          <w:sz w:val="28"/>
          <w:szCs w:val="28"/>
          <w14:textFill>
            <w14:solidFill>
              <w14:schemeClr w14:val="tx1"/>
            </w14:solidFill>
          </w14:textFill>
        </w:rPr>
        <w:t>以高质量党建引领高质量发展，为加快推进高质量教育体系建设提供坚强政治保证。</w:t>
      </w:r>
    </w:p>
    <w:p>
      <w:pPr>
        <w:spacing w:line="520" w:lineRule="exact"/>
        <w:ind w:firstLine="567"/>
        <w:outlineLvl w:val="1"/>
        <w:rPr>
          <w:rFonts w:ascii="楷体_GB2312" w:hAnsi="黑体" w:eastAsia="楷体_GB2312" w:cs="黑体"/>
          <w:bCs/>
          <w:color w:val="000000" w:themeColor="text1"/>
          <w:sz w:val="28"/>
          <w:szCs w:val="28"/>
          <w14:textFill>
            <w14:solidFill>
              <w14:schemeClr w14:val="tx1"/>
            </w14:solidFill>
          </w14:textFill>
        </w:rPr>
      </w:pPr>
      <w:bookmarkStart w:id="159" w:name="_Toc94172179"/>
      <w:bookmarkStart w:id="160" w:name="_Toc94172320"/>
      <w:bookmarkStart w:id="161" w:name="_Toc94183422"/>
      <w:r>
        <w:rPr>
          <w:rFonts w:hint="eastAsia" w:ascii="楷体_GB2312" w:hAnsi="黑体" w:eastAsia="楷体_GB2312" w:cs="黑体"/>
          <w:bCs/>
          <w:color w:val="000000" w:themeColor="text1"/>
          <w:sz w:val="28"/>
          <w:szCs w:val="28"/>
          <w14:textFill>
            <w14:solidFill>
              <w14:schemeClr w14:val="tx1"/>
            </w14:solidFill>
          </w14:textFill>
        </w:rPr>
        <w:t>3</w:t>
      </w:r>
      <w:r>
        <w:rPr>
          <w:rFonts w:ascii="楷体_GB2312" w:hAnsi="黑体" w:eastAsia="楷体_GB2312" w:cs="黑体"/>
          <w:bCs/>
          <w:color w:val="000000" w:themeColor="text1"/>
          <w:sz w:val="28"/>
          <w:szCs w:val="28"/>
          <w14:textFill>
            <w14:solidFill>
              <w14:schemeClr w14:val="tx1"/>
            </w14:solidFill>
          </w14:textFill>
        </w:rPr>
        <w:t>.1</w:t>
      </w:r>
      <w:r>
        <w:rPr>
          <w:rFonts w:hint="eastAsia" w:ascii="楷体_GB2312" w:hAnsi="黑体" w:eastAsia="楷体_GB2312" w:cs="黑体"/>
          <w:bCs/>
          <w:color w:val="000000" w:themeColor="text1"/>
          <w:sz w:val="28"/>
          <w:szCs w:val="28"/>
          <w14:textFill>
            <w14:solidFill>
              <w14:schemeClr w14:val="tx1"/>
            </w14:solidFill>
          </w14:textFill>
        </w:rPr>
        <w:t>治理体系</w:t>
      </w:r>
      <w:bookmarkEnd w:id="159"/>
      <w:bookmarkEnd w:id="160"/>
      <w:bookmarkEnd w:id="161"/>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162" w:name="_Toc91604981"/>
      <w:bookmarkStart w:id="163" w:name="_Toc91604663"/>
      <w:bookmarkStart w:id="164" w:name="_Toc91093019"/>
      <w:bookmarkStart w:id="165" w:name="_Toc91606498"/>
      <w:bookmarkStart w:id="166" w:name="_Toc94183423"/>
      <w:bookmarkStart w:id="167" w:name="_Toc94172180"/>
      <w:bookmarkStart w:id="168" w:name="_Toc94172321"/>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.1.</w:t>
      </w:r>
      <w:bookmarkEnd w:id="162"/>
      <w:bookmarkEnd w:id="163"/>
      <w:bookmarkEnd w:id="164"/>
      <w:bookmarkEnd w:id="165"/>
      <w:bookmarkStart w:id="169" w:name="_Toc91604982"/>
      <w:bookmarkStart w:id="170" w:name="_Toc91606499"/>
      <w:bookmarkStart w:id="171" w:name="_Toc91093020"/>
      <w:bookmarkStart w:id="172" w:name="_Toc91604664"/>
      <w:r>
        <w:rPr>
          <w:rFonts w:ascii="仿宋_GB2312" w:hAnsi="仿宋_GB2312" w:eastAsia="仿宋_GB2312" w:cs="仿宋_GB2312"/>
          <w:b/>
          <w:bCs/>
          <w:color w:val="000000" w:themeColor="text1"/>
          <w:sz w:val="28"/>
          <w:szCs w:val="28"/>
          <w14:textFill>
            <w14:solidFill>
              <w14:schemeClr w14:val="tx1"/>
            </w14:solidFill>
          </w14:textFill>
        </w:rPr>
        <w:t>1</w:t>
      </w:r>
      <w:r>
        <w:rPr>
          <w:rFonts w:hint="eastAsia" w:ascii="仿宋_GB2312" w:hAnsi="仿宋_GB2312" w:eastAsia="仿宋_GB2312" w:cs="仿宋_GB2312"/>
          <w:b/>
          <w:bCs/>
          <w:color w:val="000000" w:themeColor="text1"/>
          <w:sz w:val="28"/>
          <w:szCs w:val="28"/>
          <w14:textFill>
            <w14:solidFill>
              <w14:schemeClr w14:val="tx1"/>
            </w14:solidFill>
          </w14:textFill>
        </w:rPr>
        <w:t>加强高职院校领导干部队伍建设</w:t>
      </w:r>
      <w:bookmarkEnd w:id="166"/>
      <w:bookmarkEnd w:id="167"/>
      <w:bookmarkEnd w:id="168"/>
      <w:bookmarkEnd w:id="169"/>
      <w:bookmarkEnd w:id="170"/>
      <w:bookmarkEnd w:id="171"/>
      <w:bookmarkEnd w:id="172"/>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领导干部队伍建设在高职教育改革发展中起着至关重要的作用，是高职教育能否实现高质量发展的关键因素。山东省以开展党史学习教育、学习贯彻十九届六中全会精神等为契机，全面加强高职院校领导干部队伍建设；加强党风廉政教育，筑牢拒腐防变防线；举行全省高职院校领导干部教育评价改革等专项培训班，引导党建工作与业务工作融合发展；举办公办高职（高专）院校舆情应对专题培训班，促使各院校做好舆情引导工作。</w:t>
      </w:r>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173" w:name="_Toc91604983"/>
      <w:bookmarkStart w:id="174" w:name="_Toc91093021"/>
      <w:bookmarkStart w:id="175" w:name="_Toc94183424"/>
      <w:bookmarkStart w:id="176" w:name="_Toc94172181"/>
      <w:bookmarkStart w:id="177" w:name="_Toc91604665"/>
      <w:bookmarkStart w:id="178" w:name="_Toc91606500"/>
      <w:bookmarkStart w:id="179" w:name="_Toc94172322"/>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.1.2</w:t>
      </w:r>
      <w:r>
        <w:rPr>
          <w:rFonts w:hint="eastAsia" w:ascii="仿宋_GB2312" w:hAnsi="仿宋_GB2312" w:eastAsia="仿宋_GB2312" w:cs="仿宋_GB2312"/>
          <w:b/>
          <w:bCs/>
          <w:color w:val="000000" w:themeColor="text1"/>
          <w:sz w:val="28"/>
          <w:szCs w:val="28"/>
          <w14:textFill>
            <w14:solidFill>
              <w14:schemeClr w14:val="tx1"/>
            </w14:solidFill>
          </w14:textFill>
        </w:rPr>
        <w:t>全面推进教育法治工作</w:t>
      </w:r>
      <w:bookmarkEnd w:id="173"/>
      <w:bookmarkEnd w:id="174"/>
      <w:bookmarkEnd w:id="175"/>
      <w:bookmarkEnd w:id="176"/>
      <w:bookmarkEnd w:id="177"/>
      <w:bookmarkEnd w:id="178"/>
      <w:bookmarkEnd w:id="179"/>
    </w:p>
    <w:p>
      <w:pPr>
        <w:spacing w:line="50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教育领域是依法治国的重要领域。山东省充分认识到全面推进依法治教是贯彻落实习近平法治思想的重大政治任务，是构建法治山东的必然要求，是提升教育治理体系和治理能力现代化水平的迫切需要，努力抓好依法治教责任落实、抓好教育执法力量配备、抓好督导检查考核，为全面推进依法治教提供坚强保障。持续完善教育法规制度体系，着力提高教育部门依法行政水平，持续夯实教育普法基础支撑，深入推进依法治校，持续深化“放管服”改革，建设人民满意的服务型教育体系，开创教育法治工作的新局面。</w:t>
      </w:r>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180" w:name="_Toc91606501"/>
      <w:bookmarkStart w:id="181" w:name="_Toc94172182"/>
      <w:bookmarkStart w:id="182" w:name="_Toc94172323"/>
      <w:bookmarkStart w:id="183" w:name="_Toc91604984"/>
      <w:bookmarkStart w:id="184" w:name="_Toc91093022"/>
      <w:bookmarkStart w:id="185" w:name="_Toc94183425"/>
      <w:bookmarkStart w:id="186" w:name="_Toc91604666"/>
      <w:r>
        <w:rPr>
          <w:rFonts w:ascii="仿宋_GB2312" w:hAnsi="仿宋_GB2312" w:eastAsia="仿宋_GB2312" w:cs="仿宋_GB2312"/>
          <w:b/>
          <w:bCs/>
          <w:color w:val="000000" w:themeColor="text1"/>
          <w:sz w:val="28"/>
          <w:szCs w:val="28"/>
          <w14:textFill>
            <w14:solidFill>
              <w14:schemeClr w14:val="tx1"/>
            </w14:solidFill>
          </w14:textFill>
        </w:rPr>
        <w:t>3.1.3加强专项工作规范</w:t>
      </w:r>
      <w:bookmarkEnd w:id="180"/>
      <w:bookmarkEnd w:id="181"/>
      <w:bookmarkEnd w:id="182"/>
      <w:bookmarkEnd w:id="183"/>
      <w:bookmarkEnd w:id="184"/>
      <w:bookmarkEnd w:id="185"/>
      <w:bookmarkEnd w:id="186"/>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为促进职业院校现代化治理水平和各项办学要素的全方位提升，山东省提出以实习管理为切入点，以高质量发展为着力点，深入推进规范办学行动计划，建立规范办学行为长效工作机制。面向社会公布了山东省规范办学（实习）监督投诉电话和省监督投诉平台网址，全省</w:t>
      </w:r>
      <w:r>
        <w:rPr>
          <w:rFonts w:ascii="仿宋_GB2312" w:eastAsia="仿宋_GB2312"/>
          <w:color w:val="000000" w:themeColor="text1"/>
          <w:sz w:val="28"/>
          <w:szCs w:val="28"/>
          <w14:textFill>
            <w14:solidFill>
              <w14:schemeClr w14:val="tx1"/>
            </w14:solidFill>
          </w14:textFill>
        </w:rPr>
        <w:t>16个市、134个举办职业教育的县（市、区）和375所中职学校、84所高职院校、38所举办专科层次教育的本科高校，均明确了监督投诉电话，</w:t>
      </w:r>
      <w:r>
        <w:rPr>
          <w:rFonts w:hint="eastAsia" w:ascii="仿宋_GB2312" w:eastAsia="仿宋_GB2312"/>
          <w:color w:val="000000" w:themeColor="text1"/>
          <w:sz w:val="28"/>
          <w:szCs w:val="28"/>
          <w14:textFill>
            <w14:solidFill>
              <w14:schemeClr w14:val="tx1"/>
            </w14:solidFill>
          </w14:textFill>
        </w:rPr>
        <w:t>有效畅通了师生和家长诉求反映渠道，发挥社会、家长对职业教育的监督、促进作用。</w:t>
      </w:r>
    </w:p>
    <w:p>
      <w:pPr>
        <w:spacing w:line="500" w:lineRule="exact"/>
        <w:ind w:firstLine="567"/>
        <w:outlineLvl w:val="1"/>
        <w:rPr>
          <w:rFonts w:ascii="楷体_GB2312" w:hAnsi="黑体" w:eastAsia="楷体_GB2312" w:cs="黑体"/>
          <w:bCs/>
          <w:color w:val="000000" w:themeColor="text1"/>
          <w:sz w:val="28"/>
          <w:szCs w:val="28"/>
          <w14:textFill>
            <w14:solidFill>
              <w14:schemeClr w14:val="tx1"/>
            </w14:solidFill>
          </w14:textFill>
        </w:rPr>
      </w:pPr>
      <w:bookmarkStart w:id="187" w:name="_Toc94172324"/>
      <w:bookmarkStart w:id="188" w:name="_Toc94172183"/>
      <w:bookmarkStart w:id="189" w:name="_Toc94183426"/>
      <w:r>
        <w:rPr>
          <w:rFonts w:hint="eastAsia" w:ascii="楷体_GB2312" w:hAnsi="黑体" w:eastAsia="楷体_GB2312" w:cs="黑体"/>
          <w:bCs/>
          <w:color w:val="000000" w:themeColor="text1"/>
          <w:sz w:val="28"/>
          <w:szCs w:val="28"/>
          <w14:textFill>
            <w14:solidFill>
              <w14:schemeClr w14:val="tx1"/>
            </w14:solidFill>
          </w14:textFill>
        </w:rPr>
        <w:t>3.2“双元”育人</w:t>
      </w:r>
      <w:bookmarkEnd w:id="187"/>
      <w:bookmarkEnd w:id="188"/>
      <w:bookmarkEnd w:id="189"/>
    </w:p>
    <w:p>
      <w:pPr>
        <w:spacing w:line="50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190" w:name="_Toc91604986"/>
      <w:bookmarkStart w:id="191" w:name="_Toc91606503"/>
      <w:bookmarkStart w:id="192" w:name="_Toc94172184"/>
      <w:bookmarkStart w:id="193" w:name="_Toc94172325"/>
      <w:bookmarkStart w:id="194" w:name="_Toc94183427"/>
      <w:bookmarkStart w:id="195" w:name="_Toc91604668"/>
      <w:bookmarkStart w:id="196" w:name="_Toc91093024"/>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.2.1</w:t>
      </w:r>
      <w:r>
        <w:rPr>
          <w:rFonts w:hint="eastAsia" w:ascii="仿宋_GB2312" w:hAnsi="仿宋_GB2312" w:eastAsia="仿宋_GB2312" w:cs="仿宋_GB2312"/>
          <w:b/>
          <w:bCs/>
          <w:color w:val="000000" w:themeColor="text1"/>
          <w:sz w:val="28"/>
          <w:szCs w:val="28"/>
          <w14:textFill>
            <w14:solidFill>
              <w14:schemeClr w14:val="tx1"/>
            </w14:solidFill>
          </w14:textFill>
        </w:rPr>
        <w:t>推进现代学徒制</w:t>
      </w:r>
      <w:bookmarkEnd w:id="190"/>
      <w:bookmarkEnd w:id="191"/>
      <w:bookmarkEnd w:id="192"/>
      <w:bookmarkEnd w:id="193"/>
      <w:bookmarkEnd w:id="194"/>
      <w:bookmarkEnd w:id="195"/>
      <w:bookmarkEnd w:id="196"/>
    </w:p>
    <w:p>
      <w:pPr>
        <w:spacing w:line="50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自2</w:t>
      </w:r>
      <w:r>
        <w:rPr>
          <w:rFonts w:ascii="仿宋_GB2312" w:eastAsia="仿宋_GB2312"/>
          <w:color w:val="000000" w:themeColor="text1"/>
          <w:sz w:val="28"/>
          <w:szCs w:val="28"/>
          <w14:textFill>
            <w14:solidFill>
              <w14:schemeClr w14:val="tx1"/>
            </w14:solidFill>
          </w14:textFill>
        </w:rPr>
        <w:t>015</w:t>
      </w:r>
      <w:r>
        <w:rPr>
          <w:rFonts w:hint="eastAsia" w:ascii="仿宋_GB2312" w:eastAsia="仿宋_GB2312"/>
          <w:color w:val="000000" w:themeColor="text1"/>
          <w:sz w:val="28"/>
          <w:szCs w:val="28"/>
          <w14:textFill>
            <w14:solidFill>
              <w14:schemeClr w14:val="tx1"/>
            </w14:solidFill>
          </w14:textFill>
        </w:rPr>
        <w:t>年起，山东省致力推动现代学徒制试点工作。以现代学徒制为纽带，深入推进产教融合、校企合作，形成校企协同育人格局。目前，山东省共遴选现代学徒制试点专业1</w:t>
      </w:r>
      <w:r>
        <w:rPr>
          <w:rFonts w:ascii="仿宋_GB2312" w:eastAsia="仿宋_GB2312"/>
          <w:color w:val="000000" w:themeColor="text1"/>
          <w:sz w:val="28"/>
          <w:szCs w:val="28"/>
          <w14:textFill>
            <w14:solidFill>
              <w14:schemeClr w14:val="tx1"/>
            </w14:solidFill>
          </w14:textFill>
        </w:rPr>
        <w:t>37</w:t>
      </w:r>
      <w:r>
        <w:rPr>
          <w:rFonts w:hint="eastAsia" w:ascii="仿宋_GB2312" w:eastAsia="仿宋_GB2312"/>
          <w:color w:val="000000" w:themeColor="text1"/>
          <w:sz w:val="28"/>
          <w:szCs w:val="28"/>
          <w14:textFill>
            <w14:solidFill>
              <w14:schemeClr w14:val="tx1"/>
            </w14:solidFill>
          </w14:textFill>
        </w:rPr>
        <w:t>个，在校生</w:t>
      </w:r>
      <w:r>
        <w:rPr>
          <w:rFonts w:ascii="仿宋_GB2312" w:eastAsia="仿宋_GB2312"/>
          <w:color w:val="000000" w:themeColor="text1"/>
          <w:sz w:val="28"/>
          <w:szCs w:val="28"/>
          <w14:textFill>
            <w14:solidFill>
              <w14:schemeClr w14:val="tx1"/>
            </w14:solidFill>
          </w14:textFill>
        </w:rPr>
        <w:t>113217</w:t>
      </w:r>
      <w:r>
        <w:rPr>
          <w:rFonts w:hint="eastAsia" w:ascii="仿宋_GB2312" w:eastAsia="仿宋_GB2312"/>
          <w:color w:val="000000" w:themeColor="text1"/>
          <w:sz w:val="28"/>
          <w:szCs w:val="28"/>
          <w14:textFill>
            <w14:solidFill>
              <w14:schemeClr w14:val="tx1"/>
            </w14:solidFill>
          </w14:textFill>
        </w:rPr>
        <w:t>人。2</w:t>
      </w:r>
      <w:r>
        <w:rPr>
          <w:rFonts w:ascii="仿宋_GB2312" w:eastAsia="仿宋_GB2312"/>
          <w:color w:val="000000" w:themeColor="text1"/>
          <w:sz w:val="28"/>
          <w:szCs w:val="28"/>
          <w14:textFill>
            <w14:solidFill>
              <w14:schemeClr w14:val="tx1"/>
            </w14:solidFill>
          </w14:textFill>
        </w:rPr>
        <w:t>021</w:t>
      </w:r>
      <w:r>
        <w:rPr>
          <w:rFonts w:hint="eastAsia" w:ascii="仿宋_GB2312" w:eastAsia="仿宋_GB2312"/>
          <w:color w:val="000000" w:themeColor="text1"/>
          <w:sz w:val="28"/>
          <w:szCs w:val="28"/>
          <w14:textFill>
            <w14:solidFill>
              <w14:schemeClr w14:val="tx1"/>
            </w14:solidFill>
          </w14:textFill>
        </w:rPr>
        <w:t>年，山东省组织专家对</w:t>
      </w:r>
      <w:r>
        <w:rPr>
          <w:rFonts w:ascii="仿宋_GB2312" w:eastAsia="仿宋_GB2312"/>
          <w:color w:val="000000" w:themeColor="text1"/>
          <w:sz w:val="28"/>
          <w:szCs w:val="28"/>
          <w14:textFill>
            <w14:solidFill>
              <w14:schemeClr w14:val="tx1"/>
            </w14:solidFill>
          </w14:textFill>
        </w:rPr>
        <w:t>2017年、2018年、2019年省级职业院校现</w:t>
      </w:r>
      <w:r>
        <w:rPr>
          <w:rFonts w:hint="eastAsia" w:ascii="仿宋_GB2312" w:eastAsia="仿宋_GB2312"/>
          <w:color w:val="000000" w:themeColor="text1"/>
          <w:sz w:val="28"/>
          <w:szCs w:val="28"/>
          <w14:textFill>
            <w14:solidFill>
              <w14:schemeClr w14:val="tx1"/>
            </w14:solidFill>
          </w14:textFill>
        </w:rPr>
        <w:t>代学徒制项目进行验收，1</w:t>
      </w:r>
      <w:r>
        <w:rPr>
          <w:rFonts w:ascii="仿宋_GB2312" w:eastAsia="仿宋_GB2312"/>
          <w:color w:val="000000" w:themeColor="text1"/>
          <w:sz w:val="28"/>
          <w:szCs w:val="28"/>
          <w14:textFill>
            <w14:solidFill>
              <w14:schemeClr w14:val="tx1"/>
            </w14:solidFill>
          </w14:textFill>
        </w:rPr>
        <w:t>22</w:t>
      </w:r>
      <w:r>
        <w:rPr>
          <w:rFonts w:hint="eastAsia" w:ascii="仿宋_GB2312" w:eastAsia="仿宋_GB2312"/>
          <w:color w:val="000000" w:themeColor="text1"/>
          <w:sz w:val="28"/>
          <w:szCs w:val="28"/>
          <w14:textFill>
            <w14:solidFill>
              <w14:schemeClr w14:val="tx1"/>
            </w14:solidFill>
          </w14:textFill>
        </w:rPr>
        <w:t>个试点项目全部通过。</w:t>
      </w:r>
    </w:p>
    <w:p>
      <w:pPr>
        <w:spacing w:line="50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197" w:name="_Toc91093025"/>
      <w:bookmarkStart w:id="198" w:name="_Toc91604987"/>
      <w:bookmarkStart w:id="199" w:name="_Toc91604669"/>
      <w:bookmarkStart w:id="200" w:name="_Toc94172326"/>
      <w:bookmarkStart w:id="201" w:name="_Toc94183428"/>
      <w:bookmarkStart w:id="202" w:name="_Toc91606504"/>
      <w:bookmarkStart w:id="203" w:name="_Toc94172185"/>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.2.2</w:t>
      </w:r>
      <w:r>
        <w:rPr>
          <w:rFonts w:hint="eastAsia" w:ascii="仿宋_GB2312" w:hAnsi="仿宋_GB2312" w:eastAsia="仿宋_GB2312" w:cs="仿宋_GB2312"/>
          <w:b/>
          <w:bCs/>
          <w:color w:val="000000" w:themeColor="text1"/>
          <w:sz w:val="28"/>
          <w:szCs w:val="28"/>
          <w14:textFill>
            <w14:solidFill>
              <w14:schemeClr w14:val="tx1"/>
            </w14:solidFill>
          </w14:textFill>
        </w:rPr>
        <w:t>推进</w:t>
      </w:r>
      <w:r>
        <w:rPr>
          <w:rFonts w:ascii="仿宋_GB2312" w:hAnsi="仿宋_GB2312" w:eastAsia="仿宋_GB2312" w:cs="仿宋_GB2312"/>
          <w:b/>
          <w:bCs/>
          <w:color w:val="000000" w:themeColor="text1"/>
          <w:sz w:val="28"/>
          <w:szCs w:val="28"/>
          <w14:textFill>
            <w14:solidFill>
              <w14:schemeClr w14:val="tx1"/>
            </w14:solidFill>
          </w14:textFill>
        </w:rPr>
        <w:t>1</w:t>
      </w:r>
      <w:r>
        <w:rPr>
          <w:rFonts w:hint="eastAsia" w:ascii="仿宋_GB2312" w:hAnsi="仿宋_GB2312" w:eastAsia="仿宋_GB2312" w:cs="仿宋_GB2312"/>
          <w:b/>
          <w:bCs/>
          <w:color w:val="000000" w:themeColor="text1"/>
          <w:sz w:val="28"/>
          <w:szCs w:val="28"/>
          <w14:textFill>
            <w14:solidFill>
              <w14:schemeClr w14:val="tx1"/>
            </w14:solidFill>
          </w14:textFill>
        </w:rPr>
        <w:t>+X证书制度试点</w:t>
      </w:r>
      <w:bookmarkEnd w:id="197"/>
      <w:bookmarkEnd w:id="198"/>
      <w:bookmarkEnd w:id="199"/>
      <w:bookmarkEnd w:id="200"/>
      <w:bookmarkEnd w:id="201"/>
      <w:bookmarkEnd w:id="202"/>
      <w:bookmarkEnd w:id="203"/>
    </w:p>
    <w:p>
      <w:pPr>
        <w:spacing w:line="50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山东省持续推进“1+X”证书制度工作，《山东省“十四五”教育事业发展规划》明确提出，深入实施</w:t>
      </w:r>
      <w:r>
        <w:rPr>
          <w:rFonts w:ascii="仿宋_GB2312" w:eastAsia="仿宋_GB2312"/>
          <w:color w:val="000000" w:themeColor="text1"/>
          <w:sz w:val="28"/>
          <w:szCs w:val="28"/>
          <w14:textFill>
            <w14:solidFill>
              <w14:schemeClr w14:val="tx1"/>
            </w14:solidFill>
          </w14:textFill>
        </w:rPr>
        <w:t>1+X证书制度，扩展省自主开发职业技能等级证书覆盖范围，</w:t>
      </w: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岗课赛证</w:t>
      </w: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综合育人，不断提高行业企业认可度。扩大职业学校学生专业技能测试范围和规模，促进专业能力和职业素养提升。</w:t>
      </w:r>
      <w:r>
        <w:rPr>
          <w:rFonts w:hint="eastAsia" w:ascii="仿宋_GB2312" w:eastAsia="仿宋_GB2312"/>
          <w:color w:val="000000" w:themeColor="text1"/>
          <w:sz w:val="28"/>
          <w:szCs w:val="28"/>
          <w14:textFill>
            <w14:solidFill>
              <w14:schemeClr w14:val="tx1"/>
            </w14:solidFill>
          </w14:textFill>
        </w:rPr>
        <w:t>目前，全省高职院校共有初、中、高级证书共1</w:t>
      </w:r>
      <w:r>
        <w:rPr>
          <w:rFonts w:ascii="仿宋_GB2312" w:eastAsia="仿宋_GB2312"/>
          <w:color w:val="000000" w:themeColor="text1"/>
          <w:sz w:val="28"/>
          <w:szCs w:val="28"/>
          <w14:textFill>
            <w14:solidFill>
              <w14:schemeClr w14:val="tx1"/>
            </w14:solidFill>
          </w14:textFill>
        </w:rPr>
        <w:t>900</w:t>
      </w:r>
      <w:r>
        <w:rPr>
          <w:rFonts w:hint="eastAsia" w:ascii="仿宋_GB2312" w:eastAsia="仿宋_GB2312"/>
          <w:color w:val="000000" w:themeColor="text1"/>
          <w:sz w:val="28"/>
          <w:szCs w:val="28"/>
          <w14:textFill>
            <w14:solidFill>
              <w14:schemeClr w14:val="tx1"/>
            </w14:solidFill>
          </w14:textFill>
        </w:rPr>
        <w:t>种，已被批准学生数达</w:t>
      </w:r>
      <w:r>
        <w:rPr>
          <w:rFonts w:ascii="仿宋_GB2312" w:eastAsia="仿宋_GB2312"/>
          <w:color w:val="000000" w:themeColor="text1"/>
          <w:sz w:val="28"/>
          <w:szCs w:val="28"/>
          <w14:textFill>
            <w14:solidFill>
              <w14:schemeClr w14:val="tx1"/>
            </w14:solidFill>
          </w14:textFill>
        </w:rPr>
        <w:t>109214</w:t>
      </w:r>
      <w:r>
        <w:rPr>
          <w:rFonts w:hint="eastAsia" w:ascii="仿宋_GB2312" w:eastAsia="仿宋_GB2312"/>
          <w:color w:val="000000" w:themeColor="text1"/>
          <w:sz w:val="28"/>
          <w:szCs w:val="28"/>
          <w14:textFill>
            <w14:solidFill>
              <w14:schemeClr w14:val="tx1"/>
            </w14:solidFill>
          </w14:textFill>
        </w:rPr>
        <w:t>人，</w:t>
      </w:r>
      <w:r>
        <w:rPr>
          <w:rFonts w:ascii="仿宋_GB2312" w:eastAsia="仿宋_GB2312"/>
          <w:color w:val="000000" w:themeColor="text1"/>
          <w:sz w:val="28"/>
          <w:szCs w:val="28"/>
          <w14:textFill>
            <w14:solidFill>
              <w14:schemeClr w14:val="tx1"/>
            </w14:solidFill>
          </w14:textFill>
        </w:rPr>
        <w:t>在获得毕业证书的同时，积极考取1个或多个职业技能等级证书</w:t>
      </w:r>
      <w:r>
        <w:rPr>
          <w:rFonts w:hint="eastAsia" w:ascii="仿宋_GB2312" w:eastAsia="仿宋_GB2312"/>
          <w:color w:val="000000" w:themeColor="text1"/>
          <w:sz w:val="28"/>
          <w:szCs w:val="28"/>
          <w14:textFill>
            <w14:solidFill>
              <w14:schemeClr w14:val="tx1"/>
            </w14:solidFill>
          </w14:textFill>
        </w:rPr>
        <w:t>。省教育厅与人力资源社会保障部门密切沟通协调，将专账资金补贴对象在已经包括毕业离校</w:t>
      </w:r>
      <w:r>
        <w:rPr>
          <w:rFonts w:ascii="仿宋_GB2312" w:eastAsia="仿宋_GB2312"/>
          <w:color w:val="000000" w:themeColor="text1"/>
          <w:sz w:val="28"/>
          <w:szCs w:val="28"/>
          <w14:textFill>
            <w14:solidFill>
              <w14:schemeClr w14:val="tx1"/>
            </w14:solidFill>
          </w14:textFill>
        </w:rPr>
        <w:t>2年内未就业的全日制普通本科高校、高职院校毕业生和在校生的基础上，扩大到中职学校、技工院校毕业年度毕业生；将符合条件的院校、职业教育培训评价组织、职业技能等级证书清单纳入职业技能培训目录，并按照现行的职业技能培训补贴政策执行，推动试点工作走深走实</w:t>
      </w:r>
      <w:r>
        <w:rPr>
          <w:rFonts w:hint="eastAsia" w:ascii="仿宋_GB2312" w:eastAsia="仿宋_GB2312"/>
          <w:color w:val="000000" w:themeColor="text1"/>
          <w:sz w:val="28"/>
          <w:szCs w:val="28"/>
          <w14:textFill>
            <w14:solidFill>
              <w14:schemeClr w14:val="tx1"/>
            </w14:solidFill>
          </w14:textFill>
        </w:rPr>
        <w:t>。</w:t>
      </w:r>
    </w:p>
    <w:p>
      <w:pPr>
        <w:spacing w:line="50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204" w:name="_Toc91604988"/>
      <w:bookmarkStart w:id="205" w:name="_Toc91606505"/>
      <w:bookmarkStart w:id="206" w:name="_Toc94172186"/>
      <w:bookmarkStart w:id="207" w:name="_Toc91093026"/>
      <w:bookmarkStart w:id="208" w:name="_Toc91604670"/>
      <w:bookmarkStart w:id="209" w:name="_Toc94172327"/>
      <w:bookmarkStart w:id="210" w:name="_Toc94183429"/>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.2.3</w:t>
      </w:r>
      <w:r>
        <w:rPr>
          <w:rFonts w:hint="eastAsia" w:ascii="仿宋_GB2312" w:hAnsi="仿宋_GB2312" w:eastAsia="仿宋_GB2312" w:cs="仿宋_GB2312"/>
          <w:b/>
          <w:bCs/>
          <w:color w:val="000000" w:themeColor="text1"/>
          <w:sz w:val="28"/>
          <w:szCs w:val="28"/>
          <w14:textFill>
            <w14:solidFill>
              <w14:schemeClr w14:val="tx1"/>
            </w14:solidFill>
          </w14:textFill>
        </w:rPr>
        <w:t>深化产教融合</w:t>
      </w:r>
      <w:bookmarkEnd w:id="204"/>
      <w:bookmarkEnd w:id="205"/>
      <w:bookmarkEnd w:id="206"/>
      <w:bookmarkEnd w:id="207"/>
      <w:bookmarkEnd w:id="208"/>
      <w:bookmarkEnd w:id="209"/>
      <w:bookmarkEnd w:id="210"/>
    </w:p>
    <w:p>
      <w:pPr>
        <w:spacing w:line="48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山东省把深化产教融合作为推进人力资源供给侧结构性改革的战略性任务，以产教深度融合促进稳就业保就业工作。聚焦现代优势产业集群，建立产教对话机制，全省高职院校校均合作企业达</w:t>
      </w:r>
      <w:r>
        <w:rPr>
          <w:rFonts w:ascii="仿宋_GB2312" w:eastAsia="仿宋_GB2312"/>
          <w:color w:val="000000" w:themeColor="text1"/>
          <w:sz w:val="28"/>
          <w:szCs w:val="28"/>
          <w14:textFill>
            <w14:solidFill>
              <w14:schemeClr w14:val="tx1"/>
            </w14:solidFill>
          </w14:textFill>
        </w:rPr>
        <w:t>268家，山东新旧动能转换</w:t>
      </w: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十强</w:t>
      </w: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产业、乡村振兴、脱贫攻坚、海洋强省等领域新增劳动力70%以上来自职业院校，有力促进了产业、行业、企业、专业、就业</w:t>
      </w: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五业联动</w:t>
      </w: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济南市、青岛市</w:t>
      </w:r>
      <w:r>
        <w:rPr>
          <w:rFonts w:hint="eastAsia" w:ascii="仿宋_GB2312" w:eastAsia="仿宋_GB2312"/>
          <w:color w:val="000000" w:themeColor="text1"/>
          <w:sz w:val="28"/>
          <w:szCs w:val="28"/>
          <w14:textFill>
            <w14:solidFill>
              <w14:schemeClr w14:val="tx1"/>
            </w14:solidFill>
          </w14:textFill>
        </w:rPr>
        <w:t>被国家发展改革委、教育部认定</w:t>
      </w:r>
      <w:r>
        <w:rPr>
          <w:rFonts w:ascii="仿宋_GB2312" w:eastAsia="仿宋_GB2312"/>
          <w:color w:val="000000" w:themeColor="text1"/>
          <w:sz w:val="28"/>
          <w:szCs w:val="28"/>
          <w14:textFill>
            <w14:solidFill>
              <w14:schemeClr w14:val="tx1"/>
            </w14:solidFill>
          </w14:textFill>
        </w:rPr>
        <w:t>为国家产教融合试点城市，山东京博控股集团有限公司、歌尔股份有限公司、海尔集团公司、青岛明月海藻集团有限公司为国家产教融合型企业。潍坊、威海、烟台、济宁、日照开展省内试点工作</w:t>
      </w:r>
      <w:r>
        <w:rPr>
          <w:rFonts w:hint="eastAsia" w:ascii="仿宋_GB2312" w:eastAsia="仿宋_GB2312"/>
          <w:color w:val="000000" w:themeColor="text1"/>
          <w:sz w:val="28"/>
          <w:szCs w:val="28"/>
          <w14:textFill>
            <w14:solidFill>
              <w14:schemeClr w14:val="tx1"/>
            </w14:solidFill>
          </w14:textFill>
        </w:rPr>
        <w:t>。8月，启动第二批山东省产教融合型企业遴选。不断加强公共就业服务体系建设，组织实施公共实训基地建设专项，支持济宁市兖州区新型农民公共实训基地等一批项目建设。</w:t>
      </w:r>
    </w:p>
    <w:p>
      <w:pPr>
        <w:spacing w:line="48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211" w:name="_Toc94183430"/>
      <w:bookmarkStart w:id="212" w:name="_Toc91093027"/>
      <w:bookmarkStart w:id="213" w:name="_Toc91604671"/>
      <w:bookmarkStart w:id="214" w:name="_Toc91606506"/>
      <w:bookmarkStart w:id="215" w:name="_Toc91604989"/>
      <w:bookmarkStart w:id="216" w:name="_Toc94172187"/>
      <w:bookmarkStart w:id="217" w:name="_Toc94172328"/>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 xml:space="preserve">.2.4 </w:t>
      </w:r>
      <w:r>
        <w:rPr>
          <w:rFonts w:hint="eastAsia" w:ascii="仿宋_GB2312" w:hAnsi="仿宋_GB2312" w:eastAsia="仿宋_GB2312" w:cs="仿宋_GB2312"/>
          <w:b/>
          <w:bCs/>
          <w:color w:val="000000" w:themeColor="text1"/>
          <w:sz w:val="28"/>
          <w:szCs w:val="28"/>
          <w14:textFill>
            <w14:solidFill>
              <w14:schemeClr w14:val="tx1"/>
            </w14:solidFill>
          </w14:textFill>
        </w:rPr>
        <w:t>推进职业教育集团建设</w:t>
      </w:r>
      <w:bookmarkEnd w:id="211"/>
      <w:bookmarkEnd w:id="212"/>
      <w:bookmarkEnd w:id="213"/>
      <w:bookmarkEnd w:id="214"/>
      <w:bookmarkEnd w:id="215"/>
      <w:bookmarkEnd w:id="216"/>
      <w:bookmarkEnd w:id="217"/>
    </w:p>
    <w:p>
      <w:pPr>
        <w:spacing w:line="48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职业教育集团能够促进政府、行业、企业、学校、科研院所和社会组织等多元主体协同育人，不断增强职业技术教育的适应性，为产业转型升级提供适合的技术技能人才支撑。山东省将职业教育集团建设纳入《山东省“十四五”教育事业发展规划》，提出要推动职业教育集团实体化运转，建设</w:t>
      </w:r>
      <w:r>
        <w:rPr>
          <w:rFonts w:ascii="仿宋_GB2312" w:eastAsia="仿宋_GB2312"/>
          <w:color w:val="000000" w:themeColor="text1"/>
          <w:sz w:val="28"/>
          <w:szCs w:val="28"/>
          <w14:textFill>
            <w14:solidFill>
              <w14:schemeClr w14:val="tx1"/>
            </w14:solidFill>
          </w14:textFill>
        </w:rPr>
        <w:t>40个示范性职教集团、150个产教融合实训基地。</w:t>
      </w:r>
      <w:r>
        <w:rPr>
          <w:rFonts w:hint="eastAsia" w:ascii="仿宋_GB2312" w:eastAsia="仿宋_GB2312"/>
          <w:color w:val="000000" w:themeColor="text1"/>
          <w:sz w:val="28"/>
          <w:szCs w:val="28"/>
          <w14:textFill>
            <w14:solidFill>
              <w14:schemeClr w14:val="tx1"/>
            </w14:solidFill>
          </w14:textFill>
        </w:rPr>
        <w:t>6月份，教育部下发《关于公布第二批示范性职业教育集团（联盟）培育单位名单的通知》（教职成司函〔</w:t>
      </w:r>
      <w:r>
        <w:rPr>
          <w:rFonts w:ascii="仿宋_GB2312" w:eastAsia="仿宋_GB2312"/>
          <w:color w:val="000000" w:themeColor="text1"/>
          <w:sz w:val="28"/>
          <w:szCs w:val="28"/>
          <w14:textFill>
            <w14:solidFill>
              <w14:schemeClr w14:val="tx1"/>
            </w14:solidFill>
          </w14:textFill>
        </w:rPr>
        <w:t>2021〕25号），</w:t>
      </w:r>
      <w:r>
        <w:rPr>
          <w:rFonts w:hint="eastAsia" w:ascii="仿宋_GB2312" w:eastAsia="仿宋_GB2312"/>
          <w:color w:val="000000" w:themeColor="text1"/>
          <w:sz w:val="28"/>
          <w:szCs w:val="28"/>
          <w14:textFill>
            <w14:solidFill>
              <w14:schemeClr w14:val="tx1"/>
            </w14:solidFill>
          </w14:textFill>
        </w:rPr>
        <w:t>全</w:t>
      </w:r>
      <w:r>
        <w:rPr>
          <w:rFonts w:ascii="仿宋_GB2312" w:eastAsia="仿宋_GB2312"/>
          <w:color w:val="000000" w:themeColor="text1"/>
          <w:sz w:val="28"/>
          <w:szCs w:val="28"/>
          <w14:textFill>
            <w14:solidFill>
              <w14:schemeClr w14:val="tx1"/>
            </w14:solidFill>
          </w14:textFill>
        </w:rPr>
        <w:t>省10个职业教育集团入选。加上首批入选的12个职业教育集团，</w:t>
      </w:r>
      <w:r>
        <w:rPr>
          <w:rFonts w:hint="eastAsia" w:ascii="仿宋_GB2312" w:eastAsia="仿宋_GB2312"/>
          <w:color w:val="000000" w:themeColor="text1"/>
          <w:sz w:val="28"/>
          <w:szCs w:val="28"/>
          <w14:textFill>
            <w14:solidFill>
              <w14:schemeClr w14:val="tx1"/>
            </w14:solidFill>
          </w14:textFill>
        </w:rPr>
        <w:t>山东</w:t>
      </w:r>
      <w:r>
        <w:rPr>
          <w:rFonts w:ascii="仿宋_GB2312" w:eastAsia="仿宋_GB2312"/>
          <w:color w:val="000000" w:themeColor="text1"/>
          <w:sz w:val="28"/>
          <w:szCs w:val="28"/>
          <w14:textFill>
            <w14:solidFill>
              <w14:schemeClr w14:val="tx1"/>
            </w14:solidFill>
          </w14:textFill>
        </w:rPr>
        <w:t>省入选总数位居全国第二。</w:t>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218" w:name="_Toc94172188"/>
      <w:bookmarkStart w:id="219" w:name="_Toc91604990"/>
      <w:bookmarkStart w:id="220" w:name="_Toc94183431"/>
      <w:bookmarkStart w:id="221" w:name="_Toc91606507"/>
      <w:bookmarkStart w:id="222" w:name="_Toc94172329"/>
      <w:r>
        <w:rPr>
          <w:rFonts w:hint="eastAsia" w:ascii="宋体" w:hAnsi="宋体" w:eastAsia="宋体"/>
          <w:color w:val="000000" w:themeColor="text1"/>
          <w:sz w:val="24"/>
          <w:szCs w:val="24"/>
          <w14:textFill>
            <w14:solidFill>
              <w14:schemeClr w14:val="tx1"/>
            </w14:solidFill>
          </w14:textFill>
        </w:rPr>
        <w:t>表3-</w:t>
      </w:r>
      <w:r>
        <w:rPr>
          <w:rFonts w:ascii="宋体" w:hAnsi="宋体" w:eastAsia="宋体"/>
          <w:color w:val="000000" w:themeColor="text1"/>
          <w:sz w:val="24"/>
          <w:szCs w:val="24"/>
          <w14:textFill>
            <w14:solidFill>
              <w14:schemeClr w14:val="tx1"/>
            </w14:solidFill>
          </w14:textFill>
        </w:rPr>
        <w:t xml:space="preserve">1  </w:t>
      </w:r>
      <w:r>
        <w:rPr>
          <w:rFonts w:hint="eastAsia" w:ascii="宋体" w:hAnsi="宋体" w:eastAsia="宋体"/>
          <w:color w:val="000000" w:themeColor="text1"/>
          <w:sz w:val="24"/>
          <w:szCs w:val="24"/>
          <w14:textFill>
            <w14:solidFill>
              <w14:schemeClr w14:val="tx1"/>
            </w14:solidFill>
          </w14:textFill>
        </w:rPr>
        <w:t>山东入选第二批示范性职业教育集团（联盟）培育单位名单</w:t>
      </w:r>
      <w:bookmarkEnd w:id="218"/>
      <w:bookmarkEnd w:id="219"/>
      <w:bookmarkEnd w:id="220"/>
      <w:bookmarkEnd w:id="221"/>
      <w:bookmarkEnd w:id="222"/>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62"/>
        <w:gridCol w:w="3957"/>
        <w:gridCol w:w="33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3" w:hRule="atLeast"/>
          <w:jc w:val="center"/>
        </w:trPr>
        <w:tc>
          <w:tcPr>
            <w:tcW w:w="1162" w:type="dxa"/>
            <w:tcBorders>
              <w:top w:val="single" w:color="auto" w:sz="12" w:space="0"/>
              <w:bottom w:val="single" w:color="auto" w:sz="6" w:space="0"/>
            </w:tcBorders>
            <w:shd w:val="clear" w:color="auto" w:fill="4472C4"/>
            <w:tcMar>
              <w:top w:w="0" w:type="dxa"/>
              <w:left w:w="105" w:type="dxa"/>
              <w:bottom w:w="0" w:type="dxa"/>
              <w:right w:w="105" w:type="dxa"/>
            </w:tcMar>
            <w:vAlign w:val="center"/>
          </w:tcPr>
          <w:p>
            <w:pPr>
              <w:widowControl/>
              <w:jc w:val="center"/>
              <w:rPr>
                <w:rFonts w:ascii="楷体_GB2312" w:hAnsi="宋体" w:eastAsia="楷体_GB2312" w:cs="宋体"/>
                <w:b/>
                <w:bCs/>
                <w:color w:val="FFFFFF" w:themeColor="background1"/>
                <w:kern w:val="0"/>
                <w:szCs w:val="21"/>
                <w14:textFill>
                  <w14:solidFill>
                    <w14:schemeClr w14:val="bg1"/>
                  </w14:solidFill>
                </w14:textFill>
              </w:rPr>
            </w:pPr>
            <w:r>
              <w:rPr>
                <w:rFonts w:hint="eastAsia" w:ascii="楷体_GB2312" w:hAnsi="宋体" w:eastAsia="楷体_GB2312" w:cs="宋体"/>
                <w:b/>
                <w:bCs/>
                <w:color w:val="FFFFFF" w:themeColor="background1"/>
                <w:kern w:val="0"/>
                <w:szCs w:val="21"/>
                <w14:textFill>
                  <w14:solidFill>
                    <w14:schemeClr w14:val="bg1"/>
                  </w14:solidFill>
                </w14:textFill>
              </w:rPr>
              <w:t>序号</w:t>
            </w:r>
          </w:p>
        </w:tc>
        <w:tc>
          <w:tcPr>
            <w:tcW w:w="3957" w:type="dxa"/>
            <w:tcBorders>
              <w:top w:val="single" w:color="auto" w:sz="12" w:space="0"/>
              <w:bottom w:val="single" w:color="auto" w:sz="6" w:space="0"/>
            </w:tcBorders>
            <w:shd w:val="clear" w:color="auto" w:fill="4472C4"/>
            <w:tcMar>
              <w:top w:w="0" w:type="dxa"/>
              <w:left w:w="105" w:type="dxa"/>
              <w:bottom w:w="0" w:type="dxa"/>
              <w:right w:w="105" w:type="dxa"/>
            </w:tcMar>
            <w:vAlign w:val="center"/>
          </w:tcPr>
          <w:p>
            <w:pPr>
              <w:widowControl/>
              <w:jc w:val="center"/>
              <w:rPr>
                <w:rFonts w:ascii="楷体_GB2312" w:hAnsi="宋体" w:eastAsia="楷体_GB2312" w:cs="宋体"/>
                <w:b/>
                <w:bCs/>
                <w:color w:val="FFFFFF" w:themeColor="background1"/>
                <w:kern w:val="0"/>
                <w:szCs w:val="21"/>
                <w14:textFill>
                  <w14:solidFill>
                    <w14:schemeClr w14:val="bg1"/>
                  </w14:solidFill>
                </w14:textFill>
              </w:rPr>
            </w:pPr>
            <w:r>
              <w:rPr>
                <w:rFonts w:hint="eastAsia" w:ascii="楷体_GB2312" w:hAnsi="宋体" w:eastAsia="楷体_GB2312" w:cs="宋体"/>
                <w:b/>
                <w:bCs/>
                <w:color w:val="FFFFFF" w:themeColor="background1"/>
                <w:kern w:val="0"/>
                <w:szCs w:val="21"/>
                <w14:textFill>
                  <w14:solidFill>
                    <w14:schemeClr w14:val="bg1"/>
                  </w14:solidFill>
                </w14:textFill>
              </w:rPr>
              <w:t>集团名称</w:t>
            </w:r>
          </w:p>
        </w:tc>
        <w:tc>
          <w:tcPr>
            <w:tcW w:w="3303" w:type="dxa"/>
            <w:tcBorders>
              <w:top w:val="single" w:color="auto" w:sz="12" w:space="0"/>
              <w:bottom w:val="single" w:color="auto" w:sz="6" w:space="0"/>
            </w:tcBorders>
            <w:shd w:val="clear" w:color="auto" w:fill="4472C4"/>
            <w:tcMar>
              <w:top w:w="0" w:type="dxa"/>
              <w:left w:w="105" w:type="dxa"/>
              <w:bottom w:w="0" w:type="dxa"/>
              <w:right w:w="105" w:type="dxa"/>
            </w:tcMar>
            <w:vAlign w:val="center"/>
          </w:tcPr>
          <w:p>
            <w:pPr>
              <w:widowControl/>
              <w:jc w:val="center"/>
              <w:rPr>
                <w:rFonts w:ascii="楷体_GB2312" w:hAnsi="宋体" w:eastAsia="楷体_GB2312" w:cs="宋体"/>
                <w:b/>
                <w:bCs/>
                <w:color w:val="FFFFFF" w:themeColor="background1"/>
                <w:kern w:val="0"/>
                <w:szCs w:val="21"/>
                <w14:textFill>
                  <w14:solidFill>
                    <w14:schemeClr w14:val="bg1"/>
                  </w14:solidFill>
                </w14:textFill>
              </w:rPr>
            </w:pPr>
            <w:r>
              <w:rPr>
                <w:rFonts w:hint="eastAsia" w:ascii="楷体_GB2312" w:hAnsi="宋体" w:eastAsia="楷体_GB2312" w:cs="宋体"/>
                <w:b/>
                <w:bCs/>
                <w:color w:val="FFFFFF" w:themeColor="background1"/>
                <w:kern w:val="0"/>
                <w:szCs w:val="21"/>
                <w14:textFill>
                  <w14:solidFill>
                    <w14:schemeClr w14:val="bg1"/>
                  </w14:solidFill>
                </w14:textFill>
              </w:rPr>
              <w:t>牵头单位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1162"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3957"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山东电子信息职业教育集团</w:t>
            </w:r>
          </w:p>
        </w:tc>
        <w:tc>
          <w:tcPr>
            <w:tcW w:w="3303"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山东电子职业技术学院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9" w:hRule="atLeast"/>
          <w:jc w:val="center"/>
        </w:trPr>
        <w:tc>
          <w:tcPr>
            <w:tcW w:w="1162" w:type="dxa"/>
            <w:tcBorders>
              <w:top w:val="single" w:color="auto" w:sz="6" w:space="0"/>
              <w:bottom w:val="single" w:color="auto" w:sz="6" w:space="0"/>
            </w:tcBorders>
            <w:shd w:val="clear" w:color="auto" w:fill="DAEEF6"/>
            <w:tcMar>
              <w:top w:w="0" w:type="dxa"/>
              <w:left w:w="105" w:type="dxa"/>
              <w:bottom w:w="0" w:type="dxa"/>
              <w:right w:w="105" w:type="dxa"/>
            </w:tcMar>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c>
          <w:tcPr>
            <w:tcW w:w="3957" w:type="dxa"/>
            <w:tcBorders>
              <w:top w:val="single" w:color="auto" w:sz="6" w:space="0"/>
              <w:bottom w:val="single" w:color="auto" w:sz="6" w:space="0"/>
            </w:tcBorders>
            <w:shd w:val="clear" w:color="auto" w:fill="DAEEF6"/>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山东交通运输职业教育集团</w:t>
            </w:r>
          </w:p>
        </w:tc>
        <w:tc>
          <w:tcPr>
            <w:tcW w:w="3303" w:type="dxa"/>
            <w:tcBorders>
              <w:top w:val="single" w:color="auto" w:sz="6" w:space="0"/>
              <w:bottom w:val="single" w:color="auto" w:sz="6" w:space="0"/>
            </w:tcBorders>
            <w:shd w:val="clear" w:color="auto" w:fill="DAEEF6"/>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山东交通职业学院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9" w:hRule="atLeast"/>
          <w:jc w:val="center"/>
        </w:trPr>
        <w:tc>
          <w:tcPr>
            <w:tcW w:w="1162"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3957"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山东省机械行业职业培训教育集团</w:t>
            </w:r>
          </w:p>
        </w:tc>
        <w:tc>
          <w:tcPr>
            <w:tcW w:w="3303"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山东劳动职业技术学院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9" w:hRule="atLeast"/>
          <w:jc w:val="center"/>
        </w:trPr>
        <w:tc>
          <w:tcPr>
            <w:tcW w:w="1162" w:type="dxa"/>
            <w:tcBorders>
              <w:top w:val="single" w:color="auto" w:sz="6" w:space="0"/>
              <w:bottom w:val="single" w:color="auto" w:sz="6" w:space="0"/>
            </w:tcBorders>
            <w:shd w:val="clear" w:color="auto" w:fill="DAEEF6"/>
            <w:tcMar>
              <w:top w:w="0" w:type="dxa"/>
              <w:left w:w="105" w:type="dxa"/>
              <w:bottom w:w="0" w:type="dxa"/>
              <w:right w:w="105" w:type="dxa"/>
            </w:tcMar>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w:t>
            </w:r>
          </w:p>
        </w:tc>
        <w:tc>
          <w:tcPr>
            <w:tcW w:w="3957" w:type="dxa"/>
            <w:tcBorders>
              <w:top w:val="single" w:color="auto" w:sz="6" w:space="0"/>
              <w:bottom w:val="single" w:color="auto" w:sz="6" w:space="0"/>
            </w:tcBorders>
            <w:shd w:val="clear" w:color="auto" w:fill="DAEEF6"/>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山东省现代水利职业教育集团</w:t>
            </w:r>
          </w:p>
        </w:tc>
        <w:tc>
          <w:tcPr>
            <w:tcW w:w="3303" w:type="dxa"/>
            <w:tcBorders>
              <w:top w:val="single" w:color="auto" w:sz="6" w:space="0"/>
              <w:bottom w:val="single" w:color="auto" w:sz="6" w:space="0"/>
            </w:tcBorders>
            <w:shd w:val="clear" w:color="auto" w:fill="DAEEF6"/>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山东水利职业学院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1162"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w:t>
            </w:r>
          </w:p>
        </w:tc>
        <w:tc>
          <w:tcPr>
            <w:tcW w:w="3957"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山东食品药品职业教育集团</w:t>
            </w:r>
          </w:p>
        </w:tc>
        <w:tc>
          <w:tcPr>
            <w:tcW w:w="3303"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山东药品食品职业学院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9" w:hRule="atLeast"/>
          <w:jc w:val="center"/>
        </w:trPr>
        <w:tc>
          <w:tcPr>
            <w:tcW w:w="1162" w:type="dxa"/>
            <w:tcBorders>
              <w:top w:val="single" w:color="auto" w:sz="6" w:space="0"/>
              <w:bottom w:val="single" w:color="auto" w:sz="6" w:space="0"/>
            </w:tcBorders>
            <w:shd w:val="clear" w:color="auto" w:fill="DAEEF6"/>
            <w:tcMar>
              <w:top w:w="0" w:type="dxa"/>
              <w:left w:w="105" w:type="dxa"/>
              <w:bottom w:w="0" w:type="dxa"/>
              <w:right w:w="105" w:type="dxa"/>
            </w:tcMar>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c>
          <w:tcPr>
            <w:tcW w:w="3957" w:type="dxa"/>
            <w:tcBorders>
              <w:top w:val="single" w:color="auto" w:sz="6" w:space="0"/>
              <w:bottom w:val="single" w:color="auto" w:sz="6" w:space="0"/>
            </w:tcBorders>
            <w:shd w:val="clear" w:color="auto" w:fill="DAEEF6"/>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山东冶金职业教育集团</w:t>
            </w:r>
          </w:p>
        </w:tc>
        <w:tc>
          <w:tcPr>
            <w:tcW w:w="3303" w:type="dxa"/>
            <w:tcBorders>
              <w:top w:val="single" w:color="auto" w:sz="6" w:space="0"/>
              <w:bottom w:val="single" w:color="auto" w:sz="6" w:space="0"/>
            </w:tcBorders>
            <w:shd w:val="clear" w:color="auto" w:fill="DAEEF6"/>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山东工业职业学院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9" w:hRule="atLeast"/>
          <w:jc w:val="center"/>
        </w:trPr>
        <w:tc>
          <w:tcPr>
            <w:tcW w:w="1162"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7</w:t>
            </w:r>
          </w:p>
        </w:tc>
        <w:tc>
          <w:tcPr>
            <w:tcW w:w="3957"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青岛电子信息业职业教育集团</w:t>
            </w:r>
          </w:p>
        </w:tc>
        <w:tc>
          <w:tcPr>
            <w:tcW w:w="3303" w:type="dxa"/>
            <w:tcBorders>
              <w:top w:val="single" w:color="auto" w:sz="6" w:space="0"/>
              <w:bottom w:val="single" w:color="auto" w:sz="6" w:space="0"/>
            </w:tcBorders>
            <w:shd w:val="clear" w:color="auto" w:fill="auto"/>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青岛电子学校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9" w:hRule="atLeast"/>
          <w:jc w:val="center"/>
        </w:trPr>
        <w:tc>
          <w:tcPr>
            <w:tcW w:w="1162" w:type="dxa"/>
            <w:tcBorders>
              <w:top w:val="single" w:color="auto" w:sz="6" w:space="0"/>
              <w:bottom w:val="single" w:color="auto" w:sz="2" w:space="0"/>
            </w:tcBorders>
            <w:shd w:val="clear" w:color="auto" w:fill="DAEEF6"/>
            <w:tcMar>
              <w:top w:w="0" w:type="dxa"/>
              <w:left w:w="105" w:type="dxa"/>
              <w:bottom w:w="0" w:type="dxa"/>
              <w:right w:w="105" w:type="dxa"/>
            </w:tcMar>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c>
          <w:tcPr>
            <w:tcW w:w="3957" w:type="dxa"/>
            <w:tcBorders>
              <w:top w:val="single" w:color="auto" w:sz="6" w:space="0"/>
              <w:bottom w:val="single" w:color="auto" w:sz="2" w:space="0"/>
            </w:tcBorders>
            <w:shd w:val="clear" w:color="auto" w:fill="DAEEF6"/>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青岛市财会金融业职教集团</w:t>
            </w:r>
          </w:p>
        </w:tc>
        <w:tc>
          <w:tcPr>
            <w:tcW w:w="3303" w:type="dxa"/>
            <w:tcBorders>
              <w:top w:val="single" w:color="auto" w:sz="6" w:space="0"/>
              <w:bottom w:val="single" w:color="auto" w:sz="2" w:space="0"/>
            </w:tcBorders>
            <w:shd w:val="clear" w:color="auto" w:fill="DAEEF6"/>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青岛华夏职业学校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1162" w:type="dxa"/>
            <w:tcBorders>
              <w:top w:val="single" w:color="auto" w:sz="2" w:space="0"/>
              <w:bottom w:val="single" w:color="auto" w:sz="2" w:space="0"/>
            </w:tcBorders>
            <w:shd w:val="clear" w:color="auto" w:fill="auto"/>
            <w:tcMar>
              <w:top w:w="0" w:type="dxa"/>
              <w:left w:w="105" w:type="dxa"/>
              <w:bottom w:w="0" w:type="dxa"/>
              <w:right w:w="105" w:type="dxa"/>
            </w:tcMar>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9</w:t>
            </w:r>
          </w:p>
        </w:tc>
        <w:tc>
          <w:tcPr>
            <w:tcW w:w="3957" w:type="dxa"/>
            <w:tcBorders>
              <w:top w:val="single" w:color="auto" w:sz="2" w:space="0"/>
              <w:bottom w:val="single" w:color="auto" w:sz="2" w:space="0"/>
            </w:tcBorders>
            <w:shd w:val="clear" w:color="auto" w:fill="auto"/>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济南市信息技术职业教育集团</w:t>
            </w:r>
          </w:p>
        </w:tc>
        <w:tc>
          <w:tcPr>
            <w:tcW w:w="3303" w:type="dxa"/>
            <w:tcBorders>
              <w:top w:val="single" w:color="auto" w:sz="2" w:space="0"/>
              <w:bottom w:val="single" w:color="auto" w:sz="2" w:space="0"/>
            </w:tcBorders>
            <w:shd w:val="clear" w:color="auto" w:fill="auto"/>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济南职业学院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3" w:hRule="atLeast"/>
          <w:jc w:val="center"/>
        </w:trPr>
        <w:tc>
          <w:tcPr>
            <w:tcW w:w="1162" w:type="dxa"/>
            <w:tcBorders>
              <w:top w:val="single" w:color="auto" w:sz="2" w:space="0"/>
              <w:bottom w:val="single" w:color="auto" w:sz="12" w:space="0"/>
            </w:tcBorders>
            <w:shd w:val="clear" w:color="auto" w:fill="DAEEF6"/>
            <w:tcMar>
              <w:top w:w="0" w:type="dxa"/>
              <w:left w:w="105" w:type="dxa"/>
              <w:bottom w:w="0" w:type="dxa"/>
              <w:right w:w="105" w:type="dxa"/>
            </w:tcMar>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c>
          <w:tcPr>
            <w:tcW w:w="3957" w:type="dxa"/>
            <w:tcBorders>
              <w:top w:val="single" w:color="auto" w:sz="2" w:space="0"/>
              <w:bottom w:val="single" w:color="auto" w:sz="12" w:space="0"/>
            </w:tcBorders>
            <w:shd w:val="clear" w:color="auto" w:fill="DAEEF6"/>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德州职业教育集团</w:t>
            </w:r>
          </w:p>
        </w:tc>
        <w:tc>
          <w:tcPr>
            <w:tcW w:w="3303" w:type="dxa"/>
            <w:tcBorders>
              <w:top w:val="single" w:color="auto" w:sz="2" w:space="0"/>
              <w:bottom w:val="single" w:color="auto" w:sz="12" w:space="0"/>
            </w:tcBorders>
            <w:shd w:val="clear" w:color="auto" w:fill="DAEEF6"/>
            <w:tcMar>
              <w:top w:w="0" w:type="dxa"/>
              <w:left w:w="105" w:type="dxa"/>
              <w:bottom w:w="0" w:type="dxa"/>
              <w:right w:w="105" w:type="dxa"/>
            </w:tcMar>
            <w:vAlign w:val="center"/>
          </w:tcPr>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德州职业技术学院</w:t>
            </w:r>
          </w:p>
        </w:tc>
      </w:tr>
    </w:tbl>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223" w:name="_Toc91093029"/>
      <w:bookmarkStart w:id="224" w:name="_Toc91604673"/>
      <w:bookmarkStart w:id="225" w:name="_Toc91604991"/>
      <w:bookmarkStart w:id="226" w:name="_Toc91606508"/>
      <w:bookmarkStart w:id="227" w:name="_Toc94172189"/>
      <w:bookmarkStart w:id="228" w:name="_Toc94172330"/>
      <w:bookmarkStart w:id="229" w:name="_Toc94183432"/>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.2.5</w:t>
      </w:r>
      <w:r>
        <w:rPr>
          <w:rFonts w:hint="eastAsia" w:ascii="仿宋_GB2312" w:hAnsi="仿宋_GB2312" w:eastAsia="仿宋_GB2312" w:cs="仿宋_GB2312"/>
          <w:b/>
          <w:bCs/>
          <w:color w:val="000000" w:themeColor="text1"/>
          <w:sz w:val="28"/>
          <w:szCs w:val="28"/>
          <w14:textFill>
            <w14:solidFill>
              <w14:schemeClr w14:val="tx1"/>
            </w14:solidFill>
          </w14:textFill>
        </w:rPr>
        <w:t>推进混合所有制办学</w:t>
      </w:r>
      <w:bookmarkEnd w:id="223"/>
      <w:bookmarkEnd w:id="224"/>
      <w:bookmarkEnd w:id="225"/>
      <w:bookmarkEnd w:id="226"/>
      <w:bookmarkEnd w:id="227"/>
      <w:bookmarkEnd w:id="228"/>
      <w:bookmarkEnd w:id="229"/>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山东省落实《关于推进职业院校混合所有制办学的指导意见（试行）》，持续推进混合所有制办学改革。本年度，山东省承办了</w:t>
      </w:r>
      <w:r>
        <w:rPr>
          <w:rFonts w:ascii="仿宋_GB2312" w:eastAsia="仿宋_GB2312"/>
          <w:color w:val="000000" w:themeColor="text1"/>
          <w:sz w:val="28"/>
          <w:szCs w:val="28"/>
          <w14:textFill>
            <w14:solidFill>
              <w14:schemeClr w14:val="tx1"/>
            </w14:solidFill>
          </w14:textFill>
        </w:rPr>
        <w:t>由教育部职业教育与成人教育司主办</w:t>
      </w:r>
      <w:r>
        <w:rPr>
          <w:rFonts w:hint="eastAsia" w:ascii="仿宋_GB2312" w:eastAsia="仿宋_GB2312"/>
          <w:color w:val="000000" w:themeColor="text1"/>
          <w:sz w:val="28"/>
          <w:szCs w:val="28"/>
          <w14:textFill>
            <w14:solidFill>
              <w14:schemeClr w14:val="tx1"/>
            </w14:solidFill>
          </w14:textFill>
        </w:rPr>
        <w:t>的“</w:t>
      </w:r>
      <w:r>
        <w:rPr>
          <w:rFonts w:ascii="仿宋_GB2312" w:eastAsia="仿宋_GB2312"/>
          <w:color w:val="000000" w:themeColor="text1"/>
          <w:sz w:val="28"/>
          <w:szCs w:val="28"/>
          <w14:textFill>
            <w14:solidFill>
              <w14:schemeClr w14:val="tx1"/>
            </w14:solidFill>
          </w14:textFill>
        </w:rPr>
        <w:t>职业院校混合所有制、股份制办学研讨会</w:t>
      </w:r>
      <w:r>
        <w:rPr>
          <w:rFonts w:hint="eastAsia" w:ascii="仿宋_GB2312" w:eastAsia="仿宋_GB2312"/>
          <w:color w:val="000000" w:themeColor="text1"/>
          <w:sz w:val="28"/>
          <w:szCs w:val="28"/>
          <w14:textFill>
            <w14:solidFill>
              <w14:schemeClr w14:val="tx1"/>
            </w14:solidFill>
          </w14:textFill>
        </w:rPr>
        <w:t>”，以“职业教育混合所有制、股份制办学”为主题，研讨职业教育混合所有制、股份制办学实践过程中的难点堵点、主要原因及解决办法，分享交流职业教育混合所有制、股份制办学经验。同时举行了</w:t>
      </w:r>
      <w:bookmarkStart w:id="230" w:name="_Hlk90754881"/>
      <w:r>
        <w:rPr>
          <w:rFonts w:hint="eastAsia" w:ascii="仿宋_GB2312" w:eastAsia="仿宋_GB2312"/>
          <w:color w:val="000000" w:themeColor="text1"/>
          <w:sz w:val="28"/>
          <w:szCs w:val="28"/>
          <w14:textFill>
            <w14:solidFill>
              <w14:schemeClr w14:val="tx1"/>
            </w14:solidFill>
          </w14:textFill>
        </w:rPr>
        <w:t>“全国职业教育混合所有制办学研究联盟”揭牌仪式</w:t>
      </w:r>
      <w:bookmarkEnd w:id="230"/>
      <w:r>
        <w:rPr>
          <w:rFonts w:hint="eastAsia" w:ascii="仿宋_GB2312" w:eastAsia="仿宋_GB2312"/>
          <w:color w:val="000000" w:themeColor="text1"/>
          <w:sz w:val="28"/>
          <w:szCs w:val="28"/>
          <w14:textFill>
            <w14:solidFill>
              <w14:schemeClr w14:val="tx1"/>
            </w14:solidFill>
          </w14:textFill>
        </w:rPr>
        <w:t>。</w:t>
      </w:r>
    </w:p>
    <w:p>
      <w:pPr>
        <w:jc w:val="center"/>
        <w:rPr>
          <w:rFonts w:ascii="仿宋_GB2312" w:eastAsia="仿宋_GB2312"/>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643255</wp:posOffset>
                </wp:positionH>
                <wp:positionV relativeFrom="paragraph">
                  <wp:posOffset>2757805</wp:posOffset>
                </wp:positionV>
                <wp:extent cx="4320540" cy="327025"/>
                <wp:effectExtent l="0" t="0" r="3810" b="0"/>
                <wp:wrapNone/>
                <wp:docPr id="14" name="文本框 14"/>
                <wp:cNvGraphicFramePr/>
                <a:graphic xmlns:a="http://schemas.openxmlformats.org/drawingml/2006/main">
                  <a:graphicData uri="http://schemas.microsoft.com/office/word/2010/wordprocessingShape">
                    <wps:wsp>
                      <wps:cNvSpPr txBox="1"/>
                      <wps:spPr>
                        <a:xfrm>
                          <a:off x="0" y="0"/>
                          <a:ext cx="4320540" cy="327025"/>
                        </a:xfrm>
                        <a:prstGeom prst="rect">
                          <a:avLst/>
                        </a:prstGeom>
                        <a:solidFill>
                          <a:schemeClr val="accent2">
                            <a:lumMod val="60000"/>
                            <a:lumOff val="40000"/>
                          </a:schemeClr>
                        </a:solidFill>
                        <a:ln w="28575" cmpd="sng">
                          <a:noFill/>
                          <a:prstDash val="solid"/>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left"/>
                              <w:rPr>
                                <w:rFonts w:ascii="黑体" w:hAnsi="黑体" w:eastAsia="黑体" w:cs="黑体"/>
                                <w:szCs w:val="21"/>
                              </w:rPr>
                            </w:pPr>
                            <w:r>
                              <w:rPr>
                                <w:rFonts w:hint="eastAsia" w:ascii="黑体" w:hAnsi="黑体" w:eastAsia="黑体" w:cs="黑体"/>
                                <w:szCs w:val="21"/>
                              </w:rPr>
                              <w:t>“全国职业教育混合所有制办学研究联盟”揭牌仪式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65pt;margin-top:217.15pt;height:25.75pt;width:340.2pt;z-index:251659264;mso-width-relative:page;mso-height-relative:page;" fillcolor="#F4B183 [1941]" filled="t" stroked="f" coordsize="21600,21600" o:gfxdata="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jwSl7aAAAACwEAAA8AAAAAAAAAAQAgAAAAIgAAAGRycy9kb3ducmV2LnhtbFBLAQIU&#10;ABQAAAAIAIdO4kDhCaaoYwIAAKEEAAAOAAAAAAAAAAEAIAAAACkBAABkcnMvZTJvRG9jLnhtbFBL&#10;BQYAAAAABgAGAFkBAAD+BQAAAAA=&#10;">
                <v:fill on="t" focussize="0,0"/>
                <v:stroke on="f" weight="2.25pt"/>
                <v:imagedata o:title=""/>
                <o:lock v:ext="edit" aspectratio="f"/>
                <v:textbox>
                  <w:txbxContent>
                    <w:p>
                      <w:pPr>
                        <w:spacing w:line="320" w:lineRule="exact"/>
                        <w:jc w:val="left"/>
                        <w:rPr>
                          <w:rFonts w:ascii="黑体" w:hAnsi="黑体" w:eastAsia="黑体" w:cs="黑体"/>
                          <w:szCs w:val="21"/>
                        </w:rPr>
                      </w:pPr>
                      <w:r>
                        <w:rPr>
                          <w:rFonts w:hint="eastAsia" w:ascii="黑体" w:hAnsi="黑体" w:eastAsia="黑体" w:cs="黑体"/>
                          <w:szCs w:val="21"/>
                        </w:rPr>
                        <w:t>“全国职业教育混合所有制办学研究联盟”揭牌仪式</w:t>
                      </w:r>
                    </w:p>
                  </w:txbxContent>
                </v:textbox>
              </v:shape>
            </w:pict>
          </mc:Fallback>
        </mc:AlternateContent>
      </w:r>
      <w:r>
        <w:rPr>
          <w:color w:val="000000" w:themeColor="text1"/>
          <w14:textFill>
            <w14:solidFill>
              <w14:schemeClr w14:val="tx1"/>
            </w14:solidFill>
          </w14:textFill>
        </w:rPr>
        <w:drawing>
          <wp:inline distT="0" distB="0" distL="0" distR="0">
            <wp:extent cx="4320540" cy="272415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40413" cy="2737312"/>
                    </a:xfrm>
                    <a:prstGeom prst="rect">
                      <a:avLst/>
                    </a:prstGeom>
                    <a:noFill/>
                    <a:ln>
                      <a:noFill/>
                    </a:ln>
                  </pic:spPr>
                </pic:pic>
              </a:graphicData>
            </a:graphic>
          </wp:inline>
        </w:drawing>
      </w: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tbl>
      <w:tblPr>
        <w:tblStyle w:val="21"/>
        <w:tblW w:w="850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0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atLeast"/>
          <w:jc w:val="center"/>
        </w:trPr>
        <w:tc>
          <w:tcPr>
            <w:tcW w:w="8504" w:type="dxa"/>
            <w:tcBorders>
              <w:bottom w:val="single" w:color="FFFFFF" w:sz="4" w:space="0"/>
            </w:tcBorders>
            <w:shd w:val="clear" w:color="auto" w:fill="0070C0"/>
            <w:vAlign w:val="center"/>
          </w:tcPr>
          <w:p>
            <w:pPr>
              <w:spacing w:line="520" w:lineRule="exact"/>
              <w:outlineLvl w:val="1"/>
              <w:rPr>
                <w:rFonts w:ascii="楷体_GB2312" w:hAnsi="Times New Roman" w:eastAsia="楷体_GB2312"/>
                <w:color w:val="000000" w:themeColor="text1"/>
                <w:sz w:val="28"/>
                <w:szCs w:val="28"/>
                <w14:textFill>
                  <w14:solidFill>
                    <w14:schemeClr w14:val="tx1"/>
                  </w14:solidFill>
                </w14:textFill>
              </w:rPr>
            </w:pPr>
            <w:bookmarkStart w:id="231" w:name="_Toc62845844"/>
            <w:bookmarkStart w:id="232" w:name="_Toc23967"/>
            <w:bookmarkStart w:id="233" w:name="_Toc94172190"/>
            <w:bookmarkStart w:id="234" w:name="_Toc91604992"/>
            <w:bookmarkStart w:id="235" w:name="_Toc94183433"/>
            <w:bookmarkStart w:id="236" w:name="_Toc94172331"/>
            <w:r>
              <w:rPr>
                <w:rFonts w:hint="eastAsia" w:ascii="楷体_GB2312" w:hAnsi="黑体" w:eastAsia="楷体_GB2312" w:cs="黑体"/>
                <w:b/>
                <w:bCs/>
                <w:color w:val="FFFFFF" w:themeColor="background1"/>
                <w:sz w:val="28"/>
                <w:szCs w:val="28"/>
                <w14:textFill>
                  <w14:solidFill>
                    <w14:schemeClr w14:val="bg1"/>
                  </w14:solidFill>
                </w14:textFill>
              </w:rPr>
              <w:t xml:space="preserve">专栏 3-1 </w:t>
            </w:r>
            <w:bookmarkEnd w:id="231"/>
            <w:bookmarkEnd w:id="232"/>
            <w:r>
              <w:rPr>
                <w:rFonts w:hint="eastAsia" w:ascii="楷体_GB2312" w:hAnsi="黑体" w:eastAsia="楷体_GB2312" w:cs="黑体"/>
                <w:b/>
                <w:bCs/>
                <w:color w:val="FFFFFF" w:themeColor="background1"/>
                <w:sz w:val="28"/>
                <w:szCs w:val="28"/>
                <w14:textFill>
                  <w14:solidFill>
                    <w14:schemeClr w14:val="bg1"/>
                  </w14:solidFill>
                </w14:textFill>
              </w:rPr>
              <w:t>创新校企合作新模式  构建校企协同育人新格局</w:t>
            </w:r>
            <w:bookmarkEnd w:id="233"/>
            <w:bookmarkEnd w:id="234"/>
            <w:bookmarkEnd w:id="235"/>
            <w:bookmarkEnd w:id="236"/>
            <w:r>
              <w:rPr>
                <w:rFonts w:hint="eastAsia" w:ascii="楷体_GB2312" w:hAnsi="黑体" w:eastAsia="楷体_GB2312" w:cs="黑体"/>
                <w:b/>
                <w:bCs/>
                <w:color w:val="FFFFFF" w:themeColor="background1"/>
                <w:sz w:val="28"/>
                <w:szCs w:val="28"/>
                <w14:textFill>
                  <w14:solidFill>
                    <w14:schemeClr w14:val="bg1"/>
                  </w14:solidFill>
                </w14:textFill>
              </w:rPr>
              <w:t xml:space="preserve">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504" w:type="dxa"/>
            <w:shd w:val="clear" w:color="auto" w:fill="CDEAFF"/>
          </w:tcPr>
          <w:p>
            <w:pPr>
              <w:spacing w:after="62" w:afterLines="20" w:line="440" w:lineRule="exact"/>
              <w:ind w:firstLine="56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潍坊职业学院</w:t>
            </w:r>
            <w:r>
              <w:rPr>
                <w:rFonts w:hint="eastAsia" w:ascii="Times New Roman" w:hAnsi="Times New Roman" w:eastAsia="仿宋_GB2312"/>
                <w:color w:val="000000" w:themeColor="text1"/>
                <w:sz w:val="24"/>
                <w14:textFill>
                  <w14:solidFill>
                    <w14:schemeClr w14:val="tx1"/>
                  </w14:solidFill>
                </w14:textFill>
              </w:rPr>
              <w:t>实施“一体两端四维度六融合”产业学院运行模式，以产业学院为载体，集结行业领军企业共同组成“人才培养端”，中小微企业为“产业需求端”；产业学院围绕“产、学、研、创”四个维度，合作开展“组织管理、教学改革”五个融合，形成了校企合作命运共同体。学生专业技能和综合素质显著提升，获全国职业院校技能大赛一等奖</w:t>
            </w:r>
            <w:r>
              <w:rPr>
                <w:rFonts w:ascii="Times New Roman" w:hAnsi="Times New Roman" w:eastAsia="仿宋_GB2312"/>
                <w:color w:val="000000" w:themeColor="text1"/>
                <w:sz w:val="24"/>
                <w14:textFill>
                  <w14:solidFill>
                    <w14:schemeClr w14:val="tx1"/>
                  </w14:solidFill>
                </w14:textFill>
              </w:rPr>
              <w:t>3项、二等奖4项，省级一等奖6项。主持国家教学资源库项目1个，建设了3门省级精品资源共享课，主编出版了5本国家级规划教材。</w:t>
            </w:r>
          </w:p>
          <w:p>
            <w:pPr>
              <w:spacing w:after="62" w:afterLines="20" w:line="440" w:lineRule="exact"/>
              <w:ind w:firstLine="56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威海职业学院</w:t>
            </w:r>
            <w:r>
              <w:rPr>
                <w:rFonts w:hint="eastAsia" w:ascii="Times New Roman" w:hAnsi="Times New Roman" w:eastAsia="仿宋_GB2312"/>
                <w:color w:val="000000" w:themeColor="text1"/>
                <w:sz w:val="24"/>
                <w14:textFill>
                  <w14:solidFill>
                    <w14:schemeClr w14:val="tx1"/>
                  </w14:solidFill>
                </w14:textFill>
              </w:rPr>
              <w:t>借鉴“总部经济”的极化效应和扩散效应，以学校本部为“总院”，以与高区、环翠区、临港区等共建的高新学院、环翠学院等校地合作二级学院、产学研基地为“分院”，通过发挥“分院”在区市产业群中的触角作用，来获取“总院”所需要的产业界资源，同时把“总院”的技术和服务延伸到区市产业界，形成了“一体多翼”的“总院</w:t>
            </w:r>
            <w:r>
              <w:rPr>
                <w:rFonts w:ascii="Times New Roman" w:hAnsi="Times New Roman" w:eastAsia="仿宋_GB2312"/>
                <w:color w:val="000000" w:themeColor="text1"/>
                <w:sz w:val="24"/>
                <w14:textFill>
                  <w14:solidFill>
                    <w14:schemeClr w14:val="tx1"/>
                  </w14:solidFill>
                </w14:textFill>
              </w:rPr>
              <w:t>-分院”产教深度融合、校地紧密合作的育人模式和服务模式。</w:t>
            </w:r>
          </w:p>
        </w:tc>
      </w:tr>
    </w:tbl>
    <w:p>
      <w:pPr>
        <w:spacing w:line="520" w:lineRule="exact"/>
        <w:ind w:firstLine="567"/>
        <w:outlineLvl w:val="1"/>
        <w:rPr>
          <w:rFonts w:ascii="楷体_GB2312" w:hAnsi="黑体" w:eastAsia="楷体_GB2312" w:cs="黑体"/>
          <w:bCs/>
          <w:color w:val="000000" w:themeColor="text1"/>
          <w:sz w:val="28"/>
          <w:szCs w:val="28"/>
          <w14:textFill>
            <w14:solidFill>
              <w14:schemeClr w14:val="tx1"/>
            </w14:solidFill>
          </w14:textFill>
        </w:rPr>
      </w:pPr>
      <w:bookmarkStart w:id="237" w:name="_Toc94172191"/>
      <w:bookmarkStart w:id="238" w:name="_Toc94172332"/>
      <w:bookmarkStart w:id="239" w:name="_Toc94183434"/>
      <w:r>
        <w:rPr>
          <w:rFonts w:hint="eastAsia" w:ascii="楷体_GB2312" w:hAnsi="黑体" w:eastAsia="楷体_GB2312" w:cs="黑体"/>
          <w:bCs/>
          <w:color w:val="000000" w:themeColor="text1"/>
          <w:sz w:val="28"/>
          <w:szCs w:val="28"/>
          <w14:textFill>
            <w14:solidFill>
              <w14:schemeClr w14:val="tx1"/>
            </w14:solidFill>
          </w14:textFill>
        </w:rPr>
        <w:t>3.3专业（群）建设</w:t>
      </w:r>
      <w:bookmarkEnd w:id="237"/>
      <w:bookmarkEnd w:id="238"/>
      <w:bookmarkEnd w:id="239"/>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240" w:name="_Toc91093031"/>
      <w:bookmarkStart w:id="241" w:name="_Toc91604676"/>
      <w:bookmarkStart w:id="242" w:name="_Toc91604994"/>
      <w:bookmarkStart w:id="243" w:name="_Toc91606511"/>
      <w:bookmarkStart w:id="244" w:name="_Toc94172192"/>
      <w:bookmarkStart w:id="245" w:name="_Toc94172333"/>
      <w:bookmarkStart w:id="246" w:name="_Toc94183435"/>
      <w:r>
        <w:rPr>
          <w:rFonts w:hint="eastAsia" w:ascii="仿宋_GB2312" w:hAnsi="仿宋_GB2312" w:eastAsia="仿宋_GB2312" w:cs="仿宋_GB2312"/>
          <w:b/>
          <w:bCs/>
          <w:color w:val="000000" w:themeColor="text1"/>
          <w:sz w:val="28"/>
          <w:szCs w:val="28"/>
          <w14:textFill>
            <w14:solidFill>
              <w14:schemeClr w14:val="tx1"/>
            </w14:solidFill>
          </w14:textFill>
        </w:rPr>
        <w:t xml:space="preserve">3.3.1  </w:t>
      </w:r>
      <w:bookmarkStart w:id="247" w:name="_Hlk91058268"/>
      <w:r>
        <w:rPr>
          <w:rFonts w:hint="eastAsia" w:ascii="仿宋_GB2312" w:hAnsi="仿宋_GB2312" w:eastAsia="仿宋_GB2312" w:cs="仿宋_GB2312"/>
          <w:b/>
          <w:bCs/>
          <w:color w:val="000000" w:themeColor="text1"/>
          <w:sz w:val="28"/>
          <w:szCs w:val="28"/>
          <w14:textFill>
            <w14:solidFill>
              <w14:schemeClr w14:val="tx1"/>
            </w14:solidFill>
          </w14:textFill>
        </w:rPr>
        <w:t>山东省高职专业设置</w:t>
      </w:r>
      <w:bookmarkEnd w:id="247"/>
      <w:r>
        <w:rPr>
          <w:rFonts w:hint="eastAsia" w:ascii="仿宋_GB2312" w:hAnsi="仿宋_GB2312" w:eastAsia="仿宋_GB2312" w:cs="仿宋_GB2312"/>
          <w:b/>
          <w:bCs/>
          <w:color w:val="000000" w:themeColor="text1"/>
          <w:sz w:val="28"/>
          <w:szCs w:val="28"/>
          <w14:textFill>
            <w14:solidFill>
              <w14:schemeClr w14:val="tx1"/>
            </w14:solidFill>
          </w14:textFill>
        </w:rPr>
        <w:t>总体情况</w:t>
      </w:r>
      <w:bookmarkEnd w:id="240"/>
      <w:bookmarkEnd w:id="241"/>
      <w:bookmarkEnd w:id="242"/>
      <w:bookmarkEnd w:id="243"/>
      <w:bookmarkEnd w:id="244"/>
      <w:bookmarkEnd w:id="245"/>
      <w:bookmarkEnd w:id="246"/>
    </w:p>
    <w:p>
      <w:pPr>
        <w:spacing w:line="500" w:lineRule="exact"/>
        <w:ind w:firstLine="562" w:firstLineChars="200"/>
        <w:rPr>
          <w:rFonts w:ascii="仿宋_GB2312" w:hAnsi="Times New Roman" w:eastAsia="仿宋_GB2312"/>
          <w:color w:val="000000" w:themeColor="text1"/>
          <w:sz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专业设置与规模现状分析。</w:t>
      </w:r>
      <w:r>
        <w:rPr>
          <w:rFonts w:hint="eastAsia" w:ascii="仿宋_GB2312" w:hAnsi="Times New Roman" w:eastAsia="仿宋_GB2312"/>
          <w:color w:val="000000" w:themeColor="text1"/>
          <w:sz w:val="28"/>
          <w14:textFill>
            <w14:solidFill>
              <w14:schemeClr w14:val="tx1"/>
            </w14:solidFill>
          </w14:textFill>
        </w:rPr>
        <w:t>全省83所高职院校共开设2697个专业点，实现19个专业大类全覆盖，涵盖全国高等职业教育专科目录97个专业类中的89类，覆盖率达91.75%。校均30个专业点，各专业点在校生平均规模331人，年级平均110人。近五年，山东省高职院校专业设置数量经过四年的小幅上升后，2021年略有下降，专业布局动态调整机制作用明显，平均办学规模基本合理，如图3-1所示。</w:t>
      </w:r>
    </w:p>
    <w:p>
      <w:pPr>
        <w:widowControl/>
        <w:jc w:val="center"/>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drawing>
          <wp:inline distT="0" distB="0" distL="0" distR="0">
            <wp:extent cx="4914900" cy="249237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a:extLst>
                        <a:ext uri="{28A0092B-C50C-407E-A947-70E740481C1C}">
                          <a14:useLocalDpi xmlns:a14="http://schemas.microsoft.com/office/drawing/2010/main" val="0"/>
                        </a:ext>
                      </a:extLst>
                    </a:blip>
                    <a:srcRect t="9211" r="2132" b="4186"/>
                    <a:stretch>
                      <a:fillRect/>
                    </a:stretch>
                  </pic:blipFill>
                  <pic:spPr>
                    <a:xfrm>
                      <a:off x="0" y="0"/>
                      <a:ext cx="4933044" cy="2501576"/>
                    </a:xfrm>
                    <a:prstGeom prst="rect">
                      <a:avLst/>
                    </a:prstGeom>
                    <a:noFill/>
                    <a:ln>
                      <a:noFill/>
                    </a:ln>
                  </pic:spPr>
                </pic:pic>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248" w:name="_Toc94183436"/>
      <w:bookmarkStart w:id="249" w:name="_Toc94172193"/>
      <w:bookmarkStart w:id="250" w:name="_Toc94172334"/>
      <w:bookmarkStart w:id="251" w:name="_Toc91604995"/>
      <w:r>
        <w:rPr>
          <w:rFonts w:hint="eastAsia" w:ascii="宋体" w:hAnsi="宋体" w:eastAsia="宋体"/>
          <w:b/>
          <w:bCs/>
          <w:color w:val="000000" w:themeColor="text1"/>
          <w:sz w:val="24"/>
          <w:szCs w:val="24"/>
          <w14:textFill>
            <w14:solidFill>
              <w14:schemeClr w14:val="tx1"/>
            </w14:solidFill>
          </w14:textFill>
        </w:rPr>
        <w:t>图</w:t>
      </w:r>
      <w:r>
        <w:rPr>
          <w:rFonts w:ascii="宋体" w:hAnsi="宋体" w:eastAsia="宋体"/>
          <w:b/>
          <w:bCs/>
          <w:color w:val="000000" w:themeColor="text1"/>
          <w:sz w:val="24"/>
          <w:szCs w:val="24"/>
          <w14:textFill>
            <w14:solidFill>
              <w14:schemeClr w14:val="tx1"/>
            </w14:solidFill>
          </w14:textFill>
        </w:rPr>
        <w:t>3-1 2017-2020年山东高职院校专业设置及规模示意图</w:t>
      </w:r>
      <w:bookmarkEnd w:id="248"/>
      <w:bookmarkEnd w:id="249"/>
      <w:bookmarkEnd w:id="250"/>
      <w:bookmarkEnd w:id="251"/>
    </w:p>
    <w:p>
      <w:pPr>
        <w:rPr>
          <w:rFonts w:ascii="宋体" w:hAnsi="宋体" w:eastAsia="宋体"/>
        </w:rPr>
      </w:pPr>
      <w:r>
        <w:rPr>
          <w:rFonts w:hint="eastAsia" w:ascii="宋体" w:hAnsi="宋体" w:eastAsia="宋体"/>
          <w:b/>
          <w:bCs/>
        </w:rPr>
        <w:t>数据来源：</w:t>
      </w:r>
      <w:r>
        <w:rPr>
          <w:rFonts w:ascii="宋体" w:hAnsi="宋体" w:eastAsia="宋体"/>
        </w:rPr>
        <w:t>2017-2021年度高等职业院校人才培养工作状态数据采集与管理平台</w:t>
      </w:r>
      <w:r>
        <w:rPr>
          <w:rFonts w:hint="eastAsia" w:ascii="宋体" w:hAnsi="宋体" w:eastAsia="宋体"/>
        </w:rPr>
        <w:t>。</w:t>
      </w:r>
    </w:p>
    <w:p>
      <w:pPr>
        <w:spacing w:line="500" w:lineRule="exact"/>
        <w:ind w:firstLine="562" w:firstLineChars="20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专业大类与在校生规模分析。</w:t>
      </w:r>
      <w:r>
        <w:rPr>
          <w:rFonts w:hint="eastAsia" w:ascii="仿宋_GB2312" w:hAnsi="Times New Roman" w:eastAsia="仿宋_GB2312"/>
          <w:color w:val="000000" w:themeColor="text1"/>
          <w:sz w:val="28"/>
          <w:szCs w:val="28"/>
          <w14:textFill>
            <w14:solidFill>
              <w14:schemeClr w14:val="tx1"/>
            </w14:solidFill>
          </w14:textFill>
        </w:rPr>
        <w:t>2021年全省高职院校全日制在校生892839人，财经商贸、医药卫生、电子信息等3大类在校生规模位列前三。</w:t>
      </w:r>
      <w:r>
        <w:rPr>
          <w:rFonts w:hint="eastAsia" w:ascii="仿宋_GB2312" w:hAnsi="Times New Roman" w:eastAsia="仿宋_GB2312"/>
          <w:color w:val="000000" w:themeColor="text1"/>
          <w:sz w:val="28"/>
          <w:szCs w:val="28"/>
          <w:lang w:bidi="ar"/>
          <w14:textFill>
            <w14:solidFill>
              <w14:schemeClr w14:val="tx1"/>
            </w14:solidFill>
          </w14:textFill>
        </w:rPr>
        <w:t>公安与司法、新闻传播、能源动力与材料、资源环境与安全、公共管理与服务、轻工纺织、水利</w:t>
      </w:r>
      <w:r>
        <w:rPr>
          <w:rFonts w:hint="eastAsia" w:ascii="仿宋_GB2312" w:hAnsi="Times New Roman" w:eastAsia="仿宋_GB2312"/>
          <w:color w:val="000000" w:themeColor="text1"/>
          <w:sz w:val="28"/>
          <w:szCs w:val="28"/>
          <w14:textFill>
            <w14:solidFill>
              <w14:schemeClr w14:val="tx1"/>
            </w14:solidFill>
          </w14:textFill>
        </w:rPr>
        <w:t>等13大类在校生规模均在10000人以下；</w:t>
      </w:r>
      <w:r>
        <w:rPr>
          <w:rFonts w:hint="eastAsia" w:ascii="仿宋_GB2312" w:hAnsi="Times New Roman" w:eastAsia="仿宋_GB2312"/>
          <w:color w:val="000000" w:themeColor="text1"/>
          <w:sz w:val="28"/>
          <w:szCs w:val="28"/>
          <w:lang w:bidi="ar"/>
          <w14:textFill>
            <w14:solidFill>
              <w14:schemeClr w14:val="tx1"/>
            </w14:solidFill>
          </w14:textFill>
        </w:rPr>
        <w:t>财经商贸、医药卫生、电子信息、装备制造、教育与体育、交通运输、土木建筑、文化艺术、旅游、食品药品与粮食、农林牧渔、生物与化工</w:t>
      </w:r>
      <w:r>
        <w:rPr>
          <w:rFonts w:hint="eastAsia" w:ascii="仿宋_GB2312" w:hAnsi="Times New Roman" w:eastAsia="仿宋_GB2312"/>
          <w:color w:val="000000" w:themeColor="text1"/>
          <w:sz w:val="28"/>
          <w:szCs w:val="28"/>
          <w14:textFill>
            <w14:solidFill>
              <w14:schemeClr w14:val="tx1"/>
            </w14:solidFill>
          </w14:textFill>
        </w:rPr>
        <w:t>等12大类在校生规模均超过10000人，如表3-2所示。</w:t>
      </w:r>
    </w:p>
    <w:p>
      <w:pPr>
        <w:pStyle w:val="4"/>
        <w:widowControl w:val="0"/>
        <w:spacing w:before="156" w:beforeLines="50" w:after="93" w:afterLines="30"/>
        <w:jc w:val="center"/>
        <w:outlineLvl w:val="2"/>
        <w:rPr>
          <w:rFonts w:ascii="宋体" w:hAnsi="宋体" w:eastAsia="宋体"/>
          <w:color w:val="000000" w:themeColor="text1"/>
          <w:sz w:val="24"/>
          <w:szCs w:val="24"/>
          <w14:textFill>
            <w14:solidFill>
              <w14:schemeClr w14:val="tx1"/>
            </w14:solidFill>
          </w14:textFill>
        </w:rPr>
      </w:pPr>
      <w:bookmarkStart w:id="252" w:name="_Toc91604996"/>
      <w:bookmarkStart w:id="253" w:name="_Toc91606513"/>
      <w:bookmarkStart w:id="254" w:name="_Toc94172194"/>
      <w:bookmarkStart w:id="255" w:name="_Toc94172335"/>
      <w:bookmarkStart w:id="256" w:name="_Toc94183437"/>
      <w:r>
        <w:rPr>
          <w:rFonts w:hint="eastAsia" w:ascii="宋体" w:hAnsi="宋体" w:eastAsia="宋体"/>
          <w:color w:val="000000" w:themeColor="text1"/>
          <w:sz w:val="24"/>
          <w:szCs w:val="24"/>
          <w14:textFill>
            <w14:solidFill>
              <w14:schemeClr w14:val="tx1"/>
            </w14:solidFill>
          </w14:textFill>
        </w:rPr>
        <w:t>表</w:t>
      </w:r>
      <w:r>
        <w:rPr>
          <w:rFonts w:ascii="宋体" w:hAnsi="宋体" w:eastAsia="宋体"/>
          <w:color w:val="000000" w:themeColor="text1"/>
          <w:sz w:val="24"/>
          <w:szCs w:val="24"/>
          <w14:textFill>
            <w14:solidFill>
              <w14:schemeClr w14:val="tx1"/>
            </w14:solidFill>
          </w14:textFill>
        </w:rPr>
        <w:t xml:space="preserve">3-2 </w:t>
      </w:r>
      <w:r>
        <w:rPr>
          <w:rFonts w:hint="eastAsia" w:ascii="宋体" w:hAnsi="宋体" w:eastAsia="宋体"/>
          <w:color w:val="000000" w:themeColor="text1"/>
          <w:sz w:val="24"/>
          <w:szCs w:val="24"/>
          <w14:textFill>
            <w14:solidFill>
              <w14:schemeClr w14:val="tx1"/>
            </w14:solidFill>
          </w14:textFill>
        </w:rPr>
        <w:t>山东省</w:t>
      </w:r>
      <w:r>
        <w:rPr>
          <w:rFonts w:ascii="宋体" w:hAnsi="宋体" w:eastAsia="宋体"/>
          <w:color w:val="000000" w:themeColor="text1"/>
          <w:sz w:val="24"/>
          <w:szCs w:val="24"/>
          <w14:textFill>
            <w14:solidFill>
              <w14:schemeClr w14:val="tx1"/>
            </w14:solidFill>
          </w14:textFill>
        </w:rPr>
        <w:t>2021年高职院校专业大类在校生规模</w:t>
      </w:r>
      <w:bookmarkEnd w:id="252"/>
      <w:bookmarkEnd w:id="253"/>
      <w:bookmarkEnd w:id="254"/>
      <w:bookmarkEnd w:id="255"/>
      <w:bookmarkEnd w:id="256"/>
    </w:p>
    <w:tbl>
      <w:tblPr>
        <w:tblStyle w:val="21"/>
        <w:tblW w:w="4997" w:type="pct"/>
        <w:tblInd w:w="0" w:type="dxa"/>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shd w:val="clear" w:color="auto" w:fill="FFFFFF" w:themeFill="background1"/>
        <w:tblLayout w:type="autofit"/>
        <w:tblCellMar>
          <w:top w:w="0" w:type="dxa"/>
          <w:left w:w="0" w:type="dxa"/>
          <w:bottom w:w="0" w:type="dxa"/>
          <w:right w:w="0" w:type="dxa"/>
        </w:tblCellMar>
      </w:tblPr>
      <w:tblGrid>
        <w:gridCol w:w="1204"/>
        <w:gridCol w:w="2563"/>
        <w:gridCol w:w="1394"/>
        <w:gridCol w:w="1006"/>
        <w:gridCol w:w="1298"/>
        <w:gridCol w:w="1404"/>
      </w:tblGrid>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shd w:val="clear" w:color="auto" w:fill="FFFFFF" w:themeFill="background1"/>
          <w:tblCellMar>
            <w:top w:w="0" w:type="dxa"/>
            <w:left w:w="0" w:type="dxa"/>
            <w:bottom w:w="0" w:type="dxa"/>
            <w:right w:w="0" w:type="dxa"/>
          </w:tblCellMar>
        </w:tblPrEx>
        <w:trPr>
          <w:trHeight w:val="283" w:hRule="atLeast"/>
          <w:tblHeader/>
        </w:trPr>
        <w:tc>
          <w:tcPr>
            <w:tcW w:w="679" w:type="pct"/>
            <w:tcBorders>
              <w:bottom w:val="single" w:color="0000CC" w:sz="12" w:space="0"/>
              <w:right w:val="nil"/>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bookmarkStart w:id="257" w:name="_Toc62717425"/>
            <w:r>
              <w:rPr>
                <w:rFonts w:hint="eastAsia" w:ascii="楷体_GB2312" w:hAnsi="Times New Roman" w:eastAsia="楷体_GB2312"/>
                <w:b/>
                <w:bCs/>
                <w:color w:val="FFFFFF" w:themeColor="background1"/>
                <w:szCs w:val="21"/>
                <w14:textFill>
                  <w14:solidFill>
                    <w14:schemeClr w14:val="bg1"/>
                  </w14:solidFill>
                </w14:textFill>
              </w:rPr>
              <w:t>专业类别</w:t>
            </w:r>
            <w:bookmarkEnd w:id="257"/>
          </w:p>
          <w:p>
            <w:pPr>
              <w:jc w:val="center"/>
              <w:rPr>
                <w:rFonts w:ascii="楷体_GB2312" w:hAnsi="Times New Roman" w:eastAsia="楷体_GB2312"/>
                <w:b/>
                <w:bCs/>
                <w:color w:val="FFFFFF" w:themeColor="background1"/>
                <w:szCs w:val="21"/>
                <w14:textFill>
                  <w14:solidFill>
                    <w14:schemeClr w14:val="bg1"/>
                  </w14:solidFill>
                </w14:textFill>
              </w:rPr>
            </w:pPr>
            <w:bookmarkStart w:id="258" w:name="_Toc62717426"/>
            <w:r>
              <w:rPr>
                <w:rFonts w:hint="eastAsia" w:ascii="楷体_GB2312" w:hAnsi="Times New Roman" w:eastAsia="楷体_GB2312"/>
                <w:b/>
                <w:bCs/>
                <w:color w:val="FFFFFF" w:themeColor="background1"/>
                <w:szCs w:val="21"/>
                <w14:textFill>
                  <w14:solidFill>
                    <w14:schemeClr w14:val="bg1"/>
                  </w14:solidFill>
                </w14:textFill>
              </w:rPr>
              <w:t>代码</w:t>
            </w:r>
            <w:bookmarkEnd w:id="258"/>
          </w:p>
        </w:tc>
        <w:tc>
          <w:tcPr>
            <w:tcW w:w="1445"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bookmarkStart w:id="259" w:name="_Toc62717427"/>
            <w:r>
              <w:rPr>
                <w:rFonts w:hint="eastAsia" w:ascii="楷体_GB2312" w:hAnsi="Times New Roman" w:eastAsia="楷体_GB2312"/>
                <w:b/>
                <w:bCs/>
                <w:color w:val="FFFFFF" w:themeColor="background1"/>
                <w:szCs w:val="21"/>
                <w14:textFill>
                  <w14:solidFill>
                    <w14:schemeClr w14:val="bg1"/>
                  </w14:solidFill>
                </w14:textFill>
              </w:rPr>
              <w:t>专业类别名称</w:t>
            </w:r>
            <w:bookmarkEnd w:id="259"/>
          </w:p>
        </w:tc>
        <w:tc>
          <w:tcPr>
            <w:tcW w:w="786"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bookmarkStart w:id="260" w:name="_Toc62717428"/>
            <w:r>
              <w:rPr>
                <w:rFonts w:hint="eastAsia" w:ascii="楷体_GB2312" w:hAnsi="Times New Roman" w:eastAsia="楷体_GB2312"/>
                <w:b/>
                <w:bCs/>
                <w:color w:val="FFFFFF" w:themeColor="background1"/>
                <w:szCs w:val="21"/>
                <w14:textFill>
                  <w14:solidFill>
                    <w14:schemeClr w14:val="bg1"/>
                  </w14:solidFill>
                </w14:textFill>
              </w:rPr>
              <w:t>产业</w:t>
            </w:r>
            <w:bookmarkEnd w:id="260"/>
          </w:p>
        </w:tc>
        <w:tc>
          <w:tcPr>
            <w:tcW w:w="567"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bookmarkStart w:id="261" w:name="_Toc62717429"/>
            <w:r>
              <w:rPr>
                <w:rFonts w:hint="eastAsia" w:ascii="楷体_GB2312" w:hAnsi="Times New Roman" w:eastAsia="楷体_GB2312"/>
                <w:b/>
                <w:bCs/>
                <w:color w:val="FFFFFF" w:themeColor="background1"/>
                <w:szCs w:val="21"/>
                <w14:textFill>
                  <w14:solidFill>
                    <w14:schemeClr w14:val="bg1"/>
                  </w14:solidFill>
                </w14:textFill>
              </w:rPr>
              <w:t>有招生</w:t>
            </w:r>
            <w:bookmarkEnd w:id="261"/>
          </w:p>
          <w:p>
            <w:pPr>
              <w:jc w:val="center"/>
              <w:rPr>
                <w:rFonts w:ascii="楷体_GB2312" w:hAnsi="Times New Roman" w:eastAsia="楷体_GB2312"/>
                <w:b/>
                <w:bCs/>
                <w:color w:val="FFFFFF" w:themeColor="background1"/>
                <w:szCs w:val="21"/>
                <w14:textFill>
                  <w14:solidFill>
                    <w14:schemeClr w14:val="bg1"/>
                  </w14:solidFill>
                </w14:textFill>
              </w:rPr>
            </w:pPr>
            <w:bookmarkStart w:id="262" w:name="_Toc62717430"/>
            <w:r>
              <w:rPr>
                <w:rFonts w:hint="eastAsia" w:ascii="楷体_GB2312" w:hAnsi="Times New Roman" w:eastAsia="楷体_GB2312"/>
                <w:b/>
                <w:bCs/>
                <w:color w:val="FFFFFF" w:themeColor="background1"/>
                <w:szCs w:val="21"/>
                <w14:textFill>
                  <w14:solidFill>
                    <w14:schemeClr w14:val="bg1"/>
                  </w14:solidFill>
                </w14:textFill>
              </w:rPr>
              <w:t>的院校数</w:t>
            </w:r>
            <w:bookmarkEnd w:id="262"/>
          </w:p>
        </w:tc>
        <w:tc>
          <w:tcPr>
            <w:tcW w:w="732"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bookmarkStart w:id="263" w:name="_Toc62717431"/>
            <w:r>
              <w:rPr>
                <w:rFonts w:hint="eastAsia" w:ascii="楷体_GB2312" w:hAnsi="Times New Roman" w:eastAsia="楷体_GB2312"/>
                <w:b/>
                <w:bCs/>
                <w:color w:val="FFFFFF" w:themeColor="background1"/>
                <w:szCs w:val="21"/>
                <w14:textFill>
                  <w14:solidFill>
                    <w14:schemeClr w14:val="bg1"/>
                  </w14:solidFill>
                </w14:textFill>
              </w:rPr>
              <w:t>规模(人)</w:t>
            </w:r>
            <w:bookmarkEnd w:id="263"/>
          </w:p>
        </w:tc>
        <w:tc>
          <w:tcPr>
            <w:tcW w:w="791" w:type="pct"/>
            <w:tcBorders>
              <w:left w:val="nil"/>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bookmarkStart w:id="264" w:name="_Toc62717432"/>
            <w:r>
              <w:rPr>
                <w:rFonts w:hint="eastAsia" w:ascii="楷体_GB2312" w:hAnsi="Times New Roman" w:eastAsia="楷体_GB2312"/>
                <w:b/>
                <w:bCs/>
                <w:color w:val="FFFFFF" w:themeColor="background1"/>
                <w:szCs w:val="21"/>
                <w14:textFill>
                  <w14:solidFill>
                    <w14:schemeClr w14:val="bg1"/>
                  </w14:solidFill>
                </w14:textFill>
              </w:rPr>
              <w:t>规模排名</w:t>
            </w:r>
            <w:bookmarkEnd w:id="264"/>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3</w:t>
            </w:r>
          </w:p>
        </w:tc>
        <w:tc>
          <w:tcPr>
            <w:tcW w:w="1445"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财经商贸大类</w:t>
            </w:r>
          </w:p>
        </w:tc>
        <w:tc>
          <w:tcPr>
            <w:tcW w:w="786"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567"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7</w:t>
            </w:r>
            <w:r>
              <w:rPr>
                <w:rFonts w:ascii="宋体" w:hAnsi="宋体" w:eastAsia="宋体"/>
                <w:color w:val="000000" w:themeColor="text1"/>
                <w:szCs w:val="21"/>
                <w:lang w:bidi="ar"/>
                <w14:textFill>
                  <w14:solidFill>
                    <w14:schemeClr w14:val="tx1"/>
                  </w14:solidFill>
                </w14:textFill>
              </w:rPr>
              <w:t>0</w:t>
            </w:r>
          </w:p>
        </w:tc>
        <w:tc>
          <w:tcPr>
            <w:tcW w:w="732"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54128</w:t>
            </w:r>
          </w:p>
        </w:tc>
        <w:tc>
          <w:tcPr>
            <w:tcW w:w="791"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2</w:t>
            </w:r>
          </w:p>
        </w:tc>
        <w:tc>
          <w:tcPr>
            <w:tcW w:w="1445"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医药卫生大类</w:t>
            </w:r>
          </w:p>
        </w:tc>
        <w:tc>
          <w:tcPr>
            <w:tcW w:w="786"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567"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49</w:t>
            </w:r>
          </w:p>
        </w:tc>
        <w:tc>
          <w:tcPr>
            <w:tcW w:w="73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47698</w:t>
            </w:r>
          </w:p>
        </w:tc>
        <w:tc>
          <w:tcPr>
            <w:tcW w:w="791"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2</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1</w:t>
            </w:r>
          </w:p>
        </w:tc>
        <w:tc>
          <w:tcPr>
            <w:tcW w:w="1445"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电子信息大类</w:t>
            </w:r>
          </w:p>
        </w:tc>
        <w:tc>
          <w:tcPr>
            <w:tcW w:w="786"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567"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7</w:t>
            </w:r>
            <w:r>
              <w:rPr>
                <w:rFonts w:ascii="宋体" w:hAnsi="宋体" w:eastAsia="宋体"/>
                <w:color w:val="000000" w:themeColor="text1"/>
                <w:szCs w:val="21"/>
                <w:lang w:bidi="ar"/>
                <w14:textFill>
                  <w14:solidFill>
                    <w14:schemeClr w14:val="tx1"/>
                  </w14:solidFill>
                </w14:textFill>
              </w:rPr>
              <w:t>3</w:t>
            </w:r>
          </w:p>
        </w:tc>
        <w:tc>
          <w:tcPr>
            <w:tcW w:w="73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26517</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3</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6</w:t>
            </w:r>
          </w:p>
        </w:tc>
        <w:tc>
          <w:tcPr>
            <w:tcW w:w="1445"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装备制造大类</w:t>
            </w:r>
          </w:p>
        </w:tc>
        <w:tc>
          <w:tcPr>
            <w:tcW w:w="786"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第二产业</w:t>
            </w:r>
          </w:p>
        </w:tc>
        <w:tc>
          <w:tcPr>
            <w:tcW w:w="567"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6</w:t>
            </w:r>
            <w:r>
              <w:rPr>
                <w:rFonts w:ascii="宋体" w:hAnsi="宋体" w:eastAsia="宋体"/>
                <w:color w:val="000000" w:themeColor="text1"/>
                <w:szCs w:val="21"/>
                <w:lang w:bidi="ar"/>
                <w14:textFill>
                  <w14:solidFill>
                    <w14:schemeClr w14:val="tx1"/>
                  </w14:solidFill>
                </w14:textFill>
              </w:rPr>
              <w:t>4</w:t>
            </w:r>
          </w:p>
        </w:tc>
        <w:tc>
          <w:tcPr>
            <w:tcW w:w="73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02440</w:t>
            </w:r>
          </w:p>
        </w:tc>
        <w:tc>
          <w:tcPr>
            <w:tcW w:w="791"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4</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7</w:t>
            </w:r>
          </w:p>
        </w:tc>
        <w:tc>
          <w:tcPr>
            <w:tcW w:w="1445"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教育与体育大类</w:t>
            </w:r>
          </w:p>
        </w:tc>
        <w:tc>
          <w:tcPr>
            <w:tcW w:w="786"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567"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2</w:t>
            </w:r>
          </w:p>
        </w:tc>
        <w:tc>
          <w:tcPr>
            <w:tcW w:w="73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6</w:t>
            </w:r>
            <w:r>
              <w:rPr>
                <w:rFonts w:ascii="宋体" w:hAnsi="宋体" w:eastAsia="宋体"/>
                <w:color w:val="000000" w:themeColor="text1"/>
                <w:szCs w:val="21"/>
                <w:lang w:bidi="ar"/>
                <w14:textFill>
                  <w14:solidFill>
                    <w14:schemeClr w14:val="tx1"/>
                  </w14:solidFill>
                </w14:textFill>
              </w:rPr>
              <w:t>1609</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5</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0</w:t>
            </w:r>
          </w:p>
        </w:tc>
        <w:tc>
          <w:tcPr>
            <w:tcW w:w="1445"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交通运输大类</w:t>
            </w:r>
          </w:p>
        </w:tc>
        <w:tc>
          <w:tcPr>
            <w:tcW w:w="786"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567"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6</w:t>
            </w:r>
            <w:r>
              <w:rPr>
                <w:rFonts w:ascii="宋体" w:hAnsi="宋体" w:eastAsia="宋体"/>
                <w:color w:val="000000" w:themeColor="text1"/>
                <w:szCs w:val="21"/>
                <w:lang w:bidi="ar"/>
                <w14:textFill>
                  <w14:solidFill>
                    <w14:schemeClr w14:val="tx1"/>
                  </w14:solidFill>
                </w14:textFill>
              </w:rPr>
              <w:t>3</w:t>
            </w:r>
          </w:p>
        </w:tc>
        <w:tc>
          <w:tcPr>
            <w:tcW w:w="73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8412</w:t>
            </w:r>
          </w:p>
        </w:tc>
        <w:tc>
          <w:tcPr>
            <w:tcW w:w="791"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6</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4</w:t>
            </w:r>
          </w:p>
        </w:tc>
        <w:tc>
          <w:tcPr>
            <w:tcW w:w="1445"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土木建筑大类</w:t>
            </w:r>
          </w:p>
        </w:tc>
        <w:tc>
          <w:tcPr>
            <w:tcW w:w="786"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第二产业</w:t>
            </w:r>
          </w:p>
        </w:tc>
        <w:tc>
          <w:tcPr>
            <w:tcW w:w="567"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9</w:t>
            </w:r>
          </w:p>
        </w:tc>
        <w:tc>
          <w:tcPr>
            <w:tcW w:w="73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5782</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7</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5</w:t>
            </w:r>
          </w:p>
        </w:tc>
        <w:tc>
          <w:tcPr>
            <w:tcW w:w="1445"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文化艺术大类</w:t>
            </w:r>
          </w:p>
        </w:tc>
        <w:tc>
          <w:tcPr>
            <w:tcW w:w="786"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567"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6</w:t>
            </w:r>
          </w:p>
        </w:tc>
        <w:tc>
          <w:tcPr>
            <w:tcW w:w="73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1832</w:t>
            </w:r>
          </w:p>
        </w:tc>
        <w:tc>
          <w:tcPr>
            <w:tcW w:w="791"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8</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4</w:t>
            </w:r>
          </w:p>
        </w:tc>
        <w:tc>
          <w:tcPr>
            <w:tcW w:w="1445"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旅游大类</w:t>
            </w:r>
          </w:p>
        </w:tc>
        <w:tc>
          <w:tcPr>
            <w:tcW w:w="786"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567"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2</w:t>
            </w:r>
          </w:p>
        </w:tc>
        <w:tc>
          <w:tcPr>
            <w:tcW w:w="73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2</w:t>
            </w:r>
            <w:r>
              <w:rPr>
                <w:rFonts w:ascii="宋体" w:hAnsi="宋体" w:eastAsia="宋体"/>
                <w:color w:val="000000" w:themeColor="text1"/>
                <w:szCs w:val="21"/>
                <w:lang w:bidi="ar"/>
                <w14:textFill>
                  <w14:solidFill>
                    <w14:schemeClr w14:val="tx1"/>
                  </w14:solidFill>
                </w14:textFill>
              </w:rPr>
              <w:t>8520</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9</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9</w:t>
            </w:r>
          </w:p>
        </w:tc>
        <w:tc>
          <w:tcPr>
            <w:tcW w:w="1445"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食品药品与粮食大类</w:t>
            </w:r>
          </w:p>
        </w:tc>
        <w:tc>
          <w:tcPr>
            <w:tcW w:w="786"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第二产业</w:t>
            </w:r>
          </w:p>
        </w:tc>
        <w:tc>
          <w:tcPr>
            <w:tcW w:w="567"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3</w:t>
            </w:r>
            <w:r>
              <w:rPr>
                <w:rFonts w:ascii="宋体" w:hAnsi="宋体" w:eastAsia="宋体"/>
                <w:color w:val="000000" w:themeColor="text1"/>
                <w:szCs w:val="21"/>
                <w:lang w:bidi="ar"/>
                <w14:textFill>
                  <w14:solidFill>
                    <w14:schemeClr w14:val="tx1"/>
                  </w14:solidFill>
                </w14:textFill>
              </w:rPr>
              <w:t>8</w:t>
            </w:r>
          </w:p>
        </w:tc>
        <w:tc>
          <w:tcPr>
            <w:tcW w:w="73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2</w:t>
            </w:r>
            <w:r>
              <w:rPr>
                <w:rFonts w:ascii="宋体" w:hAnsi="宋体" w:eastAsia="宋体"/>
                <w:color w:val="000000" w:themeColor="text1"/>
                <w:szCs w:val="21"/>
                <w:lang w:bidi="ar"/>
                <w14:textFill>
                  <w14:solidFill>
                    <w14:schemeClr w14:val="tx1"/>
                  </w14:solidFill>
                </w14:textFill>
              </w:rPr>
              <w:t>2970</w:t>
            </w:r>
          </w:p>
        </w:tc>
        <w:tc>
          <w:tcPr>
            <w:tcW w:w="791"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10</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1</w:t>
            </w:r>
          </w:p>
        </w:tc>
        <w:tc>
          <w:tcPr>
            <w:tcW w:w="1445"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农林牧渔大类</w:t>
            </w:r>
          </w:p>
        </w:tc>
        <w:tc>
          <w:tcPr>
            <w:tcW w:w="786"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第一产业</w:t>
            </w:r>
          </w:p>
        </w:tc>
        <w:tc>
          <w:tcPr>
            <w:tcW w:w="567"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2</w:t>
            </w:r>
            <w:r>
              <w:rPr>
                <w:rFonts w:ascii="宋体" w:hAnsi="宋体" w:eastAsia="宋体"/>
                <w:color w:val="000000" w:themeColor="text1"/>
                <w:szCs w:val="21"/>
                <w:lang w:bidi="ar"/>
                <w14:textFill>
                  <w14:solidFill>
                    <w14:schemeClr w14:val="tx1"/>
                  </w14:solidFill>
                </w14:textFill>
              </w:rPr>
              <w:t>0</w:t>
            </w:r>
          </w:p>
        </w:tc>
        <w:tc>
          <w:tcPr>
            <w:tcW w:w="73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2782</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11</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7</w:t>
            </w:r>
          </w:p>
        </w:tc>
        <w:tc>
          <w:tcPr>
            <w:tcW w:w="1445"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生物与化工大类</w:t>
            </w:r>
          </w:p>
        </w:tc>
        <w:tc>
          <w:tcPr>
            <w:tcW w:w="786"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第二产业</w:t>
            </w:r>
          </w:p>
        </w:tc>
        <w:tc>
          <w:tcPr>
            <w:tcW w:w="56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3</w:t>
            </w:r>
            <w:r>
              <w:rPr>
                <w:rFonts w:ascii="宋体" w:hAnsi="宋体" w:eastAsia="宋体"/>
                <w:color w:val="000000" w:themeColor="text1"/>
                <w:szCs w:val="21"/>
                <w:lang w:bidi="ar"/>
                <w14:textFill>
                  <w14:solidFill>
                    <w14:schemeClr w14:val="tx1"/>
                  </w14:solidFill>
                </w14:textFill>
              </w:rPr>
              <w:t>1</w:t>
            </w:r>
          </w:p>
        </w:tc>
        <w:tc>
          <w:tcPr>
            <w:tcW w:w="73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2767</w:t>
            </w:r>
          </w:p>
        </w:tc>
        <w:tc>
          <w:tcPr>
            <w:tcW w:w="791"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12</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8</w:t>
            </w:r>
          </w:p>
        </w:tc>
        <w:tc>
          <w:tcPr>
            <w:tcW w:w="1445"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公安与司法大类</w:t>
            </w:r>
          </w:p>
        </w:tc>
        <w:tc>
          <w:tcPr>
            <w:tcW w:w="786"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567"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p>
        </w:tc>
        <w:tc>
          <w:tcPr>
            <w:tcW w:w="73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7</w:t>
            </w:r>
            <w:r>
              <w:rPr>
                <w:rFonts w:ascii="宋体" w:hAnsi="宋体" w:eastAsia="宋体"/>
                <w:color w:val="000000" w:themeColor="text1"/>
                <w:szCs w:val="21"/>
                <w:lang w:bidi="ar"/>
                <w14:textFill>
                  <w14:solidFill>
                    <w14:schemeClr w14:val="tx1"/>
                  </w14:solidFill>
                </w14:textFill>
              </w:rPr>
              <w:t>766</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13</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6</w:t>
            </w:r>
          </w:p>
        </w:tc>
        <w:tc>
          <w:tcPr>
            <w:tcW w:w="1445"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新闻传播大类</w:t>
            </w:r>
          </w:p>
        </w:tc>
        <w:tc>
          <w:tcPr>
            <w:tcW w:w="786"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56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4</w:t>
            </w:r>
          </w:p>
        </w:tc>
        <w:tc>
          <w:tcPr>
            <w:tcW w:w="73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7</w:t>
            </w:r>
            <w:r>
              <w:rPr>
                <w:rFonts w:ascii="宋体" w:hAnsi="宋体" w:eastAsia="宋体"/>
                <w:color w:val="000000" w:themeColor="text1"/>
                <w:szCs w:val="21"/>
                <w:lang w:bidi="ar"/>
                <w14:textFill>
                  <w14:solidFill>
                    <w14:schemeClr w14:val="tx1"/>
                  </w14:solidFill>
                </w14:textFill>
              </w:rPr>
              <w:t>655</w:t>
            </w:r>
          </w:p>
        </w:tc>
        <w:tc>
          <w:tcPr>
            <w:tcW w:w="791"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14</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PrEx>
        <w:trPr>
          <w:trHeight w:val="454" w:hRule="atLeast"/>
        </w:trPr>
        <w:tc>
          <w:tcPr>
            <w:tcW w:w="679"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3</w:t>
            </w:r>
          </w:p>
        </w:tc>
        <w:tc>
          <w:tcPr>
            <w:tcW w:w="1445"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能源动力与材料大类</w:t>
            </w:r>
          </w:p>
        </w:tc>
        <w:tc>
          <w:tcPr>
            <w:tcW w:w="786"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第二产业</w:t>
            </w:r>
          </w:p>
        </w:tc>
        <w:tc>
          <w:tcPr>
            <w:tcW w:w="567"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2</w:t>
            </w:r>
            <w:r>
              <w:rPr>
                <w:rFonts w:ascii="宋体" w:hAnsi="宋体" w:eastAsia="宋体"/>
                <w:color w:val="000000" w:themeColor="text1"/>
                <w:szCs w:val="21"/>
                <w:lang w:bidi="ar"/>
                <w14:textFill>
                  <w14:solidFill>
                    <w14:schemeClr w14:val="tx1"/>
                  </w14:solidFill>
                </w14:textFill>
              </w:rPr>
              <w:t>1</w:t>
            </w:r>
          </w:p>
        </w:tc>
        <w:tc>
          <w:tcPr>
            <w:tcW w:w="73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6</w:t>
            </w:r>
            <w:r>
              <w:rPr>
                <w:rFonts w:ascii="宋体" w:hAnsi="宋体" w:eastAsia="宋体"/>
                <w:color w:val="000000" w:themeColor="text1"/>
                <w:szCs w:val="21"/>
                <w:lang w:bidi="ar"/>
                <w14:textFill>
                  <w14:solidFill>
                    <w14:schemeClr w14:val="tx1"/>
                  </w14:solidFill>
                </w14:textFill>
              </w:rPr>
              <w:t>863</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15</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2</w:t>
            </w:r>
          </w:p>
        </w:tc>
        <w:tc>
          <w:tcPr>
            <w:tcW w:w="1445"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资源环境与安全大类</w:t>
            </w:r>
          </w:p>
        </w:tc>
        <w:tc>
          <w:tcPr>
            <w:tcW w:w="786"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第二产业</w:t>
            </w:r>
          </w:p>
        </w:tc>
        <w:tc>
          <w:tcPr>
            <w:tcW w:w="567"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3</w:t>
            </w:r>
            <w:r>
              <w:rPr>
                <w:rFonts w:ascii="宋体" w:hAnsi="宋体" w:eastAsia="宋体"/>
                <w:color w:val="000000" w:themeColor="text1"/>
                <w:szCs w:val="21"/>
                <w:lang w:bidi="ar"/>
                <w14:textFill>
                  <w14:solidFill>
                    <w14:schemeClr w14:val="tx1"/>
                  </w14:solidFill>
                </w14:textFill>
              </w:rPr>
              <w:t>2</w:t>
            </w:r>
          </w:p>
        </w:tc>
        <w:tc>
          <w:tcPr>
            <w:tcW w:w="73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612</w:t>
            </w:r>
          </w:p>
        </w:tc>
        <w:tc>
          <w:tcPr>
            <w:tcW w:w="791"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16</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679"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9</w:t>
            </w:r>
          </w:p>
        </w:tc>
        <w:tc>
          <w:tcPr>
            <w:tcW w:w="1445"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公共管理与服务大类</w:t>
            </w:r>
          </w:p>
        </w:tc>
        <w:tc>
          <w:tcPr>
            <w:tcW w:w="786"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567"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3</w:t>
            </w:r>
            <w:r>
              <w:rPr>
                <w:rFonts w:ascii="宋体" w:hAnsi="宋体" w:eastAsia="宋体"/>
                <w:color w:val="000000" w:themeColor="text1"/>
                <w:szCs w:val="21"/>
                <w:lang w:bidi="ar"/>
                <w14:textFill>
                  <w14:solidFill>
                    <w14:schemeClr w14:val="tx1"/>
                  </w14:solidFill>
                </w14:textFill>
              </w:rPr>
              <w:t>8</w:t>
            </w:r>
          </w:p>
        </w:tc>
        <w:tc>
          <w:tcPr>
            <w:tcW w:w="73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550</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17</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PrEx>
        <w:trPr>
          <w:trHeight w:val="454" w:hRule="atLeast"/>
        </w:trPr>
        <w:tc>
          <w:tcPr>
            <w:tcW w:w="679"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8</w:t>
            </w:r>
          </w:p>
        </w:tc>
        <w:tc>
          <w:tcPr>
            <w:tcW w:w="1445"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轻工纺织大类</w:t>
            </w:r>
          </w:p>
        </w:tc>
        <w:tc>
          <w:tcPr>
            <w:tcW w:w="786"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第二产业</w:t>
            </w:r>
          </w:p>
        </w:tc>
        <w:tc>
          <w:tcPr>
            <w:tcW w:w="567"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5</w:t>
            </w:r>
          </w:p>
        </w:tc>
        <w:tc>
          <w:tcPr>
            <w:tcW w:w="73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3</w:t>
            </w:r>
            <w:r>
              <w:rPr>
                <w:rFonts w:ascii="宋体" w:hAnsi="宋体" w:eastAsia="宋体"/>
                <w:color w:val="000000" w:themeColor="text1"/>
                <w:szCs w:val="21"/>
                <w:lang w:bidi="ar"/>
                <w14:textFill>
                  <w14:solidFill>
                    <w14:schemeClr w14:val="tx1"/>
                  </w14:solidFill>
                </w14:textFill>
              </w:rPr>
              <w:t>282</w:t>
            </w:r>
          </w:p>
        </w:tc>
        <w:tc>
          <w:tcPr>
            <w:tcW w:w="791"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18</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PrEx>
        <w:trPr>
          <w:trHeight w:val="454" w:hRule="atLeast"/>
        </w:trPr>
        <w:tc>
          <w:tcPr>
            <w:tcW w:w="679"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5</w:t>
            </w:r>
          </w:p>
        </w:tc>
        <w:tc>
          <w:tcPr>
            <w:tcW w:w="1445"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水利大类</w:t>
            </w:r>
          </w:p>
        </w:tc>
        <w:tc>
          <w:tcPr>
            <w:tcW w:w="786"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第一产业</w:t>
            </w:r>
          </w:p>
        </w:tc>
        <w:tc>
          <w:tcPr>
            <w:tcW w:w="567"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p>
        </w:tc>
        <w:tc>
          <w:tcPr>
            <w:tcW w:w="73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920</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19</w:t>
            </w:r>
          </w:p>
        </w:tc>
      </w:tr>
      <w:tr>
        <w:tblPrEx>
          <w:tblBorders>
            <w:top w:val="single" w:color="0000CC" w:sz="12" w:space="0"/>
            <w:left w:val="single" w:color="FFFFFF" w:themeColor="background1" w:sz="12" w:space="0"/>
            <w:bottom w:val="single" w:color="0000CC" w:sz="12" w:space="0"/>
            <w:right w:val="single" w:color="FFFFFF" w:themeColor="background1" w:sz="12" w:space="0"/>
            <w:insideH w:val="single" w:color="FFFFFF" w:themeColor="background1" w:sz="12" w:space="0"/>
            <w:insideV w:val="single" w:color="FFFFFF" w:themeColor="background1" w:sz="12" w:space="0"/>
          </w:tblBorders>
          <w:tblCellMar>
            <w:top w:w="0" w:type="dxa"/>
            <w:left w:w="0" w:type="dxa"/>
            <w:bottom w:w="0" w:type="dxa"/>
            <w:right w:w="0" w:type="dxa"/>
          </w:tblCellMar>
        </w:tblPrEx>
        <w:trPr>
          <w:trHeight w:val="454" w:hRule="atLeast"/>
        </w:trPr>
        <w:tc>
          <w:tcPr>
            <w:tcW w:w="2124" w:type="pct"/>
            <w:gridSpan w:val="2"/>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合计</w:t>
            </w:r>
          </w:p>
        </w:tc>
        <w:tc>
          <w:tcPr>
            <w:tcW w:w="786"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w:t>
            </w:r>
          </w:p>
        </w:tc>
        <w:tc>
          <w:tcPr>
            <w:tcW w:w="567"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w:t>
            </w:r>
          </w:p>
        </w:tc>
        <w:tc>
          <w:tcPr>
            <w:tcW w:w="73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802147</w:t>
            </w:r>
          </w:p>
        </w:tc>
        <w:tc>
          <w:tcPr>
            <w:tcW w:w="791"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w:t>
            </w:r>
          </w:p>
        </w:tc>
      </w:tr>
    </w:tbl>
    <w:p>
      <w:pPr>
        <w:spacing w:before="62" w:beforeLines="20"/>
        <w:rPr>
          <w:rFonts w:ascii="宋体" w:hAnsi="宋体" w:eastAsia="宋体"/>
          <w:b/>
          <w:bCs/>
          <w:color w:val="000000" w:themeColor="text1"/>
          <w:sz w:val="28"/>
          <w:szCs w:val="28"/>
          <w14:textFill>
            <w14:solidFill>
              <w14:schemeClr w14:val="tx1"/>
            </w14:solidFill>
          </w14:textFill>
        </w:rPr>
      </w:pPr>
      <w:r>
        <w:rPr>
          <w:rFonts w:ascii="宋体" w:hAnsi="宋体" w:eastAsia="宋体"/>
          <w:b/>
          <w:bCs/>
          <w:color w:val="000000" w:themeColor="text1"/>
          <w:szCs w:val="21"/>
          <w14:textFill>
            <w14:solidFill>
              <w14:schemeClr w14:val="tx1"/>
            </w14:solidFill>
          </w14:textFill>
        </w:rPr>
        <w:t>数据来源：</w:t>
      </w:r>
      <w:r>
        <w:rPr>
          <w:rFonts w:hint="eastAsia" w:ascii="宋体" w:hAnsi="宋体" w:eastAsia="宋体"/>
          <w:color w:val="000000" w:themeColor="text1"/>
          <w:szCs w:val="21"/>
          <w14:textFill>
            <w14:solidFill>
              <w14:schemeClr w14:val="tx1"/>
            </w14:solidFill>
          </w14:textFill>
        </w:rPr>
        <w:t>202</w:t>
      </w:r>
      <w:r>
        <w:rPr>
          <w:rFonts w:ascii="宋体" w:hAnsi="宋体" w:eastAsia="宋体"/>
          <w:color w:val="000000" w:themeColor="text1"/>
          <w:szCs w:val="21"/>
          <w14:textFill>
            <w14:solidFill>
              <w14:schemeClr w14:val="tx1"/>
            </w14:solidFill>
          </w14:textFill>
        </w:rPr>
        <w:t>1</w:t>
      </w:r>
      <w:r>
        <w:rPr>
          <w:rFonts w:hint="eastAsia" w:ascii="宋体" w:hAnsi="宋体" w:eastAsia="宋体"/>
          <w:color w:val="000000" w:themeColor="text1"/>
          <w:szCs w:val="21"/>
          <w14:textFill>
            <w14:solidFill>
              <w14:schemeClr w14:val="tx1"/>
            </w14:solidFill>
          </w14:textFill>
        </w:rPr>
        <w:t>年</w:t>
      </w:r>
      <w:r>
        <w:rPr>
          <w:rFonts w:ascii="宋体" w:hAnsi="宋体" w:eastAsia="宋体"/>
          <w:color w:val="000000" w:themeColor="text1"/>
          <w:szCs w:val="21"/>
          <w14:textFill>
            <w14:solidFill>
              <w14:schemeClr w14:val="tx1"/>
            </w14:solidFill>
          </w14:textFill>
        </w:rPr>
        <w:t>高等职业院校人才培养工作状态数据采集与管理平台。</w:t>
      </w:r>
    </w:p>
    <w:p>
      <w:pPr>
        <w:spacing w:line="500" w:lineRule="exact"/>
        <w:ind w:firstLine="562" w:firstLineChars="200"/>
        <w:rPr>
          <w:rFonts w:ascii="仿宋_GB2312" w:hAnsi="Times New Roman" w:eastAsia="仿宋_GB2312"/>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专业与在校生规模分析。</w:t>
      </w:r>
      <w:r>
        <w:rPr>
          <w:rFonts w:hint="eastAsia" w:ascii="仿宋_GB2312" w:hAnsi="Times New Roman" w:eastAsia="仿宋_GB2312"/>
          <w:color w:val="000000" w:themeColor="text1"/>
          <w:sz w:val="28"/>
          <w:szCs w:val="28"/>
          <w14:textFill>
            <w14:solidFill>
              <w14:schemeClr w14:val="tx1"/>
            </w14:solidFill>
          </w14:textFill>
        </w:rPr>
        <w:t>2021年全省高职院校在校生规模前10位的专业为护理、大数据与会计、计算机应用技术、机电一体化技术、电子商务、学前教育、建筑工程技术、工程造价、软件技术、计算机网络技术等，在校生均超过10000人，占全省在校生数的35.72%，如表3-3所示。</w:t>
      </w:r>
      <w:bookmarkStart w:id="265" w:name="_Toc10525"/>
      <w:bookmarkStart w:id="266" w:name="_Toc62718656"/>
    </w:p>
    <w:p>
      <w:pPr>
        <w:pStyle w:val="4"/>
        <w:widowControl w:val="0"/>
        <w:spacing w:before="156" w:beforeLines="50" w:after="93" w:afterLines="30"/>
        <w:jc w:val="center"/>
        <w:outlineLvl w:val="2"/>
        <w:rPr>
          <w:rFonts w:ascii="宋体" w:hAnsi="宋体" w:eastAsia="宋体"/>
          <w:color w:val="000000" w:themeColor="text1"/>
          <w:sz w:val="24"/>
          <w:szCs w:val="24"/>
          <w14:textFill>
            <w14:solidFill>
              <w14:schemeClr w14:val="tx1"/>
            </w14:solidFill>
          </w14:textFill>
        </w:rPr>
      </w:pPr>
      <w:bookmarkStart w:id="267" w:name="_Toc94172195"/>
      <w:bookmarkStart w:id="268" w:name="_Toc91604997"/>
      <w:bookmarkStart w:id="269" w:name="_Toc94172336"/>
      <w:bookmarkStart w:id="270" w:name="_Toc91606514"/>
      <w:bookmarkStart w:id="271" w:name="_Toc94183438"/>
      <w:r>
        <w:rPr>
          <w:rFonts w:ascii="宋体" w:hAnsi="宋体" w:eastAsia="宋体"/>
          <w:color w:val="000000" w:themeColor="text1"/>
          <w:sz w:val="24"/>
          <w:szCs w:val="24"/>
          <w14:textFill>
            <w14:solidFill>
              <w14:schemeClr w14:val="tx1"/>
            </w14:solidFill>
          </w14:textFill>
        </w:rPr>
        <w:t>表</w:t>
      </w:r>
      <w:bookmarkStart w:id="272" w:name="_Toc25859"/>
      <w:r>
        <w:rPr>
          <w:rFonts w:ascii="宋体" w:hAnsi="宋体" w:eastAsia="宋体"/>
          <w:color w:val="000000" w:themeColor="text1"/>
          <w:sz w:val="24"/>
          <w:szCs w:val="24"/>
          <w14:textFill>
            <w14:solidFill>
              <w14:schemeClr w14:val="tx1"/>
            </w14:solidFill>
          </w14:textFill>
        </w:rPr>
        <w:t>3</w:t>
      </w:r>
      <w:r>
        <w:rPr>
          <w:rFonts w:hint="eastAsia" w:ascii="宋体" w:hAnsi="宋体" w:eastAsia="宋体"/>
          <w:color w:val="000000" w:themeColor="text1"/>
          <w:sz w:val="24"/>
          <w:szCs w:val="24"/>
          <w14:textFill>
            <w14:solidFill>
              <w14:schemeClr w14:val="tx1"/>
            </w14:solidFill>
          </w14:textFill>
        </w:rPr>
        <w:t xml:space="preserve">-3 </w:t>
      </w:r>
      <w:r>
        <w:rPr>
          <w:rFonts w:ascii="宋体" w:hAnsi="宋体" w:eastAsia="宋体"/>
          <w:color w:val="000000" w:themeColor="text1"/>
          <w:sz w:val="24"/>
          <w:szCs w:val="24"/>
          <w14:textFill>
            <w14:solidFill>
              <w14:schemeClr w14:val="tx1"/>
            </w14:solidFill>
          </w14:textFill>
        </w:rPr>
        <w:t>山东省2020</w:t>
      </w:r>
      <w:r>
        <w:rPr>
          <w:rFonts w:hint="eastAsia" w:ascii="宋体" w:hAnsi="宋体" w:eastAsia="宋体"/>
          <w:color w:val="000000" w:themeColor="text1"/>
          <w:sz w:val="24"/>
          <w:szCs w:val="24"/>
          <w14:textFill>
            <w14:solidFill>
              <w14:schemeClr w14:val="tx1"/>
            </w14:solidFill>
          </w14:textFill>
        </w:rPr>
        <w:t>年</w:t>
      </w:r>
      <w:r>
        <w:rPr>
          <w:rFonts w:ascii="宋体" w:hAnsi="宋体" w:eastAsia="宋体"/>
          <w:color w:val="000000" w:themeColor="text1"/>
          <w:sz w:val="24"/>
          <w:szCs w:val="24"/>
          <w14:textFill>
            <w14:solidFill>
              <w14:schemeClr w14:val="tx1"/>
            </w14:solidFill>
          </w14:textFill>
        </w:rPr>
        <w:t>高职院校在校人数前10名专业</w:t>
      </w:r>
      <w:bookmarkEnd w:id="265"/>
      <w:bookmarkEnd w:id="266"/>
      <w:bookmarkEnd w:id="267"/>
      <w:bookmarkEnd w:id="268"/>
      <w:bookmarkEnd w:id="269"/>
      <w:bookmarkEnd w:id="270"/>
      <w:bookmarkEnd w:id="271"/>
      <w:bookmarkEnd w:id="272"/>
    </w:p>
    <w:tbl>
      <w:tblPr>
        <w:tblStyle w:val="21"/>
        <w:tblW w:w="4997" w:type="pct"/>
        <w:tblInd w:w="0" w:type="dxa"/>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Layout w:type="autofit"/>
        <w:tblCellMar>
          <w:top w:w="0" w:type="dxa"/>
          <w:left w:w="0" w:type="dxa"/>
          <w:bottom w:w="0" w:type="dxa"/>
          <w:right w:w="0" w:type="dxa"/>
        </w:tblCellMar>
      </w:tblPr>
      <w:tblGrid>
        <w:gridCol w:w="890"/>
        <w:gridCol w:w="1192"/>
        <w:gridCol w:w="2088"/>
        <w:gridCol w:w="1715"/>
        <w:gridCol w:w="1403"/>
        <w:gridCol w:w="1581"/>
      </w:tblGrid>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blHeader/>
        </w:trPr>
        <w:tc>
          <w:tcPr>
            <w:tcW w:w="502" w:type="pct"/>
            <w:tcBorders>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序号</w:t>
            </w:r>
          </w:p>
        </w:tc>
        <w:tc>
          <w:tcPr>
            <w:tcW w:w="672" w:type="pct"/>
            <w:tcBorders>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专业代码</w:t>
            </w:r>
          </w:p>
        </w:tc>
        <w:tc>
          <w:tcPr>
            <w:tcW w:w="1177" w:type="pct"/>
            <w:tcBorders>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专业名称</w:t>
            </w:r>
          </w:p>
        </w:tc>
        <w:tc>
          <w:tcPr>
            <w:tcW w:w="967" w:type="pct"/>
            <w:tcBorders>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专业大类名称</w:t>
            </w:r>
          </w:p>
        </w:tc>
        <w:tc>
          <w:tcPr>
            <w:tcW w:w="791" w:type="pct"/>
            <w:tcBorders>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所属产业类别</w:t>
            </w:r>
          </w:p>
        </w:tc>
        <w:tc>
          <w:tcPr>
            <w:tcW w:w="892" w:type="pct"/>
            <w:tcBorders>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专业人数</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502"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w:t>
            </w:r>
          </w:p>
        </w:tc>
        <w:tc>
          <w:tcPr>
            <w:tcW w:w="672"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520201</w:t>
            </w:r>
          </w:p>
        </w:tc>
        <w:tc>
          <w:tcPr>
            <w:tcW w:w="1177"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护理</w:t>
            </w:r>
          </w:p>
        </w:tc>
        <w:tc>
          <w:tcPr>
            <w:tcW w:w="967"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医药卫生</w:t>
            </w:r>
            <w:r>
              <w:rPr>
                <w:rFonts w:hint="eastAsia" w:ascii="宋体" w:hAnsi="宋体" w:eastAsia="宋体"/>
                <w:color w:val="000000" w:themeColor="text1"/>
                <w:szCs w:val="21"/>
                <w:lang w:bidi="ar"/>
                <w14:textFill>
                  <w14:solidFill>
                    <w14:schemeClr w14:val="tx1"/>
                  </w14:solidFill>
                </w14:textFill>
              </w:rPr>
              <w:t>大类</w:t>
            </w:r>
          </w:p>
        </w:tc>
        <w:tc>
          <w:tcPr>
            <w:tcW w:w="791"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892"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8798</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502"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2</w:t>
            </w:r>
          </w:p>
        </w:tc>
        <w:tc>
          <w:tcPr>
            <w:tcW w:w="67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530302</w:t>
            </w:r>
          </w:p>
        </w:tc>
        <w:tc>
          <w:tcPr>
            <w:tcW w:w="117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大数据与会计</w:t>
            </w:r>
          </w:p>
        </w:tc>
        <w:tc>
          <w:tcPr>
            <w:tcW w:w="96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财经商贸</w:t>
            </w:r>
            <w:r>
              <w:rPr>
                <w:rFonts w:hint="eastAsia" w:ascii="宋体" w:hAnsi="宋体" w:eastAsia="宋体"/>
                <w:color w:val="000000" w:themeColor="text1"/>
                <w:szCs w:val="21"/>
                <w:lang w:bidi="ar"/>
                <w14:textFill>
                  <w14:solidFill>
                    <w14:schemeClr w14:val="tx1"/>
                  </w14:solidFill>
                </w14:textFill>
              </w:rPr>
              <w:t>大类</w:t>
            </w:r>
          </w:p>
        </w:tc>
        <w:tc>
          <w:tcPr>
            <w:tcW w:w="791"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89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5466</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502"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3</w:t>
            </w:r>
          </w:p>
        </w:tc>
        <w:tc>
          <w:tcPr>
            <w:tcW w:w="67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510201</w:t>
            </w:r>
          </w:p>
        </w:tc>
        <w:tc>
          <w:tcPr>
            <w:tcW w:w="1177"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计算机应用技术</w:t>
            </w:r>
          </w:p>
        </w:tc>
        <w:tc>
          <w:tcPr>
            <w:tcW w:w="967"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电子</w:t>
            </w:r>
            <w:r>
              <w:rPr>
                <w:rFonts w:hint="eastAsia" w:ascii="宋体" w:hAnsi="宋体" w:eastAsia="宋体"/>
                <w:color w:val="000000" w:themeColor="text1"/>
                <w:szCs w:val="21"/>
                <w:lang w:bidi="ar"/>
                <w14:textFill>
                  <w14:solidFill>
                    <w14:schemeClr w14:val="tx1"/>
                  </w14:solidFill>
                </w14:textFill>
              </w:rPr>
              <w:t>与</w:t>
            </w:r>
            <w:r>
              <w:rPr>
                <w:rFonts w:ascii="宋体" w:hAnsi="宋体" w:eastAsia="宋体"/>
                <w:color w:val="000000" w:themeColor="text1"/>
                <w:szCs w:val="21"/>
                <w:lang w:bidi="ar"/>
                <w14:textFill>
                  <w14:solidFill>
                    <w14:schemeClr w14:val="tx1"/>
                  </w14:solidFill>
                </w14:textFill>
              </w:rPr>
              <w:t>信息</w:t>
            </w:r>
            <w:r>
              <w:rPr>
                <w:rFonts w:hint="eastAsia" w:ascii="宋体" w:hAnsi="宋体" w:eastAsia="宋体"/>
                <w:color w:val="000000" w:themeColor="text1"/>
                <w:szCs w:val="21"/>
                <w:lang w:bidi="ar"/>
                <w14:textFill>
                  <w14:solidFill>
                    <w14:schemeClr w14:val="tx1"/>
                  </w14:solidFill>
                </w14:textFill>
              </w:rPr>
              <w:t>大类</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89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3</w:t>
            </w:r>
            <w:r>
              <w:rPr>
                <w:rFonts w:ascii="宋体" w:hAnsi="宋体" w:eastAsia="宋体"/>
                <w:color w:val="000000" w:themeColor="text1"/>
                <w:szCs w:val="21"/>
                <w:lang w:bidi="ar"/>
                <w14:textFill>
                  <w14:solidFill>
                    <w14:schemeClr w14:val="tx1"/>
                  </w14:solidFill>
                </w14:textFill>
              </w:rPr>
              <w:t>8289</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502"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4</w:t>
            </w:r>
          </w:p>
        </w:tc>
        <w:tc>
          <w:tcPr>
            <w:tcW w:w="67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460301</w:t>
            </w:r>
          </w:p>
        </w:tc>
        <w:tc>
          <w:tcPr>
            <w:tcW w:w="117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机电一体化技术</w:t>
            </w:r>
          </w:p>
        </w:tc>
        <w:tc>
          <w:tcPr>
            <w:tcW w:w="96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装备制造</w:t>
            </w:r>
            <w:r>
              <w:rPr>
                <w:rFonts w:hint="eastAsia" w:ascii="宋体" w:hAnsi="宋体" w:eastAsia="宋体"/>
                <w:color w:val="000000" w:themeColor="text1"/>
                <w:szCs w:val="21"/>
                <w:lang w:bidi="ar"/>
                <w14:textFill>
                  <w14:solidFill>
                    <w14:schemeClr w14:val="tx1"/>
                  </w14:solidFill>
                </w14:textFill>
              </w:rPr>
              <w:t>大类</w:t>
            </w:r>
          </w:p>
        </w:tc>
        <w:tc>
          <w:tcPr>
            <w:tcW w:w="791"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第二产业</w:t>
            </w:r>
          </w:p>
        </w:tc>
        <w:tc>
          <w:tcPr>
            <w:tcW w:w="89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3</w:t>
            </w:r>
            <w:r>
              <w:rPr>
                <w:rFonts w:ascii="宋体" w:hAnsi="宋体" w:eastAsia="宋体"/>
                <w:color w:val="000000" w:themeColor="text1"/>
                <w:szCs w:val="21"/>
                <w:lang w:bidi="ar"/>
                <w14:textFill>
                  <w14:solidFill>
                    <w14:schemeClr w14:val="tx1"/>
                  </w14:solidFill>
                </w14:textFill>
              </w:rPr>
              <w:t>4052</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502"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5</w:t>
            </w:r>
          </w:p>
        </w:tc>
        <w:tc>
          <w:tcPr>
            <w:tcW w:w="67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530701</w:t>
            </w:r>
          </w:p>
        </w:tc>
        <w:tc>
          <w:tcPr>
            <w:tcW w:w="1177"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电子商务</w:t>
            </w:r>
          </w:p>
        </w:tc>
        <w:tc>
          <w:tcPr>
            <w:tcW w:w="967"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电子</w:t>
            </w:r>
            <w:r>
              <w:rPr>
                <w:rFonts w:hint="eastAsia" w:ascii="宋体" w:hAnsi="宋体" w:eastAsia="宋体"/>
                <w:color w:val="000000" w:themeColor="text1"/>
                <w:szCs w:val="21"/>
                <w:lang w:bidi="ar"/>
                <w14:textFill>
                  <w14:solidFill>
                    <w14:schemeClr w14:val="tx1"/>
                  </w14:solidFill>
                </w14:textFill>
              </w:rPr>
              <w:t>与</w:t>
            </w:r>
            <w:r>
              <w:rPr>
                <w:rFonts w:ascii="宋体" w:hAnsi="宋体" w:eastAsia="宋体"/>
                <w:color w:val="000000" w:themeColor="text1"/>
                <w:szCs w:val="21"/>
                <w:lang w:bidi="ar"/>
                <w14:textFill>
                  <w14:solidFill>
                    <w14:schemeClr w14:val="tx1"/>
                  </w14:solidFill>
                </w14:textFill>
              </w:rPr>
              <w:t>信息</w:t>
            </w:r>
            <w:r>
              <w:rPr>
                <w:rFonts w:hint="eastAsia" w:ascii="宋体" w:hAnsi="宋体" w:eastAsia="宋体"/>
                <w:color w:val="000000" w:themeColor="text1"/>
                <w:szCs w:val="21"/>
                <w:lang w:bidi="ar"/>
                <w14:textFill>
                  <w14:solidFill>
                    <w14:schemeClr w14:val="tx1"/>
                  </w14:solidFill>
                </w14:textFill>
              </w:rPr>
              <w:t>大类</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89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3</w:t>
            </w:r>
            <w:r>
              <w:rPr>
                <w:rFonts w:ascii="宋体" w:hAnsi="宋体" w:eastAsia="宋体"/>
                <w:color w:val="000000" w:themeColor="text1"/>
                <w:szCs w:val="21"/>
                <w:lang w:bidi="ar"/>
                <w14:textFill>
                  <w14:solidFill>
                    <w14:schemeClr w14:val="tx1"/>
                  </w14:solidFill>
                </w14:textFill>
              </w:rPr>
              <w:t>2903</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502"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6</w:t>
            </w:r>
          </w:p>
        </w:tc>
        <w:tc>
          <w:tcPr>
            <w:tcW w:w="67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570102K</w:t>
            </w:r>
          </w:p>
        </w:tc>
        <w:tc>
          <w:tcPr>
            <w:tcW w:w="117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学前教育</w:t>
            </w:r>
          </w:p>
        </w:tc>
        <w:tc>
          <w:tcPr>
            <w:tcW w:w="96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教育与体育</w:t>
            </w:r>
            <w:r>
              <w:rPr>
                <w:rFonts w:hint="eastAsia" w:ascii="宋体" w:hAnsi="宋体" w:eastAsia="宋体"/>
                <w:color w:val="000000" w:themeColor="text1"/>
                <w:szCs w:val="21"/>
                <w:lang w:bidi="ar"/>
                <w14:textFill>
                  <w14:solidFill>
                    <w14:schemeClr w14:val="tx1"/>
                  </w14:solidFill>
                </w14:textFill>
              </w:rPr>
              <w:t>大类</w:t>
            </w:r>
          </w:p>
        </w:tc>
        <w:tc>
          <w:tcPr>
            <w:tcW w:w="791"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89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3</w:t>
            </w:r>
            <w:r>
              <w:rPr>
                <w:rFonts w:ascii="宋体" w:hAnsi="宋体" w:eastAsia="宋体"/>
                <w:color w:val="000000" w:themeColor="text1"/>
                <w:szCs w:val="21"/>
                <w:lang w:bidi="ar"/>
                <w14:textFill>
                  <w14:solidFill>
                    <w14:schemeClr w14:val="tx1"/>
                  </w14:solidFill>
                </w14:textFill>
              </w:rPr>
              <w:t>1559</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502"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7</w:t>
            </w:r>
          </w:p>
        </w:tc>
        <w:tc>
          <w:tcPr>
            <w:tcW w:w="67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440301</w:t>
            </w:r>
          </w:p>
        </w:tc>
        <w:tc>
          <w:tcPr>
            <w:tcW w:w="1177"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建筑工程技术</w:t>
            </w:r>
          </w:p>
        </w:tc>
        <w:tc>
          <w:tcPr>
            <w:tcW w:w="967"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土木建筑</w:t>
            </w:r>
            <w:r>
              <w:rPr>
                <w:rFonts w:hint="eastAsia" w:ascii="宋体" w:hAnsi="宋体" w:eastAsia="宋体"/>
                <w:color w:val="000000" w:themeColor="text1"/>
                <w:szCs w:val="21"/>
                <w:lang w:bidi="ar"/>
                <w14:textFill>
                  <w14:solidFill>
                    <w14:schemeClr w14:val="tx1"/>
                  </w14:solidFill>
                </w14:textFill>
              </w:rPr>
              <w:t>大类</w:t>
            </w:r>
          </w:p>
        </w:tc>
        <w:tc>
          <w:tcPr>
            <w:tcW w:w="791"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第二产业</w:t>
            </w:r>
          </w:p>
        </w:tc>
        <w:tc>
          <w:tcPr>
            <w:tcW w:w="892"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8769</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502"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8</w:t>
            </w:r>
          </w:p>
        </w:tc>
        <w:tc>
          <w:tcPr>
            <w:tcW w:w="67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440501</w:t>
            </w:r>
          </w:p>
        </w:tc>
        <w:tc>
          <w:tcPr>
            <w:tcW w:w="117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工程造价</w:t>
            </w:r>
          </w:p>
        </w:tc>
        <w:tc>
          <w:tcPr>
            <w:tcW w:w="96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土木建筑</w:t>
            </w:r>
            <w:r>
              <w:rPr>
                <w:rFonts w:hint="eastAsia" w:ascii="宋体" w:hAnsi="宋体" w:eastAsia="宋体"/>
                <w:color w:val="000000" w:themeColor="text1"/>
                <w:szCs w:val="21"/>
                <w:lang w:bidi="ar"/>
                <w14:textFill>
                  <w14:solidFill>
                    <w14:schemeClr w14:val="tx1"/>
                  </w14:solidFill>
                </w14:textFill>
              </w:rPr>
              <w:t>大类</w:t>
            </w:r>
          </w:p>
        </w:tc>
        <w:tc>
          <w:tcPr>
            <w:tcW w:w="791"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第二产业</w:t>
            </w:r>
          </w:p>
        </w:tc>
        <w:tc>
          <w:tcPr>
            <w:tcW w:w="89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7289</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502" w:type="pct"/>
            <w:tcBorders>
              <w:tl2br w:val="nil"/>
              <w:tr2bl w:val="nil"/>
            </w:tcBorders>
            <w:shd w:val="clear" w:color="auto" w:fill="auto"/>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9</w:t>
            </w:r>
          </w:p>
        </w:tc>
        <w:tc>
          <w:tcPr>
            <w:tcW w:w="672" w:type="pct"/>
            <w:tcBorders>
              <w:tl2br w:val="nil"/>
              <w:tr2bl w:val="nil"/>
            </w:tcBorders>
            <w:shd w:val="clear" w:color="auto" w:fill="auto"/>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510203</w:t>
            </w:r>
          </w:p>
        </w:tc>
        <w:tc>
          <w:tcPr>
            <w:tcW w:w="1177" w:type="pct"/>
            <w:tcBorders>
              <w:tl2br w:val="nil"/>
              <w:tr2bl w:val="nil"/>
            </w:tcBorders>
            <w:shd w:val="clear" w:color="auto" w:fill="auto"/>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软件技术</w:t>
            </w:r>
          </w:p>
        </w:tc>
        <w:tc>
          <w:tcPr>
            <w:tcW w:w="967" w:type="pct"/>
            <w:tcBorders>
              <w:tl2br w:val="nil"/>
              <w:tr2bl w:val="nil"/>
            </w:tcBorders>
            <w:shd w:val="clear" w:color="auto" w:fill="auto"/>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 xml:space="preserve"> </w:t>
            </w:r>
            <w:r>
              <w:rPr>
                <w:rFonts w:ascii="宋体" w:hAnsi="宋体" w:eastAsia="宋体"/>
                <w:color w:val="000000" w:themeColor="text1"/>
                <w:szCs w:val="21"/>
                <w:lang w:bidi="ar"/>
                <w14:textFill>
                  <w14:solidFill>
                    <w14:schemeClr w14:val="tx1"/>
                  </w14:solidFill>
                </w14:textFill>
              </w:rPr>
              <w:t>电子</w:t>
            </w:r>
            <w:r>
              <w:rPr>
                <w:rFonts w:hint="eastAsia" w:ascii="宋体" w:hAnsi="宋体" w:eastAsia="宋体"/>
                <w:color w:val="000000" w:themeColor="text1"/>
                <w:szCs w:val="21"/>
                <w:lang w:bidi="ar"/>
                <w14:textFill>
                  <w14:solidFill>
                    <w14:schemeClr w14:val="tx1"/>
                  </w14:solidFill>
                </w14:textFill>
              </w:rPr>
              <w:t>与</w:t>
            </w:r>
            <w:r>
              <w:rPr>
                <w:rFonts w:ascii="宋体" w:hAnsi="宋体" w:eastAsia="宋体"/>
                <w:color w:val="000000" w:themeColor="text1"/>
                <w:szCs w:val="21"/>
                <w:lang w:bidi="ar"/>
                <w14:textFill>
                  <w14:solidFill>
                    <w14:schemeClr w14:val="tx1"/>
                  </w14:solidFill>
                </w14:textFill>
              </w:rPr>
              <w:t>信息</w:t>
            </w:r>
            <w:r>
              <w:rPr>
                <w:rFonts w:hint="eastAsia" w:ascii="宋体" w:hAnsi="宋体" w:eastAsia="宋体"/>
                <w:color w:val="000000" w:themeColor="text1"/>
                <w:szCs w:val="21"/>
                <w:lang w:bidi="ar"/>
                <w14:textFill>
                  <w14:solidFill>
                    <w14:schemeClr w14:val="tx1"/>
                  </w14:solidFill>
                </w14:textFill>
              </w:rPr>
              <w:t>大类</w:t>
            </w:r>
          </w:p>
        </w:tc>
        <w:tc>
          <w:tcPr>
            <w:tcW w:w="791" w:type="pct"/>
            <w:tcBorders>
              <w:tl2br w:val="nil"/>
              <w:tr2bl w:val="nil"/>
            </w:tcBorders>
            <w:shd w:val="clear" w:color="auto" w:fill="auto"/>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第三产业</w:t>
            </w:r>
          </w:p>
        </w:tc>
        <w:tc>
          <w:tcPr>
            <w:tcW w:w="892" w:type="pct"/>
            <w:tcBorders>
              <w:tl2br w:val="nil"/>
              <w:tr2bl w:val="nil"/>
            </w:tcBorders>
            <w:shd w:val="clear" w:color="auto" w:fill="auto"/>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7246</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502"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10</w:t>
            </w:r>
          </w:p>
        </w:tc>
        <w:tc>
          <w:tcPr>
            <w:tcW w:w="67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5</w:t>
            </w:r>
            <w:r>
              <w:rPr>
                <w:rFonts w:ascii="宋体" w:hAnsi="宋体" w:eastAsia="宋体"/>
                <w:color w:val="000000" w:themeColor="text1"/>
                <w:szCs w:val="21"/>
                <w:lang w:bidi="ar"/>
                <w14:textFill>
                  <w14:solidFill>
                    <w14:schemeClr w14:val="tx1"/>
                  </w14:solidFill>
                </w14:textFill>
              </w:rPr>
              <w:t>10202</w:t>
            </w:r>
          </w:p>
        </w:tc>
        <w:tc>
          <w:tcPr>
            <w:tcW w:w="117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计算机网络技术</w:t>
            </w:r>
          </w:p>
        </w:tc>
        <w:tc>
          <w:tcPr>
            <w:tcW w:w="967"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 电子与信息大类</w:t>
            </w:r>
          </w:p>
        </w:tc>
        <w:tc>
          <w:tcPr>
            <w:tcW w:w="791"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第三产业</w:t>
            </w:r>
          </w:p>
        </w:tc>
        <w:tc>
          <w:tcPr>
            <w:tcW w:w="892"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4537</w:t>
            </w:r>
          </w:p>
        </w:tc>
      </w:tr>
    </w:tbl>
    <w:p>
      <w:pPr>
        <w:spacing w:before="62" w:beforeLines="20"/>
        <w:rPr>
          <w:rFonts w:ascii="宋体" w:hAnsi="宋体" w:eastAsia="宋体"/>
          <w:color w:val="000000" w:themeColor="text1"/>
          <w:sz w:val="28"/>
          <w:szCs w:val="28"/>
          <w14:textFill>
            <w14:solidFill>
              <w14:schemeClr w14:val="tx1"/>
            </w14:solidFill>
          </w14:textFill>
        </w:rPr>
      </w:pPr>
      <w:r>
        <w:rPr>
          <w:rFonts w:ascii="宋体" w:hAnsi="宋体" w:eastAsia="宋体"/>
          <w:b/>
          <w:bCs/>
          <w:color w:val="000000" w:themeColor="text1"/>
          <w:szCs w:val="21"/>
          <w14:textFill>
            <w14:solidFill>
              <w14:schemeClr w14:val="tx1"/>
            </w14:solidFill>
          </w14:textFill>
        </w:rPr>
        <w:t>数据来源：</w:t>
      </w:r>
      <w:r>
        <w:rPr>
          <w:rFonts w:ascii="宋体" w:hAnsi="宋体" w:eastAsia="宋体"/>
          <w:color w:val="000000" w:themeColor="text1"/>
          <w:szCs w:val="21"/>
          <w14:textFill>
            <w14:solidFill>
              <w14:schemeClr w14:val="tx1"/>
            </w14:solidFill>
          </w14:textFill>
        </w:rPr>
        <w:t>2021年度高等职业院校人才培养工作状态数据采集与管理平台。</w:t>
      </w:r>
    </w:p>
    <w:p>
      <w:pPr>
        <w:spacing w:before="156" w:beforeLines="50"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273" w:name="_Toc94172337"/>
      <w:bookmarkStart w:id="274" w:name="_Toc91606515"/>
      <w:bookmarkStart w:id="275" w:name="_Toc91604998"/>
      <w:bookmarkStart w:id="276" w:name="_Toc91604677"/>
      <w:bookmarkStart w:id="277" w:name="_Toc94183439"/>
      <w:bookmarkStart w:id="278" w:name="_Toc94172196"/>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3</w:t>
      </w:r>
      <w:r>
        <w:rPr>
          <w:rFonts w:hint="eastAsia" w:ascii="仿宋_GB2312" w:hAnsi="仿宋_GB2312" w:eastAsia="仿宋_GB2312" w:cs="仿宋_GB2312"/>
          <w:b/>
          <w:bCs/>
          <w:color w:val="000000" w:themeColor="text1"/>
          <w:sz w:val="28"/>
          <w:szCs w:val="28"/>
          <w14:textFill>
            <w14:solidFill>
              <w14:schemeClr w14:val="tx1"/>
            </w14:solidFill>
          </w14:textFill>
        </w:rPr>
        <w:t>.</w:t>
      </w:r>
      <w:r>
        <w:rPr>
          <w:rFonts w:ascii="仿宋_GB2312" w:hAnsi="仿宋_GB2312" w:eastAsia="仿宋_GB2312" w:cs="仿宋_GB2312"/>
          <w:b/>
          <w:bCs/>
          <w:color w:val="000000" w:themeColor="text1"/>
          <w:sz w:val="28"/>
          <w:szCs w:val="28"/>
          <w14:textFill>
            <w14:solidFill>
              <w14:schemeClr w14:val="tx1"/>
            </w14:solidFill>
          </w14:textFill>
        </w:rPr>
        <w:t>2</w:t>
      </w:r>
      <w:r>
        <w:rPr>
          <w:rFonts w:hint="eastAsia" w:ascii="仿宋_GB2312" w:hAnsi="仿宋_GB2312" w:eastAsia="仿宋_GB2312" w:cs="仿宋_GB2312"/>
          <w:b/>
          <w:bCs/>
          <w:color w:val="000000" w:themeColor="text1"/>
          <w:sz w:val="28"/>
          <w:szCs w:val="28"/>
          <w14:textFill>
            <w14:solidFill>
              <w14:schemeClr w14:val="tx1"/>
            </w14:solidFill>
          </w14:textFill>
        </w:rPr>
        <w:t>专业设置对应山东省“十强”产业发展需求</w:t>
      </w:r>
      <w:bookmarkEnd w:id="273"/>
      <w:bookmarkEnd w:id="274"/>
      <w:bookmarkEnd w:id="275"/>
      <w:bookmarkEnd w:id="276"/>
      <w:bookmarkEnd w:id="277"/>
      <w:bookmarkEnd w:id="278"/>
    </w:p>
    <w:p>
      <w:pPr>
        <w:spacing w:line="500"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lang w:bidi="ar"/>
          <w14:textFill>
            <w14:solidFill>
              <w14:schemeClr w14:val="tx1"/>
            </w14:solidFill>
          </w14:textFill>
        </w:rPr>
        <w:t>山东省“十强”产业第一类产业指高端装备等五大新兴战略产业；第二类产业指高端化工等转型升级产业。全省高职院校对应“十强”产业中第一类产业专业设置数量为</w:t>
      </w:r>
      <w:r>
        <w:rPr>
          <w:rFonts w:ascii="仿宋_GB2312" w:hAnsi="Times New Roman" w:eastAsia="仿宋_GB2312"/>
          <w:color w:val="000000" w:themeColor="text1"/>
          <w:sz w:val="28"/>
          <w:szCs w:val="28"/>
          <w:lang w:bidi="ar"/>
          <w14:textFill>
            <w14:solidFill>
              <w14:schemeClr w14:val="tx1"/>
            </w14:solidFill>
          </w14:textFill>
        </w:rPr>
        <w:t>232</w:t>
      </w:r>
      <w:r>
        <w:rPr>
          <w:rFonts w:hint="eastAsia" w:ascii="仿宋_GB2312" w:hAnsi="Times New Roman" w:eastAsia="仿宋_GB2312"/>
          <w:color w:val="000000" w:themeColor="text1"/>
          <w:sz w:val="28"/>
          <w:szCs w:val="28"/>
          <w:lang w:bidi="ar"/>
          <w14:textFill>
            <w14:solidFill>
              <w14:schemeClr w14:val="tx1"/>
            </w14:solidFill>
          </w14:textFill>
        </w:rPr>
        <w:t>个，在校生</w:t>
      </w:r>
      <w:r>
        <w:rPr>
          <w:rFonts w:ascii="仿宋_GB2312" w:hAnsi="Times New Roman" w:eastAsia="仿宋_GB2312"/>
          <w:color w:val="000000" w:themeColor="text1"/>
          <w:sz w:val="28"/>
          <w:szCs w:val="28"/>
          <w:lang w:bidi="ar"/>
          <w14:textFill>
            <w14:solidFill>
              <w14:schemeClr w14:val="tx1"/>
            </w14:solidFill>
          </w14:textFill>
        </w:rPr>
        <w:t>415885</w:t>
      </w:r>
      <w:r>
        <w:rPr>
          <w:rFonts w:hint="eastAsia" w:ascii="仿宋_GB2312" w:hAnsi="Times New Roman" w:eastAsia="仿宋_GB2312"/>
          <w:color w:val="000000" w:themeColor="text1"/>
          <w:sz w:val="28"/>
          <w:szCs w:val="28"/>
          <w:lang w:bidi="ar"/>
          <w14:textFill>
            <w14:solidFill>
              <w14:schemeClr w14:val="tx1"/>
            </w14:solidFill>
          </w14:textFill>
        </w:rPr>
        <w:t>人，占学生总数的</w:t>
      </w:r>
      <w:r>
        <w:rPr>
          <w:rFonts w:ascii="仿宋_GB2312" w:hAnsi="Times New Roman" w:eastAsia="仿宋_GB2312"/>
          <w:color w:val="000000" w:themeColor="text1"/>
          <w:sz w:val="28"/>
          <w:szCs w:val="28"/>
          <w:lang w:bidi="ar"/>
          <w14:textFill>
            <w14:solidFill>
              <w14:schemeClr w14:val="tx1"/>
            </w14:solidFill>
          </w14:textFill>
        </w:rPr>
        <w:t>46</w:t>
      </w:r>
      <w:r>
        <w:rPr>
          <w:rFonts w:hint="eastAsia" w:ascii="仿宋_GB2312" w:hAnsi="Times New Roman" w:eastAsia="仿宋_GB2312"/>
          <w:color w:val="000000" w:themeColor="text1"/>
          <w:sz w:val="28"/>
          <w:szCs w:val="28"/>
          <w:lang w:bidi="ar"/>
          <w14:textFill>
            <w14:solidFill>
              <w14:schemeClr w14:val="tx1"/>
            </w14:solidFill>
          </w14:textFill>
        </w:rPr>
        <w:t>.</w:t>
      </w:r>
      <w:r>
        <w:rPr>
          <w:rFonts w:ascii="仿宋_GB2312" w:hAnsi="Times New Roman" w:eastAsia="仿宋_GB2312"/>
          <w:color w:val="000000" w:themeColor="text1"/>
          <w:sz w:val="28"/>
          <w:szCs w:val="28"/>
          <w:lang w:bidi="ar"/>
          <w14:textFill>
            <w14:solidFill>
              <w14:schemeClr w14:val="tx1"/>
            </w14:solidFill>
          </w14:textFill>
        </w:rPr>
        <w:t>58</w:t>
      </w:r>
      <w:r>
        <w:rPr>
          <w:rFonts w:hint="eastAsia" w:ascii="仿宋_GB2312" w:hAnsi="Times New Roman" w:eastAsia="仿宋_GB2312"/>
          <w:color w:val="000000" w:themeColor="text1"/>
          <w:sz w:val="28"/>
          <w:szCs w:val="28"/>
          <w:lang w:bidi="ar"/>
          <w14:textFill>
            <w14:solidFill>
              <w14:schemeClr w14:val="tx1"/>
            </w14:solidFill>
          </w14:textFill>
        </w:rPr>
        <w:t>%；第二类产业专业设置数量为</w:t>
      </w:r>
      <w:r>
        <w:rPr>
          <w:rFonts w:ascii="仿宋_GB2312" w:hAnsi="Times New Roman" w:eastAsia="仿宋_GB2312"/>
          <w:color w:val="000000" w:themeColor="text1"/>
          <w:sz w:val="28"/>
          <w:szCs w:val="28"/>
          <w:lang w:bidi="ar"/>
          <w14:textFill>
            <w14:solidFill>
              <w14:schemeClr w14:val="tx1"/>
            </w14:solidFill>
          </w14:textFill>
        </w:rPr>
        <w:t>158</w:t>
      </w:r>
      <w:r>
        <w:rPr>
          <w:rFonts w:hint="eastAsia" w:ascii="仿宋_GB2312" w:hAnsi="Times New Roman" w:eastAsia="仿宋_GB2312"/>
          <w:color w:val="000000" w:themeColor="text1"/>
          <w:sz w:val="28"/>
          <w:szCs w:val="28"/>
          <w:lang w:bidi="ar"/>
          <w14:textFill>
            <w14:solidFill>
              <w14:schemeClr w14:val="tx1"/>
            </w14:solidFill>
          </w14:textFill>
        </w:rPr>
        <w:t>个，在校生2</w:t>
      </w:r>
      <w:r>
        <w:rPr>
          <w:rFonts w:ascii="仿宋_GB2312" w:hAnsi="Times New Roman" w:eastAsia="仿宋_GB2312"/>
          <w:color w:val="000000" w:themeColor="text1"/>
          <w:sz w:val="28"/>
          <w:szCs w:val="28"/>
          <w:lang w:bidi="ar"/>
          <w14:textFill>
            <w14:solidFill>
              <w14:schemeClr w14:val="tx1"/>
            </w14:solidFill>
          </w14:textFill>
        </w:rPr>
        <w:t>37777</w:t>
      </w:r>
      <w:r>
        <w:rPr>
          <w:rFonts w:hint="eastAsia" w:ascii="仿宋_GB2312" w:hAnsi="Times New Roman" w:eastAsia="仿宋_GB2312"/>
          <w:color w:val="000000" w:themeColor="text1"/>
          <w:sz w:val="28"/>
          <w:szCs w:val="28"/>
          <w:lang w:bidi="ar"/>
          <w14:textFill>
            <w14:solidFill>
              <w14:schemeClr w14:val="tx1"/>
            </w14:solidFill>
          </w14:textFill>
        </w:rPr>
        <w:t>人，占学生总数的</w:t>
      </w:r>
      <w:r>
        <w:rPr>
          <w:rFonts w:ascii="仿宋_GB2312" w:hAnsi="Times New Roman" w:eastAsia="仿宋_GB2312"/>
          <w:color w:val="000000" w:themeColor="text1"/>
          <w:sz w:val="28"/>
          <w:szCs w:val="28"/>
          <w:lang w:bidi="ar"/>
          <w14:textFill>
            <w14:solidFill>
              <w14:schemeClr w14:val="tx1"/>
            </w14:solidFill>
          </w14:textFill>
        </w:rPr>
        <w:t>26</w:t>
      </w:r>
      <w:r>
        <w:rPr>
          <w:rFonts w:hint="eastAsia" w:ascii="仿宋_GB2312" w:hAnsi="Times New Roman" w:eastAsia="仿宋_GB2312"/>
          <w:color w:val="000000" w:themeColor="text1"/>
          <w:sz w:val="28"/>
          <w:szCs w:val="28"/>
          <w:lang w:bidi="ar"/>
          <w14:textFill>
            <w14:solidFill>
              <w14:schemeClr w14:val="tx1"/>
            </w14:solidFill>
          </w14:textFill>
        </w:rPr>
        <w:t>.6</w:t>
      </w:r>
      <w:r>
        <w:rPr>
          <w:rFonts w:ascii="仿宋_GB2312" w:hAnsi="Times New Roman" w:eastAsia="仿宋_GB2312"/>
          <w:color w:val="000000" w:themeColor="text1"/>
          <w:sz w:val="28"/>
          <w:szCs w:val="28"/>
          <w:lang w:bidi="ar"/>
          <w14:textFill>
            <w14:solidFill>
              <w14:schemeClr w14:val="tx1"/>
            </w14:solidFill>
          </w14:textFill>
        </w:rPr>
        <w:t>3</w:t>
      </w:r>
      <w:r>
        <w:rPr>
          <w:rFonts w:hint="eastAsia" w:ascii="仿宋_GB2312" w:hAnsi="Times New Roman" w:eastAsia="仿宋_GB2312"/>
          <w:color w:val="000000" w:themeColor="text1"/>
          <w:sz w:val="28"/>
          <w:szCs w:val="28"/>
          <w:lang w:bidi="ar"/>
          <w14:textFill>
            <w14:solidFill>
              <w14:schemeClr w14:val="tx1"/>
            </w14:solidFill>
          </w14:textFill>
        </w:rPr>
        <w:t>%，其他产业专业设置数量为</w:t>
      </w:r>
      <w:r>
        <w:rPr>
          <w:rFonts w:ascii="仿宋_GB2312" w:hAnsi="Times New Roman" w:eastAsia="仿宋_GB2312"/>
          <w:color w:val="000000" w:themeColor="text1"/>
          <w:sz w:val="28"/>
          <w:szCs w:val="28"/>
          <w:lang w:bidi="ar"/>
          <w14:textFill>
            <w14:solidFill>
              <w14:schemeClr w14:val="tx1"/>
            </w14:solidFill>
          </w14:textFill>
        </w:rPr>
        <w:t>83</w:t>
      </w:r>
      <w:r>
        <w:rPr>
          <w:rFonts w:hint="eastAsia" w:ascii="仿宋_GB2312" w:hAnsi="Times New Roman" w:eastAsia="仿宋_GB2312"/>
          <w:color w:val="000000" w:themeColor="text1"/>
          <w:sz w:val="28"/>
          <w:szCs w:val="28"/>
          <w:lang w:bidi="ar"/>
          <w14:textFill>
            <w14:solidFill>
              <w14:schemeClr w14:val="tx1"/>
            </w14:solidFill>
          </w14:textFill>
        </w:rPr>
        <w:t>个，在校生</w:t>
      </w:r>
      <w:r>
        <w:rPr>
          <w:rFonts w:ascii="仿宋_GB2312" w:hAnsi="Times New Roman" w:eastAsia="仿宋_GB2312"/>
          <w:color w:val="000000" w:themeColor="text1"/>
          <w:sz w:val="28"/>
          <w:szCs w:val="28"/>
          <w:lang w:bidi="ar"/>
          <w14:textFill>
            <w14:solidFill>
              <w14:schemeClr w14:val="tx1"/>
            </w14:solidFill>
          </w14:textFill>
        </w:rPr>
        <w:t>239177</w:t>
      </w:r>
      <w:r>
        <w:rPr>
          <w:rFonts w:hint="eastAsia" w:ascii="仿宋_GB2312" w:hAnsi="Times New Roman" w:eastAsia="仿宋_GB2312"/>
          <w:color w:val="000000" w:themeColor="text1"/>
          <w:sz w:val="28"/>
          <w:szCs w:val="28"/>
          <w:lang w:bidi="ar"/>
          <w14:textFill>
            <w14:solidFill>
              <w14:schemeClr w14:val="tx1"/>
            </w14:solidFill>
          </w14:textFill>
        </w:rPr>
        <w:t>人，占学生总数的</w:t>
      </w:r>
      <w:r>
        <w:rPr>
          <w:rFonts w:ascii="仿宋_GB2312" w:hAnsi="Times New Roman" w:eastAsia="仿宋_GB2312"/>
          <w:color w:val="000000" w:themeColor="text1"/>
          <w:sz w:val="28"/>
          <w:szCs w:val="28"/>
          <w:lang w:bidi="ar"/>
          <w14:textFill>
            <w14:solidFill>
              <w14:schemeClr w14:val="tx1"/>
            </w14:solidFill>
          </w14:textFill>
        </w:rPr>
        <w:t>26</w:t>
      </w:r>
      <w:r>
        <w:rPr>
          <w:rFonts w:hint="eastAsia" w:ascii="仿宋_GB2312" w:hAnsi="Times New Roman" w:eastAsia="仿宋_GB2312"/>
          <w:color w:val="000000" w:themeColor="text1"/>
          <w:sz w:val="28"/>
          <w:szCs w:val="28"/>
          <w:lang w:bidi="ar"/>
          <w14:textFill>
            <w14:solidFill>
              <w14:schemeClr w14:val="tx1"/>
            </w14:solidFill>
          </w14:textFill>
        </w:rPr>
        <w:t>.</w:t>
      </w:r>
      <w:r>
        <w:rPr>
          <w:rFonts w:ascii="仿宋_GB2312" w:hAnsi="Times New Roman" w:eastAsia="仿宋_GB2312"/>
          <w:color w:val="000000" w:themeColor="text1"/>
          <w:sz w:val="28"/>
          <w:szCs w:val="28"/>
          <w:lang w:bidi="ar"/>
          <w14:textFill>
            <w14:solidFill>
              <w14:schemeClr w14:val="tx1"/>
            </w14:solidFill>
          </w14:textFill>
        </w:rPr>
        <w:t>79</w:t>
      </w:r>
      <w:r>
        <w:rPr>
          <w:rFonts w:hint="eastAsia" w:ascii="仿宋_GB2312" w:hAnsi="Times New Roman" w:eastAsia="仿宋_GB2312"/>
          <w:color w:val="000000" w:themeColor="text1"/>
          <w:sz w:val="28"/>
          <w:szCs w:val="28"/>
          <w:lang w:bidi="ar"/>
          <w14:textFill>
            <w14:solidFill>
              <w14:schemeClr w14:val="tx1"/>
            </w14:solidFill>
          </w14:textFill>
        </w:rPr>
        <w:t>%。专业结构与产业结构基本相吻合，体现了产教融合专业调整机制成效初显。第二类产业对应专业在校生规模较去年有较大增长，但仍需继续关注其他产业对应专业在校生规模。</w:t>
      </w:r>
      <w:r>
        <w:rPr>
          <w:rFonts w:hint="eastAsia" w:ascii="仿宋_GB2312" w:hAnsi="宋体" w:eastAsia="仿宋_GB2312"/>
          <w:color w:val="000000" w:themeColor="text1"/>
          <w:sz w:val="28"/>
          <w:szCs w:val="28"/>
          <w14:textFill>
            <w14:solidFill>
              <w14:schemeClr w14:val="tx1"/>
            </w14:solidFill>
          </w14:textFill>
        </w:rPr>
        <w:t>山东省高职专业与“十强”产业领域对接情况如表</w:t>
      </w:r>
      <w:r>
        <w:rPr>
          <w:rFonts w:ascii="仿宋_GB2312" w:hAnsi="宋体" w:eastAsia="仿宋_GB2312"/>
          <w:color w:val="000000" w:themeColor="text1"/>
          <w:sz w:val="28"/>
          <w:szCs w:val="28"/>
          <w14:textFill>
            <w14:solidFill>
              <w14:schemeClr w14:val="tx1"/>
            </w14:solidFill>
          </w14:textFill>
        </w:rPr>
        <w:t>3-4</w:t>
      </w:r>
      <w:r>
        <w:rPr>
          <w:rFonts w:hint="eastAsia" w:ascii="仿宋_GB2312" w:hAnsi="宋体" w:eastAsia="仿宋_GB2312"/>
          <w:color w:val="000000" w:themeColor="text1"/>
          <w:sz w:val="28"/>
          <w:szCs w:val="28"/>
          <w14:textFill>
            <w14:solidFill>
              <w14:schemeClr w14:val="tx1"/>
            </w14:solidFill>
          </w14:textFill>
        </w:rPr>
        <w:t>、图</w:t>
      </w:r>
      <w:r>
        <w:rPr>
          <w:rFonts w:ascii="仿宋_GB2312" w:hAnsi="宋体" w:eastAsia="仿宋_GB2312"/>
          <w:color w:val="000000" w:themeColor="text1"/>
          <w:sz w:val="28"/>
          <w:szCs w:val="28"/>
          <w14:textFill>
            <w14:solidFill>
              <w14:schemeClr w14:val="tx1"/>
            </w14:solidFill>
          </w14:textFill>
        </w:rPr>
        <w:t>3-2</w:t>
      </w:r>
      <w:r>
        <w:rPr>
          <w:rFonts w:hint="eastAsia" w:ascii="仿宋_GB2312" w:hAnsi="宋体" w:eastAsia="仿宋_GB2312"/>
          <w:color w:val="000000" w:themeColor="text1"/>
          <w:sz w:val="28"/>
          <w:szCs w:val="28"/>
          <w14:textFill>
            <w14:solidFill>
              <w14:schemeClr w14:val="tx1"/>
            </w14:solidFill>
          </w14:textFill>
        </w:rPr>
        <w:t>所示。</w:t>
      </w:r>
    </w:p>
    <w:p>
      <w:pPr>
        <w:spacing w:line="500" w:lineRule="exact"/>
        <w:ind w:firstLine="560" w:firstLineChars="200"/>
        <w:rPr>
          <w:rFonts w:ascii="仿宋_GB2312" w:hAnsi="宋体" w:eastAsia="仿宋_GB2312"/>
          <w:color w:val="000000" w:themeColor="text1"/>
          <w:sz w:val="28"/>
          <w:szCs w:val="28"/>
          <w14:textFill>
            <w14:solidFill>
              <w14:schemeClr w14:val="tx1"/>
            </w14:solidFill>
          </w14:textFill>
        </w:rPr>
      </w:pPr>
    </w:p>
    <w:p>
      <w:pPr>
        <w:spacing w:line="500" w:lineRule="exact"/>
        <w:ind w:firstLine="560" w:firstLineChars="200"/>
        <w:rPr>
          <w:rFonts w:ascii="仿宋_GB2312" w:hAnsi="宋体" w:eastAsia="仿宋_GB2312"/>
          <w:color w:val="000000" w:themeColor="text1"/>
          <w:sz w:val="28"/>
          <w:szCs w:val="28"/>
          <w14:textFill>
            <w14:solidFill>
              <w14:schemeClr w14:val="tx1"/>
            </w14:solidFill>
          </w14:textFill>
        </w:rPr>
      </w:pPr>
    </w:p>
    <w:p>
      <w:pPr>
        <w:spacing w:line="500" w:lineRule="exact"/>
        <w:ind w:firstLine="560" w:firstLineChars="200"/>
        <w:rPr>
          <w:rFonts w:ascii="仿宋_GB2312" w:hAnsi="宋体" w:eastAsia="仿宋_GB2312"/>
          <w:color w:val="000000" w:themeColor="text1"/>
          <w:sz w:val="28"/>
          <w:szCs w:val="28"/>
          <w14:textFill>
            <w14:solidFill>
              <w14:schemeClr w14:val="tx1"/>
            </w14:solidFill>
          </w14:textFill>
        </w:rPr>
      </w:pP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279" w:name="_Toc91604999"/>
      <w:bookmarkStart w:id="280" w:name="_Toc94172338"/>
      <w:bookmarkStart w:id="281" w:name="_Toc91606516"/>
      <w:bookmarkStart w:id="282" w:name="_Toc94172197"/>
      <w:bookmarkStart w:id="283" w:name="_Toc94183440"/>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表3</w:t>
      </w:r>
      <w:r>
        <w:rPr>
          <w:rFonts w:ascii="宋体" w:hAnsi="宋体" w:eastAsia="宋体"/>
          <w:color w:val="000000" w:themeColor="text1"/>
          <w:sz w:val="24"/>
          <w:szCs w:val="24"/>
          <w14:textFill>
            <w14:solidFill>
              <w14:schemeClr w14:val="tx1"/>
            </w14:solidFill>
          </w14:textFill>
        </w:rPr>
        <w:t xml:space="preserve">-4 </w:t>
      </w:r>
      <w:r>
        <w:rPr>
          <w:rFonts w:hint="eastAsia" w:ascii="宋体" w:hAnsi="宋体" w:eastAsia="宋体"/>
          <w:color w:val="000000" w:themeColor="text1"/>
          <w:sz w:val="24"/>
          <w:szCs w:val="24"/>
          <w14:textFill>
            <w14:solidFill>
              <w14:schemeClr w14:val="tx1"/>
            </w14:solidFill>
          </w14:textFill>
        </w:rPr>
        <w:t>山东省高职专业与十强产业领域对接情况表</w:t>
      </w:r>
      <w:bookmarkEnd w:id="279"/>
      <w:bookmarkEnd w:id="280"/>
      <w:bookmarkEnd w:id="281"/>
      <w:bookmarkEnd w:id="282"/>
      <w:bookmarkEnd w:id="283"/>
    </w:p>
    <w:tbl>
      <w:tblPr>
        <w:tblStyle w:val="21"/>
        <w:tblW w:w="5000" w:type="pct"/>
        <w:tblInd w:w="0" w:type="dxa"/>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Layout w:type="autofit"/>
        <w:tblCellMar>
          <w:top w:w="0" w:type="dxa"/>
          <w:left w:w="0" w:type="dxa"/>
          <w:bottom w:w="0" w:type="dxa"/>
          <w:right w:w="0" w:type="dxa"/>
        </w:tblCellMar>
      </w:tblPr>
      <w:tblGrid>
        <w:gridCol w:w="1288"/>
        <w:gridCol w:w="2558"/>
        <w:gridCol w:w="1249"/>
        <w:gridCol w:w="1249"/>
        <w:gridCol w:w="1249"/>
        <w:gridCol w:w="1251"/>
      </w:tblGrid>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rPr>
        <w:tc>
          <w:tcPr>
            <w:tcW w:w="2175" w:type="pct"/>
            <w:gridSpan w:val="2"/>
            <w:tcBorders>
              <w:bottom w:val="single" w:color="0000CC" w:sz="1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“十强”产业名称</w:t>
            </w:r>
          </w:p>
        </w:tc>
        <w:tc>
          <w:tcPr>
            <w:tcW w:w="706" w:type="pct"/>
            <w:tcBorders>
              <w:bottom w:val="single" w:color="0000CC" w:sz="1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在校生数</w:t>
            </w:r>
          </w:p>
        </w:tc>
        <w:tc>
          <w:tcPr>
            <w:tcW w:w="706" w:type="pct"/>
            <w:tcBorders>
              <w:bottom w:val="single" w:color="0000CC" w:sz="1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比例</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w:t>
            </w:r>
          </w:p>
        </w:tc>
        <w:tc>
          <w:tcPr>
            <w:tcW w:w="706" w:type="pct"/>
            <w:tcBorders>
              <w:bottom w:val="single" w:color="0000CC" w:sz="1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开设</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专业数</w:t>
            </w:r>
          </w:p>
        </w:tc>
        <w:tc>
          <w:tcPr>
            <w:tcW w:w="707" w:type="pct"/>
            <w:tcBorders>
              <w:bottom w:val="single" w:color="0000CC" w:sz="1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开设</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院校数</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29" w:type="pct"/>
            <w:vMerge w:val="restart"/>
            <w:tcBorders>
              <w:top w:val="single" w:color="0000CC" w:sz="12" w:space="0"/>
              <w:tl2br w:val="nil"/>
              <w:tr2bl w:val="nil"/>
            </w:tcBorders>
            <w:shd w:val="clear" w:color="auto" w:fill="FFFFFF" w:themeFill="background1"/>
            <w:vAlign w:val="center"/>
          </w:tcPr>
          <w:p>
            <w:pPr>
              <w:autoSpaceDE w:val="0"/>
              <w:spacing w:line="300" w:lineRule="exact"/>
              <w:jc w:val="center"/>
              <w:textAlignment w:val="center"/>
              <w:rPr>
                <w:rFonts w:ascii="宋体" w:hAnsi="宋体" w:eastAsia="宋体"/>
                <w:b/>
                <w:bCs/>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第一类</w:t>
            </w:r>
          </w:p>
          <w:p>
            <w:pPr>
              <w:autoSpaceDE w:val="0"/>
              <w:spacing w:line="300" w:lineRule="exact"/>
              <w:jc w:val="center"/>
              <w:textAlignment w:val="center"/>
              <w:rPr>
                <w:rFonts w:ascii="宋体" w:hAnsi="宋体" w:eastAsia="宋体"/>
                <w:b/>
                <w:bCs/>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产业</w:t>
            </w:r>
          </w:p>
          <w:p>
            <w:pPr>
              <w:autoSpaceDE w:val="0"/>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（新兴战略产业）</w:t>
            </w:r>
          </w:p>
        </w:tc>
        <w:tc>
          <w:tcPr>
            <w:tcW w:w="1446" w:type="pct"/>
            <w:tcBorders>
              <w:top w:val="single" w:color="0000CC" w:sz="12" w:space="0"/>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医养健康产业</w:t>
            </w:r>
          </w:p>
        </w:tc>
        <w:tc>
          <w:tcPr>
            <w:tcW w:w="706" w:type="pct"/>
            <w:tcBorders>
              <w:top w:val="single" w:color="0000CC" w:sz="12" w:space="0"/>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84006</w:t>
            </w:r>
          </w:p>
        </w:tc>
        <w:tc>
          <w:tcPr>
            <w:tcW w:w="706" w:type="pct"/>
            <w:tcBorders>
              <w:top w:val="single" w:color="0000CC" w:sz="12" w:space="0"/>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w:t>
            </w:r>
            <w:r>
              <w:rPr>
                <w:rFonts w:ascii="宋体" w:hAnsi="宋体" w:eastAsia="宋体"/>
                <w:color w:val="000000" w:themeColor="text1"/>
                <w:szCs w:val="21"/>
                <w14:textFill>
                  <w14:solidFill>
                    <w14:schemeClr w14:val="tx1"/>
                  </w14:solidFill>
                </w14:textFill>
              </w:rPr>
              <w:t>8.15</w:t>
            </w:r>
            <w:r>
              <w:rPr>
                <w:rFonts w:hint="eastAsia" w:ascii="宋体" w:hAnsi="宋体" w:eastAsia="宋体"/>
                <w:color w:val="000000" w:themeColor="text1"/>
                <w:szCs w:val="21"/>
                <w14:textFill>
                  <w14:solidFill>
                    <w14:schemeClr w14:val="tx1"/>
                  </w14:solidFill>
                </w14:textFill>
              </w:rPr>
              <w:t>%</w:t>
            </w:r>
          </w:p>
        </w:tc>
        <w:tc>
          <w:tcPr>
            <w:tcW w:w="706" w:type="pct"/>
            <w:tcBorders>
              <w:top w:val="nil"/>
              <w:left w:val="nil"/>
              <w:bottom w:val="nil"/>
              <w:right w:val="nil"/>
            </w:tcBorders>
            <w:shd w:val="clear" w:color="000000" w:fill="FFFFFF"/>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67</w:t>
            </w:r>
          </w:p>
        </w:tc>
        <w:tc>
          <w:tcPr>
            <w:tcW w:w="707" w:type="pct"/>
            <w:tcBorders>
              <w:top w:val="nil"/>
              <w:left w:val="nil"/>
              <w:bottom w:val="nil"/>
              <w:right w:val="nil"/>
            </w:tcBorders>
            <w:shd w:val="clear" w:color="000000" w:fill="FFFFFF"/>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22</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29" w:type="pct"/>
            <w:vMerge w:val="continue"/>
            <w:tcBorders>
              <w:tl2br w:val="nil"/>
              <w:tr2bl w:val="nil"/>
            </w:tcBorders>
            <w:shd w:val="clear" w:color="auto" w:fill="FFFFFF" w:themeFill="background1"/>
            <w:vAlign w:val="center"/>
          </w:tcPr>
          <w:p>
            <w:pPr>
              <w:rPr>
                <w:rFonts w:ascii="宋体" w:hAnsi="宋体" w:eastAsia="宋体"/>
                <w:b/>
                <w:bCs/>
                <w:color w:val="000000" w:themeColor="text1"/>
                <w:szCs w:val="21"/>
                <w14:textFill>
                  <w14:solidFill>
                    <w14:schemeClr w14:val="tx1"/>
                  </w14:solidFill>
                </w14:textFill>
              </w:rPr>
            </w:pPr>
          </w:p>
        </w:tc>
        <w:tc>
          <w:tcPr>
            <w:tcW w:w="144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高端装备产业</w:t>
            </w:r>
          </w:p>
        </w:tc>
        <w:tc>
          <w:tcPr>
            <w:tcW w:w="70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7</w:t>
            </w:r>
            <w:r>
              <w:rPr>
                <w:rFonts w:ascii="宋体" w:hAnsi="宋体" w:eastAsia="宋体"/>
                <w:color w:val="000000" w:themeColor="text1"/>
                <w:szCs w:val="21"/>
                <w14:textFill>
                  <w14:solidFill>
                    <w14:schemeClr w14:val="tx1"/>
                  </w14:solidFill>
                </w14:textFill>
              </w:rPr>
              <w:t>5510</w:t>
            </w:r>
          </w:p>
        </w:tc>
        <w:tc>
          <w:tcPr>
            <w:tcW w:w="70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1.55</w:t>
            </w:r>
            <w:r>
              <w:rPr>
                <w:rFonts w:hint="eastAsia" w:ascii="宋体" w:hAnsi="宋体" w:eastAsia="宋体"/>
                <w:color w:val="000000" w:themeColor="text1"/>
                <w:szCs w:val="21"/>
                <w14:textFill>
                  <w14:solidFill>
                    <w14:schemeClr w14:val="tx1"/>
                  </w14:solidFill>
                </w14:textFill>
              </w:rPr>
              <w:t>%</w:t>
            </w:r>
          </w:p>
        </w:tc>
        <w:tc>
          <w:tcPr>
            <w:tcW w:w="706" w:type="pct"/>
            <w:tcBorders>
              <w:top w:val="nil"/>
              <w:left w:val="nil"/>
              <w:bottom w:val="nil"/>
              <w:right w:val="nil"/>
            </w:tcBorders>
            <w:shd w:val="clear" w:color="000000"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65</w:t>
            </w:r>
          </w:p>
        </w:tc>
        <w:tc>
          <w:tcPr>
            <w:tcW w:w="707" w:type="pct"/>
            <w:tcBorders>
              <w:top w:val="nil"/>
              <w:left w:val="nil"/>
              <w:bottom w:val="nil"/>
              <w:right w:val="nil"/>
            </w:tcBorders>
            <w:shd w:val="clear" w:color="000000"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63</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29" w:type="pct"/>
            <w:vMerge w:val="continue"/>
            <w:tcBorders>
              <w:tl2br w:val="nil"/>
              <w:tr2bl w:val="nil"/>
            </w:tcBorders>
            <w:shd w:val="clear" w:color="auto" w:fill="FFFFFF" w:themeFill="background1"/>
            <w:vAlign w:val="center"/>
          </w:tcPr>
          <w:p>
            <w:pPr>
              <w:rPr>
                <w:rFonts w:ascii="宋体" w:hAnsi="宋体" w:eastAsia="宋体"/>
                <w:b/>
                <w:bCs/>
                <w:color w:val="000000" w:themeColor="text1"/>
                <w:szCs w:val="21"/>
                <w14:textFill>
                  <w14:solidFill>
                    <w14:schemeClr w14:val="tx1"/>
                  </w14:solidFill>
                </w14:textFill>
              </w:rPr>
            </w:pPr>
          </w:p>
        </w:tc>
        <w:tc>
          <w:tcPr>
            <w:tcW w:w="144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新一代信息技术产业</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29326</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9.78</w:t>
            </w:r>
            <w:r>
              <w:rPr>
                <w:rFonts w:hint="eastAsia" w:ascii="宋体" w:hAnsi="宋体" w:eastAsia="宋体"/>
                <w:color w:val="000000" w:themeColor="text1"/>
                <w:szCs w:val="21"/>
                <w14:textFill>
                  <w14:solidFill>
                    <w14:schemeClr w14:val="tx1"/>
                  </w14:solidFill>
                </w14:textFill>
              </w:rPr>
              <w:t>%</w:t>
            </w:r>
          </w:p>
        </w:tc>
        <w:tc>
          <w:tcPr>
            <w:tcW w:w="706" w:type="pct"/>
            <w:tcBorders>
              <w:top w:val="nil"/>
              <w:left w:val="nil"/>
              <w:bottom w:val="nil"/>
              <w:right w:val="nil"/>
            </w:tcBorders>
            <w:shd w:val="clear" w:color="000000" w:fill="FFFFFF"/>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w:t>
            </w:r>
          </w:p>
        </w:tc>
        <w:tc>
          <w:tcPr>
            <w:tcW w:w="707" w:type="pct"/>
            <w:tcBorders>
              <w:top w:val="nil"/>
              <w:left w:val="nil"/>
              <w:bottom w:val="nil"/>
              <w:right w:val="nil"/>
            </w:tcBorders>
            <w:shd w:val="clear" w:color="000000" w:fill="FFFFFF"/>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21</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29" w:type="pct"/>
            <w:vMerge w:val="continue"/>
            <w:tcBorders>
              <w:tl2br w:val="nil"/>
              <w:tr2bl w:val="nil"/>
            </w:tcBorders>
            <w:shd w:val="clear" w:color="auto" w:fill="FFFFFF" w:themeFill="background1"/>
            <w:vAlign w:val="center"/>
          </w:tcPr>
          <w:p>
            <w:pPr>
              <w:rPr>
                <w:rFonts w:ascii="宋体" w:hAnsi="宋体" w:eastAsia="宋体"/>
                <w:b/>
                <w:bCs/>
                <w:color w:val="000000" w:themeColor="text1"/>
                <w:szCs w:val="21"/>
                <w14:textFill>
                  <w14:solidFill>
                    <w14:schemeClr w14:val="tx1"/>
                  </w14:solidFill>
                </w14:textFill>
              </w:rPr>
            </w:pPr>
          </w:p>
        </w:tc>
        <w:tc>
          <w:tcPr>
            <w:tcW w:w="144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现代海洋产业</w:t>
            </w:r>
          </w:p>
        </w:tc>
        <w:tc>
          <w:tcPr>
            <w:tcW w:w="70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2624</w:t>
            </w:r>
          </w:p>
        </w:tc>
        <w:tc>
          <w:tcPr>
            <w:tcW w:w="70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1.9</w:t>
            </w:r>
            <w:r>
              <w:rPr>
                <w:rFonts w:ascii="宋体" w:hAnsi="宋体" w:eastAsia="宋体"/>
                <w:color w:val="000000" w:themeColor="text1"/>
                <w:szCs w:val="21"/>
                <w14:textFill>
                  <w14:solidFill>
                    <w14:schemeClr w14:val="tx1"/>
                  </w14:solidFill>
                </w14:textFill>
              </w:rPr>
              <w:t>3%</w:t>
            </w:r>
          </w:p>
        </w:tc>
        <w:tc>
          <w:tcPr>
            <w:tcW w:w="706" w:type="pct"/>
            <w:tcBorders>
              <w:top w:val="nil"/>
              <w:left w:val="nil"/>
              <w:bottom w:val="nil"/>
              <w:right w:val="nil"/>
            </w:tcBorders>
            <w:shd w:val="clear" w:color="000000"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707" w:type="pct"/>
            <w:tcBorders>
              <w:top w:val="nil"/>
              <w:left w:val="nil"/>
              <w:bottom w:val="nil"/>
              <w:right w:val="nil"/>
            </w:tcBorders>
            <w:shd w:val="clear" w:color="000000"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29" w:type="pct"/>
            <w:vMerge w:val="continue"/>
            <w:tcBorders>
              <w:tl2br w:val="nil"/>
              <w:tr2bl w:val="nil"/>
            </w:tcBorders>
            <w:shd w:val="clear" w:color="auto" w:fill="FFFFFF" w:themeFill="background1"/>
            <w:vAlign w:val="center"/>
          </w:tcPr>
          <w:p>
            <w:pPr>
              <w:rPr>
                <w:rFonts w:ascii="宋体" w:hAnsi="宋体" w:eastAsia="宋体"/>
                <w:b/>
                <w:bCs/>
                <w:color w:val="000000" w:themeColor="text1"/>
                <w:szCs w:val="21"/>
                <w14:textFill>
                  <w14:solidFill>
                    <w14:schemeClr w14:val="tx1"/>
                  </w14:solidFill>
                </w14:textFill>
              </w:rPr>
            </w:pPr>
          </w:p>
        </w:tc>
        <w:tc>
          <w:tcPr>
            <w:tcW w:w="144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新能源新材料产业</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4419</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w:t>
            </w:r>
            <w:r>
              <w:rPr>
                <w:rFonts w:ascii="宋体" w:hAnsi="宋体" w:eastAsia="宋体"/>
                <w:color w:val="000000" w:themeColor="text1"/>
                <w:szCs w:val="21"/>
                <w14:textFill>
                  <w14:solidFill>
                    <w14:schemeClr w14:val="tx1"/>
                  </w14:solidFill>
                </w14:textFill>
              </w:rPr>
              <w:t>.21%</w:t>
            </w:r>
          </w:p>
        </w:tc>
        <w:tc>
          <w:tcPr>
            <w:tcW w:w="706" w:type="pct"/>
            <w:tcBorders>
              <w:top w:val="nil"/>
              <w:left w:val="nil"/>
              <w:bottom w:val="nil"/>
              <w:right w:val="nil"/>
            </w:tcBorders>
            <w:shd w:val="clear" w:color="000000" w:fill="FFFFFF"/>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c>
          <w:tcPr>
            <w:tcW w:w="707" w:type="pct"/>
            <w:tcBorders>
              <w:top w:val="nil"/>
              <w:left w:val="nil"/>
              <w:bottom w:val="nil"/>
              <w:right w:val="nil"/>
            </w:tcBorders>
            <w:shd w:val="clear" w:color="000000" w:fill="FFFFFF"/>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29" w:type="pct"/>
            <w:vMerge w:val="restart"/>
            <w:tcBorders>
              <w:tl2br w:val="nil"/>
              <w:tr2bl w:val="nil"/>
            </w:tcBorders>
            <w:shd w:val="clear" w:color="auto" w:fill="DAEEF6"/>
            <w:vAlign w:val="center"/>
          </w:tcPr>
          <w:p>
            <w:pPr>
              <w:autoSpaceDE w:val="0"/>
              <w:spacing w:line="300" w:lineRule="exact"/>
              <w:jc w:val="center"/>
              <w:textAlignment w:val="center"/>
              <w:rPr>
                <w:rFonts w:ascii="宋体" w:hAnsi="宋体" w:eastAsia="宋体"/>
                <w:b/>
                <w:bCs/>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第二类</w:t>
            </w:r>
          </w:p>
          <w:p>
            <w:pPr>
              <w:autoSpaceDE w:val="0"/>
              <w:spacing w:line="300" w:lineRule="exact"/>
              <w:jc w:val="center"/>
              <w:textAlignment w:val="center"/>
              <w:rPr>
                <w:rFonts w:ascii="宋体" w:hAnsi="宋体" w:eastAsia="宋体"/>
                <w:b/>
                <w:bCs/>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产业</w:t>
            </w:r>
          </w:p>
          <w:p>
            <w:pPr>
              <w:autoSpaceDE w:val="0"/>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（转型升级产业）</w:t>
            </w:r>
          </w:p>
        </w:tc>
        <w:tc>
          <w:tcPr>
            <w:tcW w:w="144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文化创意产业</w:t>
            </w:r>
          </w:p>
        </w:tc>
        <w:tc>
          <w:tcPr>
            <w:tcW w:w="70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w:t>
            </w:r>
            <w:r>
              <w:rPr>
                <w:rFonts w:ascii="宋体" w:hAnsi="宋体" w:eastAsia="宋体"/>
                <w:color w:val="000000" w:themeColor="text1"/>
                <w:szCs w:val="21"/>
                <w14:textFill>
                  <w14:solidFill>
                    <w14:schemeClr w14:val="tx1"/>
                  </w14:solidFill>
                </w14:textFill>
              </w:rPr>
              <w:t>1476</w:t>
            </w:r>
          </w:p>
        </w:tc>
        <w:tc>
          <w:tcPr>
            <w:tcW w:w="70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2.46%</w:t>
            </w:r>
          </w:p>
        </w:tc>
        <w:tc>
          <w:tcPr>
            <w:tcW w:w="706" w:type="pct"/>
            <w:tcBorders>
              <w:top w:val="nil"/>
              <w:left w:val="nil"/>
              <w:bottom w:val="nil"/>
              <w:right w:val="nil"/>
            </w:tcBorders>
            <w:shd w:val="clear" w:color="000000"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68</w:t>
            </w:r>
          </w:p>
        </w:tc>
        <w:tc>
          <w:tcPr>
            <w:tcW w:w="707"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r>
              <w:rPr>
                <w:rFonts w:ascii="Times New Roman" w:hAnsi="Times New Roman"/>
                <w:color w:val="000000" w:themeColor="text1"/>
                <w:szCs w:val="21"/>
                <w14:textFill>
                  <w14:solidFill>
                    <w14:schemeClr w14:val="tx1"/>
                  </w14:solidFill>
                </w14:textFill>
              </w:rPr>
              <w:t>7</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29" w:type="pct"/>
            <w:vMerge w:val="continue"/>
            <w:tcBorders>
              <w:tl2br w:val="nil"/>
              <w:tr2bl w:val="nil"/>
            </w:tcBorders>
            <w:shd w:val="clear" w:color="auto" w:fill="DAEEF6"/>
            <w:vAlign w:val="center"/>
          </w:tcPr>
          <w:p>
            <w:pPr>
              <w:rPr>
                <w:rFonts w:ascii="宋体" w:hAnsi="宋体" w:eastAsia="宋体"/>
                <w:color w:val="000000" w:themeColor="text1"/>
                <w:szCs w:val="21"/>
                <w14:textFill>
                  <w14:solidFill>
                    <w14:schemeClr w14:val="tx1"/>
                  </w14:solidFill>
                </w14:textFill>
              </w:rPr>
            </w:pPr>
          </w:p>
        </w:tc>
        <w:tc>
          <w:tcPr>
            <w:tcW w:w="144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精品旅游产业</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w:t>
            </w:r>
            <w:r>
              <w:rPr>
                <w:rFonts w:ascii="宋体" w:hAnsi="宋体" w:eastAsia="宋体"/>
                <w:color w:val="000000" w:themeColor="text1"/>
                <w:szCs w:val="21"/>
                <w14:textFill>
                  <w14:solidFill>
                    <w14:schemeClr w14:val="tx1"/>
                  </w14:solidFill>
                </w14:textFill>
              </w:rPr>
              <w:t>4034</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w:t>
            </w:r>
            <w:r>
              <w:rPr>
                <w:rFonts w:ascii="宋体" w:hAnsi="宋体" w:eastAsia="宋体"/>
                <w:color w:val="000000" w:themeColor="text1"/>
                <w:szCs w:val="21"/>
                <w14:textFill>
                  <w14:solidFill>
                    <w14:schemeClr w14:val="tx1"/>
                  </w14:solidFill>
                </w14:textFill>
              </w:rPr>
              <w:t>.74%</w:t>
            </w:r>
          </w:p>
        </w:tc>
        <w:tc>
          <w:tcPr>
            <w:tcW w:w="706" w:type="pct"/>
            <w:tcBorders>
              <w:top w:val="nil"/>
              <w:left w:val="nil"/>
              <w:bottom w:val="nil"/>
              <w:right w:val="nil"/>
            </w:tcBorders>
            <w:shd w:val="clear" w:color="000000" w:fill="FFFFFF"/>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28</w:t>
            </w:r>
          </w:p>
        </w:tc>
        <w:tc>
          <w:tcPr>
            <w:tcW w:w="707"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9</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29" w:type="pct"/>
            <w:vMerge w:val="continue"/>
            <w:tcBorders>
              <w:tl2br w:val="nil"/>
              <w:tr2bl w:val="nil"/>
            </w:tcBorders>
            <w:shd w:val="clear" w:color="auto" w:fill="DAEEF6"/>
            <w:vAlign w:val="center"/>
          </w:tcPr>
          <w:p>
            <w:pPr>
              <w:rPr>
                <w:rFonts w:ascii="宋体" w:hAnsi="宋体" w:eastAsia="宋体"/>
                <w:color w:val="000000" w:themeColor="text1"/>
                <w:szCs w:val="21"/>
                <w14:textFill>
                  <w14:solidFill>
                    <w14:schemeClr w14:val="tx1"/>
                  </w14:solidFill>
                </w14:textFill>
              </w:rPr>
            </w:pPr>
          </w:p>
        </w:tc>
        <w:tc>
          <w:tcPr>
            <w:tcW w:w="144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现代金融服务</w:t>
            </w:r>
          </w:p>
        </w:tc>
        <w:tc>
          <w:tcPr>
            <w:tcW w:w="70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8</w:t>
            </w:r>
            <w:r>
              <w:rPr>
                <w:rFonts w:ascii="宋体" w:hAnsi="宋体" w:eastAsia="宋体"/>
                <w:color w:val="000000" w:themeColor="text1"/>
                <w:szCs w:val="21"/>
                <w14:textFill>
                  <w14:solidFill>
                    <w14:schemeClr w14:val="tx1"/>
                  </w14:solidFill>
                </w14:textFill>
              </w:rPr>
              <w:t>4093</w:t>
            </w:r>
          </w:p>
        </w:tc>
        <w:tc>
          <w:tcPr>
            <w:tcW w:w="70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2.86%</w:t>
            </w:r>
          </w:p>
        </w:tc>
        <w:tc>
          <w:tcPr>
            <w:tcW w:w="706" w:type="pct"/>
            <w:tcBorders>
              <w:top w:val="nil"/>
              <w:left w:val="nil"/>
              <w:bottom w:val="nil"/>
              <w:right w:val="nil"/>
            </w:tcBorders>
            <w:shd w:val="clear" w:color="000000"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21</w:t>
            </w:r>
          </w:p>
        </w:tc>
        <w:tc>
          <w:tcPr>
            <w:tcW w:w="707"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2</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29" w:type="pct"/>
            <w:vMerge w:val="continue"/>
            <w:tcBorders>
              <w:tl2br w:val="nil"/>
              <w:tr2bl w:val="nil"/>
            </w:tcBorders>
            <w:shd w:val="clear" w:color="auto" w:fill="DAEEF6"/>
            <w:vAlign w:val="center"/>
          </w:tcPr>
          <w:p>
            <w:pPr>
              <w:rPr>
                <w:rFonts w:ascii="宋体" w:hAnsi="宋体" w:eastAsia="宋体"/>
                <w:color w:val="000000" w:themeColor="text1"/>
                <w:szCs w:val="21"/>
                <w14:textFill>
                  <w14:solidFill>
                    <w14:schemeClr w14:val="tx1"/>
                  </w14:solidFill>
                </w14:textFill>
              </w:rPr>
            </w:pPr>
          </w:p>
        </w:tc>
        <w:tc>
          <w:tcPr>
            <w:tcW w:w="144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高端化工产业</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4136</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w:t>
            </w:r>
            <w:r>
              <w:rPr>
                <w:rFonts w:ascii="宋体" w:hAnsi="宋体" w:eastAsia="宋体"/>
                <w:color w:val="000000" w:themeColor="text1"/>
                <w:szCs w:val="21"/>
                <w14:textFill>
                  <w14:solidFill>
                    <w14:schemeClr w14:val="tx1"/>
                  </w14:solidFill>
                </w14:textFill>
              </w:rPr>
              <w:t>.16%</w:t>
            </w:r>
          </w:p>
        </w:tc>
        <w:tc>
          <w:tcPr>
            <w:tcW w:w="706" w:type="pct"/>
            <w:tcBorders>
              <w:top w:val="nil"/>
              <w:left w:val="nil"/>
              <w:bottom w:val="nil"/>
              <w:right w:val="nil"/>
            </w:tcBorders>
            <w:shd w:val="clear" w:color="000000" w:fill="FFFFFF"/>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w:t>
            </w:r>
          </w:p>
        </w:tc>
        <w:tc>
          <w:tcPr>
            <w:tcW w:w="707" w:type="pct"/>
            <w:tcBorders>
              <w:tl2br w:val="nil"/>
              <w:tr2bl w:val="nil"/>
            </w:tcBorders>
            <w:shd w:val="clear" w:color="auto" w:fill="FFFFFF" w:themeFill="background1"/>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8</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29" w:type="pct"/>
            <w:vMerge w:val="continue"/>
            <w:tcBorders>
              <w:tl2br w:val="nil"/>
              <w:tr2bl w:val="nil"/>
            </w:tcBorders>
            <w:shd w:val="clear" w:color="auto" w:fill="DAEEF6"/>
            <w:vAlign w:val="center"/>
          </w:tcPr>
          <w:p>
            <w:pPr>
              <w:rPr>
                <w:rFonts w:ascii="宋体" w:hAnsi="宋体" w:eastAsia="宋体"/>
                <w:color w:val="000000" w:themeColor="text1"/>
                <w:szCs w:val="21"/>
                <w14:textFill>
                  <w14:solidFill>
                    <w14:schemeClr w14:val="tx1"/>
                  </w14:solidFill>
                </w14:textFill>
              </w:rPr>
            </w:pPr>
          </w:p>
        </w:tc>
        <w:tc>
          <w:tcPr>
            <w:tcW w:w="144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现代高效农业</w:t>
            </w:r>
          </w:p>
        </w:tc>
        <w:tc>
          <w:tcPr>
            <w:tcW w:w="70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14038</w:t>
            </w:r>
          </w:p>
        </w:tc>
        <w:tc>
          <w:tcPr>
            <w:tcW w:w="706"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w:t>
            </w:r>
            <w:r>
              <w:rPr>
                <w:rFonts w:ascii="宋体" w:hAnsi="宋体" w:eastAsia="宋体"/>
                <w:color w:val="000000" w:themeColor="text1"/>
                <w:szCs w:val="21"/>
                <w14:textFill>
                  <w14:solidFill>
                    <w14:schemeClr w14:val="tx1"/>
                  </w14:solidFill>
                </w14:textFill>
              </w:rPr>
              <w:t>.15%</w:t>
            </w:r>
          </w:p>
        </w:tc>
        <w:tc>
          <w:tcPr>
            <w:tcW w:w="706" w:type="pct"/>
            <w:tcBorders>
              <w:top w:val="nil"/>
              <w:left w:val="nil"/>
              <w:bottom w:val="nil"/>
              <w:right w:val="nil"/>
            </w:tcBorders>
            <w:shd w:val="clear" w:color="000000"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23</w:t>
            </w:r>
          </w:p>
        </w:tc>
        <w:tc>
          <w:tcPr>
            <w:tcW w:w="707" w:type="pct"/>
            <w:tcBorders>
              <w:tl2br w:val="nil"/>
              <w:tr2bl w:val="nil"/>
            </w:tcBorders>
            <w:shd w:val="clear" w:color="auto" w:fill="DAEEF6"/>
            <w:vAlign w:val="center"/>
          </w:tcPr>
          <w:p>
            <w:pPr>
              <w:jc w:val="center"/>
              <w:textAlignment w:val="center"/>
              <w:rPr>
                <w:rFonts w:ascii="宋体" w:hAnsi="宋体" w:eastAsia="宋体"/>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1</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175" w:type="pct"/>
            <w:gridSpan w:val="2"/>
            <w:tcBorders>
              <w:tl2br w:val="nil"/>
              <w:tr2bl w:val="nil"/>
            </w:tcBorders>
            <w:shd w:val="clear" w:color="auto" w:fill="FFFFFF" w:themeFill="background1"/>
            <w:vAlign w:val="center"/>
          </w:tcPr>
          <w:p>
            <w:pPr>
              <w:spacing w:line="300" w:lineRule="exact"/>
              <w:jc w:val="center"/>
              <w:textAlignment w:val="center"/>
              <w:rPr>
                <w:rFonts w:ascii="宋体" w:hAnsi="宋体" w:eastAsia="宋体"/>
                <w:b/>
                <w:bCs/>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合计</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6</w:t>
            </w:r>
            <w:r>
              <w:rPr>
                <w:rFonts w:ascii="宋体" w:hAnsi="宋体" w:eastAsia="宋体"/>
                <w:b/>
                <w:bCs/>
                <w:color w:val="000000" w:themeColor="text1"/>
                <w:szCs w:val="21"/>
                <w14:textFill>
                  <w14:solidFill>
                    <w14:schemeClr w14:val="tx1"/>
                  </w14:solidFill>
                </w14:textFill>
              </w:rPr>
              <w:t>53662</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1</w:t>
            </w:r>
            <w:r>
              <w:rPr>
                <w:rFonts w:ascii="宋体" w:hAnsi="宋体" w:eastAsia="宋体"/>
                <w:b/>
                <w:bCs/>
                <w:color w:val="000000" w:themeColor="text1"/>
                <w:szCs w:val="21"/>
                <w14:textFill>
                  <w14:solidFill>
                    <w14:schemeClr w14:val="tx1"/>
                  </w14:solidFill>
                </w14:textFill>
              </w:rPr>
              <w:t>00%</w:t>
            </w:r>
          </w:p>
        </w:tc>
        <w:tc>
          <w:tcPr>
            <w:tcW w:w="706" w:type="pct"/>
            <w:tcBorders>
              <w:tl2br w:val="nil"/>
              <w:tr2bl w:val="nil"/>
            </w:tcBorders>
            <w:shd w:val="clear" w:color="auto" w:fill="FFFFFF" w:themeFill="background1"/>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39</w:t>
            </w:r>
            <w:r>
              <w:rPr>
                <w:rFonts w:ascii="宋体" w:hAnsi="宋体" w:eastAsia="宋体"/>
                <w:b/>
                <w:bCs/>
                <w:color w:val="000000" w:themeColor="text1"/>
                <w:szCs w:val="21"/>
                <w14:textFill>
                  <w14:solidFill>
                    <w14:schemeClr w14:val="tx1"/>
                  </w14:solidFill>
                </w14:textFill>
              </w:rPr>
              <w:t>0</w:t>
            </w:r>
          </w:p>
        </w:tc>
        <w:tc>
          <w:tcPr>
            <w:tcW w:w="707" w:type="pct"/>
            <w:tcBorders>
              <w:tl2br w:val="nil"/>
              <w:tr2bl w:val="nil"/>
            </w:tcBorders>
            <w:shd w:val="clear" w:color="auto" w:fill="FFFFFF" w:themeFill="background1"/>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w:t>
            </w:r>
          </w:p>
        </w:tc>
      </w:tr>
    </w:tbl>
    <w:p>
      <w:pPr>
        <w:spacing w:before="62" w:beforeLines="20"/>
        <w:rPr>
          <w:rFonts w:ascii="宋体" w:hAnsi="宋体" w:eastAsia="宋体"/>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数据来源：</w:t>
      </w:r>
      <w:r>
        <w:rPr>
          <w:rFonts w:ascii="宋体" w:hAnsi="宋体" w:eastAsia="宋体"/>
          <w:color w:val="000000" w:themeColor="text1"/>
          <w:szCs w:val="21"/>
          <w14:textFill>
            <w14:solidFill>
              <w14:schemeClr w14:val="tx1"/>
            </w14:solidFill>
          </w14:textFill>
        </w:rPr>
        <w:t>2021年度高等职业院校人才培养工作状态数据采集与管理平台。</w:t>
      </w:r>
    </w:p>
    <w:p>
      <w:pPr>
        <w:spacing w:before="62" w:beforeLines="20"/>
        <w:rPr>
          <w:rFonts w:ascii="Times New Roman" w:hAnsi="Times New Roman" w:eastAsia="仿宋_GB2312"/>
          <w:color w:val="000000" w:themeColor="text1"/>
          <w:szCs w:val="21"/>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drawing>
          <wp:inline distT="0" distB="0" distL="0" distR="0">
            <wp:extent cx="4676775" cy="3672840"/>
            <wp:effectExtent l="0" t="0" r="952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29326" cy="3714110"/>
                    </a:xfrm>
                    <a:prstGeom prst="rect">
                      <a:avLst/>
                    </a:prstGeom>
                    <a:noFill/>
                    <a:ln>
                      <a:noFill/>
                    </a:ln>
                  </pic:spPr>
                </pic:pic>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284" w:name="_Toc94183441"/>
      <w:bookmarkStart w:id="285" w:name="_Toc91605000"/>
      <w:bookmarkStart w:id="286" w:name="_Hlk91328479"/>
      <w:bookmarkStart w:id="287" w:name="_Toc94172339"/>
      <w:bookmarkStart w:id="288" w:name="_Toc94172198"/>
      <w:r>
        <w:rPr>
          <w:rFonts w:hint="eastAsia" w:ascii="宋体" w:hAnsi="宋体" w:eastAsia="宋体"/>
          <w:b/>
          <w:bCs/>
          <w:color w:val="000000" w:themeColor="text1"/>
          <w:sz w:val="24"/>
          <w:szCs w:val="24"/>
          <w14:textFill>
            <w14:solidFill>
              <w14:schemeClr w14:val="tx1"/>
            </w14:solidFill>
          </w14:textFill>
        </w:rPr>
        <w:t>图3</w:t>
      </w:r>
      <w:r>
        <w:rPr>
          <w:rFonts w:ascii="宋体" w:hAnsi="宋体" w:eastAsia="宋体"/>
          <w:b/>
          <w:bCs/>
          <w:color w:val="000000" w:themeColor="text1"/>
          <w:sz w:val="24"/>
          <w:szCs w:val="24"/>
          <w14:textFill>
            <w14:solidFill>
              <w14:schemeClr w14:val="tx1"/>
            </w14:solidFill>
          </w14:textFill>
        </w:rPr>
        <w:t>-2 专业结构与产业领域对应关系示意图</w:t>
      </w:r>
      <w:bookmarkEnd w:id="284"/>
      <w:bookmarkEnd w:id="285"/>
      <w:bookmarkEnd w:id="286"/>
      <w:bookmarkEnd w:id="287"/>
      <w:bookmarkEnd w:id="288"/>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289" w:name="_Toc91604678"/>
      <w:bookmarkStart w:id="290" w:name="_Toc94172199"/>
      <w:bookmarkStart w:id="291" w:name="_Toc91605001"/>
      <w:bookmarkStart w:id="292" w:name="_Toc91606518"/>
      <w:bookmarkStart w:id="293" w:name="_Toc94172340"/>
      <w:bookmarkStart w:id="294" w:name="_Toc94183442"/>
      <w:r>
        <w:rPr>
          <w:rFonts w:hint="eastAsia" w:ascii="仿宋_GB2312" w:hAnsi="仿宋_GB2312" w:eastAsia="仿宋_GB2312" w:cs="仿宋_GB2312"/>
          <w:b/>
          <w:bCs/>
          <w:color w:val="000000" w:themeColor="text1"/>
          <w:sz w:val="28"/>
          <w:szCs w:val="28"/>
          <w14:textFill>
            <w14:solidFill>
              <w14:schemeClr w14:val="tx1"/>
            </w14:solidFill>
          </w14:textFill>
        </w:rPr>
        <w:t>3.3.</w:t>
      </w:r>
      <w:r>
        <w:rPr>
          <w:rFonts w:ascii="仿宋_GB2312" w:hAnsi="仿宋_GB2312" w:eastAsia="仿宋_GB2312" w:cs="仿宋_GB2312"/>
          <w:b/>
          <w:bCs/>
          <w:color w:val="000000" w:themeColor="text1"/>
          <w:sz w:val="28"/>
          <w:szCs w:val="28"/>
          <w14:textFill>
            <w14:solidFill>
              <w14:schemeClr w14:val="tx1"/>
            </w14:solidFill>
          </w14:textFill>
        </w:rPr>
        <w:t>3</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专业布局动态调整，适应市场需求</w:t>
      </w:r>
      <w:bookmarkEnd w:id="289"/>
      <w:bookmarkEnd w:id="290"/>
      <w:bookmarkEnd w:id="291"/>
      <w:bookmarkEnd w:id="292"/>
      <w:bookmarkEnd w:id="293"/>
      <w:bookmarkEnd w:id="294"/>
    </w:p>
    <w:p>
      <w:pPr>
        <w:spacing w:line="500" w:lineRule="exact"/>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山东省高职院校主动对接新旧动能转换产业群布局需要，依据《&lt;中国制造2025&gt;山东省行动纲要》、部省共建国家职业教育创新发展高地要求，构建面向市场、适应发展的专业动态调整机制，形成了基于区域经济社会发展需求的专业布局。</w:t>
      </w:r>
      <w:r>
        <w:rPr>
          <w:rFonts w:hint="eastAsia" w:ascii="仿宋_GB2312" w:hAnsi="Times New Roman" w:eastAsia="仿宋_GB2312"/>
          <w:color w:val="000000" w:themeColor="text1"/>
          <w:sz w:val="28"/>
          <w:szCs w:val="28"/>
          <w14:textFill>
            <w14:solidFill>
              <w14:schemeClr w14:val="tx1"/>
            </w14:solidFill>
          </w14:textFill>
        </w:rPr>
        <w:t>2021年，山东省备案高职专业点2697个，其中新设、停招、撤销专业分别为260个、175个、152个，专业调整力度较大，尤其是撤销专业数量，较2020年增长了176.36%。地市级政府举办高职院校校均设置专业总数高于其他两类学校，省属高职院校校均停招专业数高于其他两类，行业企业或社会资本举办的高职院校校均新增专业数高于其他两类，新增专业主要集中在装备制造大类、电子信息大类、医药卫生大类等。专业与产业的动态调整机制进一步完善，如表3-5所示。</w:t>
      </w:r>
    </w:p>
    <w:p>
      <w:pPr>
        <w:pStyle w:val="4"/>
        <w:widowControl w:val="0"/>
        <w:spacing w:before="156" w:beforeLines="50" w:after="93" w:afterLines="30"/>
        <w:jc w:val="center"/>
        <w:outlineLvl w:val="2"/>
        <w:rPr>
          <w:rFonts w:ascii="宋体" w:hAnsi="宋体" w:eastAsia="宋体"/>
          <w:color w:val="000000" w:themeColor="text1"/>
          <w:sz w:val="24"/>
          <w:szCs w:val="24"/>
          <w14:textFill>
            <w14:solidFill>
              <w14:schemeClr w14:val="tx1"/>
            </w14:solidFill>
          </w14:textFill>
        </w:rPr>
      </w:pPr>
      <w:bookmarkStart w:id="295" w:name="_Toc1574"/>
      <w:bookmarkStart w:id="296" w:name="_Toc62718657"/>
      <w:bookmarkStart w:id="297" w:name="_Toc91605002"/>
      <w:bookmarkStart w:id="298" w:name="_Toc91606519"/>
      <w:bookmarkStart w:id="299" w:name="_Toc94172200"/>
      <w:bookmarkStart w:id="300" w:name="_Toc94183443"/>
      <w:bookmarkStart w:id="301" w:name="_Toc94172341"/>
      <w:r>
        <w:rPr>
          <w:rFonts w:ascii="宋体" w:hAnsi="宋体" w:eastAsia="宋体"/>
          <w:color w:val="000000" w:themeColor="text1"/>
          <w:sz w:val="24"/>
          <w:szCs w:val="24"/>
          <w14:textFill>
            <w14:solidFill>
              <w14:schemeClr w14:val="tx1"/>
            </w14:solidFill>
          </w14:textFill>
        </w:rPr>
        <w:t>表</w:t>
      </w:r>
      <w:bookmarkStart w:id="302" w:name="_Toc1860"/>
      <w:r>
        <w:rPr>
          <w:rFonts w:ascii="宋体" w:hAnsi="宋体" w:eastAsia="宋体"/>
          <w:color w:val="000000" w:themeColor="text1"/>
          <w:sz w:val="24"/>
          <w:szCs w:val="24"/>
          <w14:textFill>
            <w14:solidFill>
              <w14:schemeClr w14:val="tx1"/>
            </w14:solidFill>
          </w14:textFill>
        </w:rPr>
        <w:t>3</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w:t>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山东省202</w:t>
      </w:r>
      <w:r>
        <w:rPr>
          <w:rFonts w:hint="eastAsia"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年高职院校专业调整优化情况统计表</w:t>
      </w:r>
      <w:bookmarkEnd w:id="295"/>
      <w:bookmarkEnd w:id="296"/>
      <w:bookmarkEnd w:id="297"/>
      <w:bookmarkEnd w:id="298"/>
      <w:bookmarkEnd w:id="299"/>
      <w:bookmarkEnd w:id="300"/>
      <w:bookmarkEnd w:id="301"/>
      <w:bookmarkEnd w:id="302"/>
    </w:p>
    <w:tbl>
      <w:tblPr>
        <w:tblStyle w:val="21"/>
        <w:tblW w:w="5025"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FFFFFF" w:themeFill="background1"/>
        <w:tblLayout w:type="autofit"/>
        <w:tblCellMar>
          <w:top w:w="0" w:type="dxa"/>
          <w:left w:w="0" w:type="dxa"/>
          <w:bottom w:w="0" w:type="dxa"/>
          <w:right w:w="0" w:type="dxa"/>
        </w:tblCellMar>
      </w:tblPr>
      <w:tblGrid>
        <w:gridCol w:w="1511"/>
        <w:gridCol w:w="1017"/>
        <w:gridCol w:w="652"/>
        <w:gridCol w:w="620"/>
        <w:gridCol w:w="711"/>
        <w:gridCol w:w="707"/>
        <w:gridCol w:w="679"/>
        <w:gridCol w:w="720"/>
        <w:gridCol w:w="668"/>
        <w:gridCol w:w="549"/>
        <w:gridCol w:w="507"/>
        <w:gridCol w:w="54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FFFFFF" w:themeFill="background1"/>
          <w:tblCellMar>
            <w:top w:w="0" w:type="dxa"/>
            <w:left w:w="0" w:type="dxa"/>
            <w:bottom w:w="0" w:type="dxa"/>
            <w:right w:w="0" w:type="dxa"/>
          </w:tblCellMar>
        </w:tblPrEx>
        <w:trPr>
          <w:trHeight w:val="410" w:hRule="atLeast"/>
        </w:trPr>
        <w:tc>
          <w:tcPr>
            <w:tcW w:w="850" w:type="pct"/>
            <w:vMerge w:val="restart"/>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院校类型</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统计分类</w:t>
            </w:r>
          </w:p>
        </w:tc>
        <w:tc>
          <w:tcPr>
            <w:tcW w:w="572" w:type="pct"/>
            <w:vMerge w:val="restart"/>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院校数量</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（所）</w:t>
            </w:r>
          </w:p>
        </w:tc>
        <w:tc>
          <w:tcPr>
            <w:tcW w:w="716" w:type="pct"/>
            <w:gridSpan w:val="2"/>
            <w:shd w:val="clear" w:color="auto" w:fill="0070C0"/>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专业总数</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（个）</w:t>
            </w:r>
          </w:p>
        </w:tc>
        <w:tc>
          <w:tcPr>
            <w:tcW w:w="798" w:type="pct"/>
            <w:gridSpan w:val="2"/>
            <w:shd w:val="clear" w:color="auto" w:fill="0070C0"/>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招生专业</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（个）</w:t>
            </w:r>
          </w:p>
        </w:tc>
        <w:tc>
          <w:tcPr>
            <w:tcW w:w="787" w:type="pct"/>
            <w:gridSpan w:val="2"/>
            <w:shd w:val="clear" w:color="auto" w:fill="0070C0"/>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新增专业</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(个)</w:t>
            </w:r>
          </w:p>
        </w:tc>
        <w:tc>
          <w:tcPr>
            <w:tcW w:w="685" w:type="pct"/>
            <w:gridSpan w:val="2"/>
            <w:shd w:val="clear" w:color="auto" w:fill="0070C0"/>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停招专业</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(个)</w:t>
            </w:r>
          </w:p>
        </w:tc>
        <w:tc>
          <w:tcPr>
            <w:tcW w:w="592" w:type="pct"/>
            <w:gridSpan w:val="2"/>
            <w:shd w:val="clear" w:color="auto" w:fill="0070C0"/>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撤销专业</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(个)</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10" w:hRule="atLeast"/>
        </w:trPr>
        <w:tc>
          <w:tcPr>
            <w:tcW w:w="850" w:type="pct"/>
            <w:vMerge w:val="continue"/>
            <w:tcBorders>
              <w:bottom w:val="single" w:color="auto" w:sz="2" w:space="0"/>
            </w:tcBorders>
            <w:shd w:val="clear" w:color="auto" w:fill="0070C0"/>
          </w:tcPr>
          <w:p>
            <w:pPr>
              <w:jc w:val="center"/>
              <w:rPr>
                <w:rFonts w:ascii="楷体_GB2312" w:hAnsi="Times New Roman" w:eastAsia="楷体_GB2312"/>
                <w:b/>
                <w:bCs/>
                <w:color w:val="FFFFFF" w:themeColor="background1"/>
                <w:szCs w:val="21"/>
                <w14:textFill>
                  <w14:solidFill>
                    <w14:schemeClr w14:val="bg1"/>
                  </w14:solidFill>
                </w14:textFill>
              </w:rPr>
            </w:pPr>
          </w:p>
        </w:tc>
        <w:tc>
          <w:tcPr>
            <w:tcW w:w="572" w:type="pct"/>
            <w:vMerge w:val="continue"/>
            <w:tcBorders>
              <w:bottom w:val="single" w:color="auto" w:sz="2" w:space="0"/>
            </w:tcBorders>
            <w:shd w:val="clear" w:color="auto" w:fill="0070C0"/>
          </w:tcPr>
          <w:p>
            <w:pPr>
              <w:jc w:val="center"/>
              <w:rPr>
                <w:rFonts w:ascii="楷体_GB2312" w:hAnsi="Times New Roman" w:eastAsia="楷体_GB2312"/>
                <w:b/>
                <w:bCs/>
                <w:color w:val="FFFFFF" w:themeColor="background1"/>
                <w:szCs w:val="21"/>
                <w14:textFill>
                  <w14:solidFill>
                    <w14:schemeClr w14:val="bg1"/>
                  </w14:solidFill>
                </w14:textFill>
              </w:rPr>
            </w:pPr>
          </w:p>
        </w:tc>
        <w:tc>
          <w:tcPr>
            <w:tcW w:w="367" w:type="pct"/>
            <w:tcBorders>
              <w:bottom w:val="single" w:color="auto" w:sz="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总数</w:t>
            </w:r>
          </w:p>
        </w:tc>
        <w:tc>
          <w:tcPr>
            <w:tcW w:w="349" w:type="pct"/>
            <w:tcBorders>
              <w:bottom w:val="single" w:color="auto" w:sz="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校均</w:t>
            </w:r>
          </w:p>
        </w:tc>
        <w:tc>
          <w:tcPr>
            <w:tcW w:w="400" w:type="pct"/>
            <w:tcBorders>
              <w:bottom w:val="single" w:color="auto" w:sz="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总数</w:t>
            </w:r>
          </w:p>
        </w:tc>
        <w:tc>
          <w:tcPr>
            <w:tcW w:w="398" w:type="pct"/>
            <w:tcBorders>
              <w:bottom w:val="single" w:color="auto" w:sz="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校均</w:t>
            </w:r>
          </w:p>
        </w:tc>
        <w:tc>
          <w:tcPr>
            <w:tcW w:w="382" w:type="pct"/>
            <w:tcBorders>
              <w:bottom w:val="single" w:color="auto" w:sz="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总数</w:t>
            </w:r>
          </w:p>
        </w:tc>
        <w:tc>
          <w:tcPr>
            <w:tcW w:w="404" w:type="pct"/>
            <w:tcBorders>
              <w:bottom w:val="single" w:color="auto" w:sz="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校均</w:t>
            </w:r>
          </w:p>
        </w:tc>
        <w:tc>
          <w:tcPr>
            <w:tcW w:w="376" w:type="pct"/>
            <w:tcBorders>
              <w:bottom w:val="single" w:color="auto" w:sz="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总数</w:t>
            </w:r>
          </w:p>
        </w:tc>
        <w:tc>
          <w:tcPr>
            <w:tcW w:w="309" w:type="pct"/>
            <w:tcBorders>
              <w:bottom w:val="single" w:color="auto" w:sz="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校均</w:t>
            </w:r>
          </w:p>
        </w:tc>
        <w:tc>
          <w:tcPr>
            <w:tcW w:w="285" w:type="pct"/>
            <w:tcBorders>
              <w:bottom w:val="single" w:color="auto" w:sz="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总数</w:t>
            </w:r>
          </w:p>
        </w:tc>
        <w:tc>
          <w:tcPr>
            <w:tcW w:w="307" w:type="pct"/>
            <w:tcBorders>
              <w:bottom w:val="single" w:color="auto" w:sz="2" w:space="0"/>
            </w:tcBorders>
            <w:shd w:val="clear" w:color="auto" w:fill="0070C0"/>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校均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10" w:hRule="atLeast"/>
        </w:trPr>
        <w:tc>
          <w:tcPr>
            <w:tcW w:w="850" w:type="pct"/>
            <w:tcBorders>
              <w:top w:val="single" w:color="auto" w:sz="2" w:space="0"/>
              <w:bottom w:val="nil"/>
            </w:tcBorders>
            <w:shd w:val="clear" w:color="auto" w:fill="FFFFFF" w:themeFill="background1"/>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省级</w:t>
            </w:r>
          </w:p>
        </w:tc>
        <w:tc>
          <w:tcPr>
            <w:tcW w:w="572" w:type="pct"/>
            <w:tcBorders>
              <w:top w:val="single" w:color="auto" w:sz="2" w:space="0"/>
              <w:bottom w:val="nil"/>
            </w:tcBorders>
            <w:shd w:val="clear" w:color="auto" w:fill="FFFFFF" w:themeFill="background1"/>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ascii="宋体" w:hAnsi="宋体" w:eastAsia="宋体"/>
                <w:b/>
                <w:color w:val="000000" w:themeColor="text1"/>
                <w:szCs w:val="21"/>
                <w:lang w:bidi="ar"/>
                <w14:textFill>
                  <w14:solidFill>
                    <w14:schemeClr w14:val="tx1"/>
                  </w14:solidFill>
                </w14:textFill>
              </w:rPr>
              <w:t>24</w:t>
            </w:r>
          </w:p>
        </w:tc>
        <w:tc>
          <w:tcPr>
            <w:tcW w:w="367" w:type="pct"/>
            <w:tcBorders>
              <w:top w:val="single" w:color="auto" w:sz="2" w:space="0"/>
              <w:bottom w:val="nil"/>
            </w:tcBorders>
            <w:shd w:val="clear" w:color="auto" w:fill="FFFFFF" w:themeFill="background1"/>
            <w:vAlign w:val="center"/>
          </w:tcPr>
          <w:p>
            <w:pPr>
              <w:jc w:val="center"/>
              <w:textAlignment w:val="center"/>
              <w:rPr>
                <w:rFonts w:ascii="宋体" w:hAnsi="宋体" w:eastAsia="宋体"/>
                <w:bCs/>
                <w:color w:val="000000" w:themeColor="text1"/>
                <w:szCs w:val="21"/>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789</w:t>
            </w:r>
          </w:p>
        </w:tc>
        <w:tc>
          <w:tcPr>
            <w:tcW w:w="349" w:type="pct"/>
            <w:tcBorders>
              <w:top w:val="single" w:color="auto" w:sz="2" w:space="0"/>
              <w:bottom w:val="nil"/>
            </w:tcBorders>
            <w:shd w:val="clear" w:color="auto" w:fill="FFFFFF" w:themeFill="background1"/>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32.9</w:t>
            </w:r>
          </w:p>
        </w:tc>
        <w:tc>
          <w:tcPr>
            <w:tcW w:w="400" w:type="pct"/>
            <w:tcBorders>
              <w:top w:val="single" w:color="auto" w:sz="2" w:space="0"/>
              <w:bottom w:val="nil"/>
            </w:tcBorders>
            <w:shd w:val="clear" w:color="auto" w:fill="FFFFFF" w:themeFill="background1"/>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727</w:t>
            </w:r>
          </w:p>
        </w:tc>
        <w:tc>
          <w:tcPr>
            <w:tcW w:w="398" w:type="pct"/>
            <w:tcBorders>
              <w:top w:val="single" w:color="auto" w:sz="2" w:space="0"/>
              <w:bottom w:val="nil"/>
            </w:tcBorders>
            <w:shd w:val="clear" w:color="auto" w:fill="FFFFFF" w:themeFill="background1"/>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30.3</w:t>
            </w:r>
          </w:p>
        </w:tc>
        <w:tc>
          <w:tcPr>
            <w:tcW w:w="382" w:type="pct"/>
            <w:tcBorders>
              <w:top w:val="single" w:color="auto" w:sz="2" w:space="0"/>
              <w:bottom w:val="nil"/>
            </w:tcBorders>
            <w:shd w:val="clear" w:color="auto" w:fill="FFFFFF" w:themeFill="background1"/>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52</w:t>
            </w:r>
          </w:p>
        </w:tc>
        <w:tc>
          <w:tcPr>
            <w:tcW w:w="404" w:type="pct"/>
            <w:tcBorders>
              <w:top w:val="single" w:color="auto" w:sz="2" w:space="0"/>
              <w:bottom w:val="nil"/>
            </w:tcBorders>
            <w:shd w:val="clear" w:color="auto" w:fill="FFFFFF" w:themeFill="background1"/>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2.1</w:t>
            </w:r>
          </w:p>
        </w:tc>
        <w:tc>
          <w:tcPr>
            <w:tcW w:w="376" w:type="pct"/>
            <w:tcBorders>
              <w:top w:val="single" w:color="auto" w:sz="2" w:space="0"/>
              <w:bottom w:val="nil"/>
            </w:tcBorders>
            <w:shd w:val="clear" w:color="auto" w:fill="FFFFFF" w:themeFill="background1"/>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62</w:t>
            </w:r>
          </w:p>
        </w:tc>
        <w:tc>
          <w:tcPr>
            <w:tcW w:w="309" w:type="pct"/>
            <w:tcBorders>
              <w:top w:val="single" w:color="auto" w:sz="2" w:space="0"/>
              <w:bottom w:val="nil"/>
            </w:tcBorders>
            <w:shd w:val="clear" w:color="auto" w:fill="FFFFFF" w:themeFill="background1"/>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ascii="宋体" w:hAnsi="宋体" w:eastAsia="宋体"/>
                <w:b/>
                <w:color w:val="000000" w:themeColor="text1"/>
                <w:szCs w:val="21"/>
                <w:lang w:bidi="ar"/>
                <w14:textFill>
                  <w14:solidFill>
                    <w14:schemeClr w14:val="tx1"/>
                  </w14:solidFill>
                </w14:textFill>
              </w:rPr>
              <w:t>3.8</w:t>
            </w:r>
          </w:p>
        </w:tc>
        <w:tc>
          <w:tcPr>
            <w:tcW w:w="285" w:type="pct"/>
            <w:tcBorders>
              <w:top w:val="single" w:color="auto" w:sz="2" w:space="0"/>
              <w:bottom w:val="nil"/>
            </w:tcBorders>
            <w:shd w:val="clear" w:color="auto" w:fill="FFFFFF" w:themeFill="background1"/>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44</w:t>
            </w:r>
          </w:p>
        </w:tc>
        <w:tc>
          <w:tcPr>
            <w:tcW w:w="307" w:type="pct"/>
            <w:tcBorders>
              <w:top w:val="single" w:color="auto" w:sz="2" w:space="0"/>
              <w:bottom w:val="nil"/>
            </w:tcBorders>
            <w:shd w:val="clear" w:color="auto" w:fill="FFFFFF" w:themeFill="background1"/>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1.8</w:t>
            </w:r>
            <w:r>
              <w:rPr>
                <w:rFonts w:ascii="宋体" w:hAnsi="宋体" w:eastAsia="宋体"/>
                <w:b/>
                <w:color w:val="000000" w:themeColor="text1"/>
                <w:szCs w:val="21"/>
                <w:lang w:bidi="ar"/>
                <w14:textFill>
                  <w14:solidFill>
                    <w14:schemeClr w14:val="tx1"/>
                  </w14:solidFill>
                </w14:textFill>
              </w:rPr>
              <w:t xml:space="preserve">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10" w:hRule="atLeast"/>
        </w:trPr>
        <w:tc>
          <w:tcPr>
            <w:tcW w:w="850" w:type="pct"/>
            <w:tcBorders>
              <w:top w:val="nil"/>
              <w:bottom w:val="nil"/>
            </w:tcBorders>
            <w:shd w:val="clear" w:color="auto" w:fill="DAEEF6"/>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地市级（含县级）政府</w:t>
            </w:r>
          </w:p>
        </w:tc>
        <w:tc>
          <w:tcPr>
            <w:tcW w:w="572" w:type="pct"/>
            <w:tcBorders>
              <w:top w:val="nil"/>
              <w:bottom w:val="nil"/>
            </w:tcBorders>
            <w:shd w:val="clear" w:color="auto" w:fill="DAEEF6"/>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ascii="宋体" w:hAnsi="宋体" w:eastAsia="宋体"/>
                <w:b/>
                <w:color w:val="000000" w:themeColor="text1"/>
                <w:szCs w:val="21"/>
                <w:lang w:bidi="ar"/>
                <w14:textFill>
                  <w14:solidFill>
                    <w14:schemeClr w14:val="tx1"/>
                  </w14:solidFill>
                </w14:textFill>
              </w:rPr>
              <w:t>3</w:t>
            </w:r>
            <w:r>
              <w:rPr>
                <w:rFonts w:hint="eastAsia" w:ascii="宋体" w:hAnsi="宋体" w:eastAsia="宋体"/>
                <w:b/>
                <w:color w:val="000000" w:themeColor="text1"/>
                <w:szCs w:val="21"/>
                <w:lang w:bidi="ar"/>
                <w14:textFill>
                  <w14:solidFill>
                    <w14:schemeClr w14:val="tx1"/>
                  </w14:solidFill>
                </w14:textFill>
              </w:rPr>
              <w:t>8</w:t>
            </w:r>
          </w:p>
        </w:tc>
        <w:tc>
          <w:tcPr>
            <w:tcW w:w="367" w:type="pct"/>
            <w:tcBorders>
              <w:top w:val="nil"/>
              <w:bottom w:val="nil"/>
            </w:tcBorders>
            <w:shd w:val="clear" w:color="auto" w:fill="DAEEF6"/>
            <w:vAlign w:val="center"/>
          </w:tcPr>
          <w:p>
            <w:pPr>
              <w:jc w:val="center"/>
              <w:textAlignment w:val="center"/>
              <w:rPr>
                <w:rFonts w:ascii="宋体" w:hAnsi="宋体" w:eastAsia="宋体"/>
                <w:bCs/>
                <w:color w:val="000000" w:themeColor="text1"/>
                <w:szCs w:val="21"/>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1270</w:t>
            </w:r>
          </w:p>
        </w:tc>
        <w:tc>
          <w:tcPr>
            <w:tcW w:w="349" w:type="pct"/>
            <w:tcBorders>
              <w:top w:val="nil"/>
              <w:bottom w:val="nil"/>
            </w:tcBorders>
            <w:shd w:val="clear" w:color="auto" w:fill="DAEEF6"/>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33.4</w:t>
            </w:r>
          </w:p>
        </w:tc>
        <w:tc>
          <w:tcPr>
            <w:tcW w:w="400" w:type="pct"/>
            <w:tcBorders>
              <w:top w:val="nil"/>
              <w:bottom w:val="nil"/>
            </w:tcBorders>
            <w:shd w:val="clear" w:color="auto" w:fill="DAEEF6"/>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1207</w:t>
            </w:r>
          </w:p>
        </w:tc>
        <w:tc>
          <w:tcPr>
            <w:tcW w:w="398" w:type="pct"/>
            <w:tcBorders>
              <w:top w:val="nil"/>
              <w:bottom w:val="nil"/>
            </w:tcBorders>
            <w:shd w:val="clear" w:color="auto" w:fill="DAEEF6"/>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31.8</w:t>
            </w:r>
          </w:p>
        </w:tc>
        <w:tc>
          <w:tcPr>
            <w:tcW w:w="382" w:type="pct"/>
            <w:tcBorders>
              <w:top w:val="nil"/>
              <w:bottom w:val="nil"/>
            </w:tcBorders>
            <w:shd w:val="clear" w:color="auto" w:fill="DAEEF6"/>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132</w:t>
            </w:r>
          </w:p>
        </w:tc>
        <w:tc>
          <w:tcPr>
            <w:tcW w:w="404" w:type="pct"/>
            <w:tcBorders>
              <w:top w:val="nil"/>
              <w:bottom w:val="nil"/>
            </w:tcBorders>
            <w:shd w:val="clear" w:color="auto" w:fill="DAEEF6"/>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3.5</w:t>
            </w:r>
          </w:p>
        </w:tc>
        <w:tc>
          <w:tcPr>
            <w:tcW w:w="376" w:type="pct"/>
            <w:tcBorders>
              <w:top w:val="nil"/>
              <w:bottom w:val="nil"/>
            </w:tcBorders>
            <w:shd w:val="clear" w:color="auto" w:fill="DAEEF6"/>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63</w:t>
            </w:r>
          </w:p>
        </w:tc>
        <w:tc>
          <w:tcPr>
            <w:tcW w:w="309" w:type="pct"/>
            <w:tcBorders>
              <w:top w:val="nil"/>
              <w:bottom w:val="nil"/>
            </w:tcBorders>
            <w:shd w:val="clear" w:color="auto" w:fill="DAEEF6"/>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1.7</w:t>
            </w:r>
          </w:p>
        </w:tc>
        <w:tc>
          <w:tcPr>
            <w:tcW w:w="285" w:type="pct"/>
            <w:tcBorders>
              <w:top w:val="nil"/>
              <w:bottom w:val="nil"/>
            </w:tcBorders>
            <w:shd w:val="clear" w:color="auto" w:fill="DAEEF6"/>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70</w:t>
            </w:r>
          </w:p>
        </w:tc>
        <w:tc>
          <w:tcPr>
            <w:tcW w:w="307" w:type="pct"/>
            <w:tcBorders>
              <w:top w:val="nil"/>
              <w:bottom w:val="nil"/>
            </w:tcBorders>
            <w:shd w:val="clear" w:color="auto" w:fill="DAEEF6"/>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1.8</w:t>
            </w:r>
            <w:r>
              <w:rPr>
                <w:rFonts w:ascii="宋体" w:hAnsi="宋体" w:eastAsia="宋体"/>
                <w:b/>
                <w:color w:val="000000" w:themeColor="text1"/>
                <w:szCs w:val="21"/>
                <w:lang w:bidi="ar"/>
                <w14:textFill>
                  <w14:solidFill>
                    <w14:schemeClr w14:val="tx1"/>
                  </w14:solidFill>
                </w14:textFill>
              </w:rPr>
              <w:t xml:space="preserve">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10" w:hRule="atLeast"/>
        </w:trPr>
        <w:tc>
          <w:tcPr>
            <w:tcW w:w="850" w:type="pct"/>
            <w:tcBorders>
              <w:top w:val="nil"/>
              <w:bottom w:val="nil"/>
            </w:tcBorders>
            <w:shd w:val="clear" w:color="auto" w:fill="FFFFFF" w:themeFill="background1"/>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bookmarkStart w:id="303" w:name="_Hlk90733153"/>
            <w:r>
              <w:rPr>
                <w:rFonts w:ascii="宋体" w:hAnsi="宋体" w:eastAsia="宋体"/>
                <w:color w:val="000000" w:themeColor="text1"/>
                <w:szCs w:val="21"/>
                <w:lang w:bidi="ar"/>
                <w14:textFill>
                  <w14:solidFill>
                    <w14:schemeClr w14:val="tx1"/>
                  </w14:solidFill>
                </w14:textFill>
              </w:rPr>
              <w:t>其他（行业企业或社会资本举办）</w:t>
            </w:r>
            <w:bookmarkEnd w:id="303"/>
          </w:p>
        </w:tc>
        <w:tc>
          <w:tcPr>
            <w:tcW w:w="572" w:type="pct"/>
            <w:tcBorders>
              <w:top w:val="nil"/>
              <w:bottom w:val="nil"/>
            </w:tcBorders>
            <w:shd w:val="clear" w:color="auto" w:fill="FFFFFF" w:themeFill="background1"/>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21</w:t>
            </w:r>
          </w:p>
        </w:tc>
        <w:tc>
          <w:tcPr>
            <w:tcW w:w="367" w:type="pct"/>
            <w:tcBorders>
              <w:top w:val="nil"/>
              <w:bottom w:val="nil"/>
            </w:tcBorders>
            <w:shd w:val="clear" w:color="auto" w:fill="FFFFFF" w:themeFill="background1"/>
            <w:vAlign w:val="center"/>
          </w:tcPr>
          <w:p>
            <w:pPr>
              <w:jc w:val="center"/>
              <w:textAlignment w:val="center"/>
              <w:rPr>
                <w:rFonts w:ascii="宋体" w:hAnsi="宋体" w:eastAsia="宋体"/>
                <w:bCs/>
                <w:color w:val="000000" w:themeColor="text1"/>
                <w:szCs w:val="21"/>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638</w:t>
            </w:r>
          </w:p>
        </w:tc>
        <w:tc>
          <w:tcPr>
            <w:tcW w:w="349" w:type="pct"/>
            <w:tcBorders>
              <w:top w:val="nil"/>
              <w:bottom w:val="nil"/>
            </w:tcBorders>
            <w:shd w:val="clear" w:color="auto" w:fill="FFFFFF" w:themeFill="background1"/>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30.4</w:t>
            </w:r>
          </w:p>
        </w:tc>
        <w:tc>
          <w:tcPr>
            <w:tcW w:w="400" w:type="pct"/>
            <w:tcBorders>
              <w:top w:val="nil"/>
              <w:bottom w:val="nil"/>
            </w:tcBorders>
            <w:shd w:val="clear" w:color="auto" w:fill="FFFFFF" w:themeFill="background1"/>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588</w:t>
            </w:r>
          </w:p>
        </w:tc>
        <w:tc>
          <w:tcPr>
            <w:tcW w:w="398" w:type="pct"/>
            <w:tcBorders>
              <w:top w:val="nil"/>
              <w:bottom w:val="nil"/>
            </w:tcBorders>
            <w:shd w:val="clear" w:color="auto" w:fill="FFFFFF" w:themeFill="background1"/>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28.0</w:t>
            </w:r>
          </w:p>
        </w:tc>
        <w:tc>
          <w:tcPr>
            <w:tcW w:w="382" w:type="pct"/>
            <w:tcBorders>
              <w:top w:val="nil"/>
              <w:bottom w:val="nil"/>
            </w:tcBorders>
            <w:shd w:val="clear" w:color="auto" w:fill="FFFFFF" w:themeFill="background1"/>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76</w:t>
            </w:r>
          </w:p>
        </w:tc>
        <w:tc>
          <w:tcPr>
            <w:tcW w:w="404" w:type="pct"/>
            <w:tcBorders>
              <w:top w:val="nil"/>
              <w:bottom w:val="nil"/>
            </w:tcBorders>
            <w:shd w:val="clear" w:color="auto" w:fill="FFFFFF" w:themeFill="background1"/>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3.6</w:t>
            </w:r>
          </w:p>
        </w:tc>
        <w:tc>
          <w:tcPr>
            <w:tcW w:w="376" w:type="pct"/>
            <w:tcBorders>
              <w:top w:val="nil"/>
              <w:bottom w:val="nil"/>
            </w:tcBorders>
            <w:shd w:val="clear" w:color="auto" w:fill="FFFFFF" w:themeFill="background1"/>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50</w:t>
            </w:r>
          </w:p>
        </w:tc>
        <w:tc>
          <w:tcPr>
            <w:tcW w:w="309" w:type="pct"/>
            <w:tcBorders>
              <w:top w:val="nil"/>
              <w:bottom w:val="nil"/>
            </w:tcBorders>
            <w:shd w:val="clear" w:color="auto" w:fill="FFFFFF" w:themeFill="background1"/>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2.4</w:t>
            </w:r>
          </w:p>
        </w:tc>
        <w:tc>
          <w:tcPr>
            <w:tcW w:w="285" w:type="pct"/>
            <w:tcBorders>
              <w:top w:val="nil"/>
              <w:bottom w:val="nil"/>
            </w:tcBorders>
            <w:shd w:val="clear" w:color="auto" w:fill="FFFFFF" w:themeFill="background1"/>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38</w:t>
            </w:r>
          </w:p>
        </w:tc>
        <w:tc>
          <w:tcPr>
            <w:tcW w:w="307" w:type="pct"/>
            <w:tcBorders>
              <w:top w:val="nil"/>
              <w:bottom w:val="nil"/>
            </w:tcBorders>
            <w:shd w:val="clear" w:color="auto" w:fill="FFFFFF" w:themeFill="background1"/>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10" w:hRule="atLeast"/>
        </w:trPr>
        <w:tc>
          <w:tcPr>
            <w:tcW w:w="850" w:type="pct"/>
            <w:tcBorders>
              <w:top w:val="nil"/>
              <w:bottom w:val="single" w:color="auto" w:sz="12" w:space="0"/>
            </w:tcBorders>
            <w:shd w:val="clear" w:color="auto" w:fill="DAEEF6"/>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总计</w:t>
            </w:r>
          </w:p>
        </w:tc>
        <w:tc>
          <w:tcPr>
            <w:tcW w:w="572" w:type="pct"/>
            <w:tcBorders>
              <w:top w:val="nil"/>
              <w:bottom w:val="single" w:color="auto" w:sz="12" w:space="0"/>
            </w:tcBorders>
            <w:shd w:val="clear" w:color="auto" w:fill="DAEEF6"/>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ascii="宋体" w:hAnsi="宋体" w:eastAsia="宋体"/>
                <w:b/>
                <w:color w:val="000000" w:themeColor="text1"/>
                <w:szCs w:val="21"/>
                <w:lang w:bidi="ar"/>
                <w14:textFill>
                  <w14:solidFill>
                    <w14:schemeClr w14:val="tx1"/>
                  </w14:solidFill>
                </w14:textFill>
              </w:rPr>
              <w:t>83</w:t>
            </w:r>
          </w:p>
        </w:tc>
        <w:tc>
          <w:tcPr>
            <w:tcW w:w="367" w:type="pct"/>
            <w:tcBorders>
              <w:top w:val="nil"/>
              <w:bottom w:val="single" w:color="auto" w:sz="12" w:space="0"/>
            </w:tcBorders>
            <w:shd w:val="clear" w:color="auto" w:fill="DAEEF6"/>
            <w:vAlign w:val="center"/>
          </w:tcPr>
          <w:p>
            <w:pPr>
              <w:jc w:val="center"/>
              <w:textAlignment w:val="center"/>
              <w:rPr>
                <w:rFonts w:ascii="宋体" w:hAnsi="宋体" w:eastAsia="宋体"/>
                <w:bCs/>
                <w:color w:val="000000" w:themeColor="text1"/>
                <w:szCs w:val="21"/>
                <w:highlight w:val="red"/>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2697</w:t>
            </w:r>
          </w:p>
        </w:tc>
        <w:tc>
          <w:tcPr>
            <w:tcW w:w="349" w:type="pct"/>
            <w:tcBorders>
              <w:top w:val="nil"/>
              <w:bottom w:val="single" w:color="auto" w:sz="12" w:space="0"/>
            </w:tcBorders>
            <w:shd w:val="clear" w:color="auto" w:fill="DAEEF6"/>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32.5</w:t>
            </w:r>
          </w:p>
        </w:tc>
        <w:tc>
          <w:tcPr>
            <w:tcW w:w="400" w:type="pct"/>
            <w:tcBorders>
              <w:top w:val="nil"/>
              <w:bottom w:val="single" w:color="auto" w:sz="12" w:space="0"/>
            </w:tcBorders>
            <w:shd w:val="clear" w:color="auto" w:fill="DAEEF6"/>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2522</w:t>
            </w:r>
          </w:p>
        </w:tc>
        <w:tc>
          <w:tcPr>
            <w:tcW w:w="398" w:type="pct"/>
            <w:tcBorders>
              <w:top w:val="nil"/>
              <w:bottom w:val="single" w:color="auto" w:sz="12" w:space="0"/>
            </w:tcBorders>
            <w:shd w:val="clear" w:color="auto" w:fill="DAEEF6"/>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30.4</w:t>
            </w:r>
            <w:r>
              <w:rPr>
                <w:rFonts w:ascii="宋体" w:hAnsi="宋体" w:eastAsia="宋体"/>
                <w:b/>
                <w:color w:val="000000" w:themeColor="text1"/>
                <w:szCs w:val="21"/>
                <w:lang w:bidi="ar"/>
                <w14:textFill>
                  <w14:solidFill>
                    <w14:schemeClr w14:val="tx1"/>
                  </w14:solidFill>
                </w14:textFill>
              </w:rPr>
              <w:t xml:space="preserve"> </w:t>
            </w:r>
          </w:p>
        </w:tc>
        <w:tc>
          <w:tcPr>
            <w:tcW w:w="382" w:type="pct"/>
            <w:tcBorders>
              <w:top w:val="nil"/>
              <w:bottom w:val="single" w:color="auto" w:sz="12" w:space="0"/>
            </w:tcBorders>
            <w:shd w:val="clear" w:color="auto" w:fill="DAEEF6"/>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260</w:t>
            </w:r>
          </w:p>
        </w:tc>
        <w:tc>
          <w:tcPr>
            <w:tcW w:w="404" w:type="pct"/>
            <w:tcBorders>
              <w:top w:val="nil"/>
              <w:bottom w:val="single" w:color="auto" w:sz="12" w:space="0"/>
            </w:tcBorders>
            <w:shd w:val="clear" w:color="auto" w:fill="DAEEF6"/>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3.13</w:t>
            </w:r>
            <w:r>
              <w:rPr>
                <w:rFonts w:ascii="宋体" w:hAnsi="宋体" w:eastAsia="宋体"/>
                <w:b/>
                <w:color w:val="000000" w:themeColor="text1"/>
                <w:szCs w:val="21"/>
                <w:lang w:bidi="ar"/>
                <w14:textFill>
                  <w14:solidFill>
                    <w14:schemeClr w14:val="tx1"/>
                  </w14:solidFill>
                </w14:textFill>
              </w:rPr>
              <w:t xml:space="preserve"> </w:t>
            </w:r>
          </w:p>
        </w:tc>
        <w:tc>
          <w:tcPr>
            <w:tcW w:w="376" w:type="pct"/>
            <w:tcBorders>
              <w:top w:val="nil"/>
              <w:bottom w:val="single" w:color="auto" w:sz="12" w:space="0"/>
            </w:tcBorders>
            <w:shd w:val="clear" w:color="auto" w:fill="DAEEF6"/>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175</w:t>
            </w:r>
          </w:p>
        </w:tc>
        <w:tc>
          <w:tcPr>
            <w:tcW w:w="309" w:type="pct"/>
            <w:tcBorders>
              <w:top w:val="nil"/>
              <w:bottom w:val="single" w:color="auto" w:sz="12" w:space="0"/>
            </w:tcBorders>
            <w:shd w:val="clear" w:color="auto" w:fill="DAEEF6"/>
            <w:vAlign w:val="center"/>
          </w:tcPr>
          <w:p>
            <w:pPr>
              <w:jc w:val="center"/>
              <w:textAlignment w:val="center"/>
              <w:rPr>
                <w:rFonts w:ascii="宋体" w:hAnsi="宋体" w:eastAsia="宋体"/>
                <w:b/>
                <w:color w:val="000000" w:themeColor="text1"/>
                <w:szCs w:val="21"/>
                <w:lang w:bidi="ar"/>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2.1</w:t>
            </w:r>
          </w:p>
        </w:tc>
        <w:tc>
          <w:tcPr>
            <w:tcW w:w="285" w:type="pct"/>
            <w:tcBorders>
              <w:top w:val="nil"/>
              <w:bottom w:val="single" w:color="auto" w:sz="12" w:space="0"/>
            </w:tcBorders>
            <w:shd w:val="clear" w:color="auto" w:fill="DAEEF6"/>
            <w:vAlign w:val="center"/>
          </w:tcPr>
          <w:p>
            <w:pPr>
              <w:jc w:val="center"/>
              <w:textAlignment w:val="center"/>
              <w:rPr>
                <w:rFonts w:ascii="宋体" w:hAnsi="宋体" w:eastAsia="宋体"/>
                <w:bCs/>
                <w:color w:val="000000" w:themeColor="text1"/>
                <w:szCs w:val="21"/>
                <w:lang w:bidi="ar"/>
                <w14:textFill>
                  <w14:solidFill>
                    <w14:schemeClr w14:val="tx1"/>
                  </w14:solidFill>
                </w14:textFill>
              </w:rPr>
            </w:pPr>
            <w:r>
              <w:rPr>
                <w:rFonts w:hint="eastAsia" w:ascii="宋体" w:hAnsi="宋体" w:eastAsia="宋体"/>
                <w:bCs/>
                <w:color w:val="000000" w:themeColor="text1"/>
                <w:szCs w:val="21"/>
                <w:lang w:bidi="ar"/>
                <w14:textFill>
                  <w14:solidFill>
                    <w14:schemeClr w14:val="tx1"/>
                  </w14:solidFill>
                </w14:textFill>
              </w:rPr>
              <w:t>152</w:t>
            </w:r>
          </w:p>
        </w:tc>
        <w:tc>
          <w:tcPr>
            <w:tcW w:w="307" w:type="pct"/>
            <w:tcBorders>
              <w:top w:val="nil"/>
              <w:bottom w:val="single" w:color="auto" w:sz="12" w:space="0"/>
            </w:tcBorders>
            <w:shd w:val="clear" w:color="auto" w:fill="DAEEF6"/>
            <w:vAlign w:val="center"/>
          </w:tcPr>
          <w:p>
            <w:pPr>
              <w:jc w:val="center"/>
              <w:textAlignment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color w:val="000000" w:themeColor="text1"/>
                <w:szCs w:val="21"/>
                <w:lang w:bidi="ar"/>
                <w14:textFill>
                  <w14:solidFill>
                    <w14:schemeClr w14:val="tx1"/>
                  </w14:solidFill>
                </w14:textFill>
              </w:rPr>
              <w:t>1.8</w:t>
            </w:r>
            <w:r>
              <w:rPr>
                <w:rFonts w:ascii="宋体" w:hAnsi="宋体" w:eastAsia="宋体"/>
                <w:b/>
                <w:color w:val="000000" w:themeColor="text1"/>
                <w:szCs w:val="21"/>
                <w:lang w:bidi="ar"/>
                <w14:textFill>
                  <w14:solidFill>
                    <w14:schemeClr w14:val="tx1"/>
                  </w14:solidFill>
                </w14:textFill>
              </w:rPr>
              <w:t xml:space="preserve"> </w:t>
            </w:r>
          </w:p>
        </w:tc>
      </w:tr>
    </w:tbl>
    <w:p>
      <w:pPr>
        <w:spacing w:before="62" w:beforeLines="20"/>
        <w:rPr>
          <w:rFonts w:ascii="宋体" w:hAnsi="宋体" w:eastAsia="宋体"/>
          <w:color w:val="000000" w:themeColor="text1"/>
          <w:sz w:val="28"/>
          <w:szCs w:val="28"/>
          <w14:textFill>
            <w14:solidFill>
              <w14:schemeClr w14:val="tx1"/>
            </w14:solidFill>
          </w14:textFill>
        </w:rPr>
      </w:pPr>
      <w:bookmarkStart w:id="304" w:name="_Hlk90734858"/>
      <w:r>
        <w:rPr>
          <w:rFonts w:ascii="宋体" w:hAnsi="宋体" w:eastAsia="宋体"/>
          <w:b/>
          <w:bCs/>
          <w:color w:val="000000" w:themeColor="text1"/>
          <w:szCs w:val="21"/>
          <w14:textFill>
            <w14:solidFill>
              <w14:schemeClr w14:val="tx1"/>
            </w14:solidFill>
          </w14:textFill>
        </w:rPr>
        <w:t>数据来源：</w:t>
      </w:r>
      <w:r>
        <w:rPr>
          <w:rFonts w:ascii="宋体" w:hAnsi="宋体" w:eastAsia="宋体"/>
          <w:color w:val="000000" w:themeColor="text1"/>
          <w:szCs w:val="21"/>
          <w14:textFill>
            <w14:solidFill>
              <w14:schemeClr w14:val="tx1"/>
            </w14:solidFill>
          </w14:textFill>
        </w:rPr>
        <w:t>2021</w:t>
      </w:r>
      <w:r>
        <w:rPr>
          <w:rFonts w:hint="eastAsia" w:ascii="宋体" w:hAnsi="宋体" w:eastAsia="宋体"/>
          <w:color w:val="000000" w:themeColor="text1"/>
          <w:szCs w:val="21"/>
          <w14:textFill>
            <w14:solidFill>
              <w14:schemeClr w14:val="tx1"/>
            </w14:solidFill>
          </w14:textFill>
        </w:rPr>
        <w:t>年</w:t>
      </w:r>
      <w:r>
        <w:rPr>
          <w:rFonts w:ascii="宋体" w:hAnsi="宋体" w:eastAsia="宋体"/>
          <w:color w:val="000000" w:themeColor="text1"/>
          <w:szCs w:val="21"/>
          <w14:textFill>
            <w14:solidFill>
              <w14:schemeClr w14:val="tx1"/>
            </w14:solidFill>
          </w14:textFill>
        </w:rPr>
        <w:t>根据</w:t>
      </w:r>
      <w:r>
        <w:rPr>
          <w:rFonts w:hint="eastAsia" w:ascii="宋体" w:hAnsi="宋体" w:eastAsia="宋体"/>
          <w:color w:val="000000" w:themeColor="text1"/>
          <w:szCs w:val="21"/>
          <w14:textFill>
            <w14:solidFill>
              <w14:schemeClr w14:val="tx1"/>
            </w14:solidFill>
          </w14:textFill>
        </w:rPr>
        <w:t>83</w:t>
      </w:r>
      <w:r>
        <w:rPr>
          <w:rFonts w:ascii="宋体" w:hAnsi="宋体" w:eastAsia="宋体"/>
          <w:color w:val="000000" w:themeColor="text1"/>
          <w:szCs w:val="21"/>
          <w14:textFill>
            <w14:solidFill>
              <w14:schemeClr w14:val="tx1"/>
            </w14:solidFill>
          </w14:textFill>
        </w:rPr>
        <w:t>所院校填报数据计算所得。</w:t>
      </w:r>
    </w:p>
    <w:bookmarkEnd w:id="304"/>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305" w:name="_Toc91604679"/>
      <w:bookmarkStart w:id="306" w:name="_Toc94172201"/>
      <w:bookmarkStart w:id="307" w:name="_Toc91605003"/>
      <w:bookmarkStart w:id="308" w:name="_Toc91606520"/>
      <w:bookmarkStart w:id="309" w:name="_Toc94183444"/>
      <w:bookmarkStart w:id="310" w:name="_Toc94172342"/>
      <w:r>
        <w:rPr>
          <w:rFonts w:hint="eastAsia" w:ascii="仿宋_GB2312" w:hAnsi="仿宋_GB2312" w:eastAsia="仿宋_GB2312" w:cs="仿宋_GB2312"/>
          <w:b/>
          <w:bCs/>
          <w:color w:val="000000" w:themeColor="text1"/>
          <w:sz w:val="28"/>
          <w:szCs w:val="28"/>
          <w14:textFill>
            <w14:solidFill>
              <w14:schemeClr w14:val="tx1"/>
            </w14:solidFill>
          </w14:textFill>
        </w:rPr>
        <w:t>3.3.</w:t>
      </w:r>
      <w:r>
        <w:rPr>
          <w:rFonts w:ascii="仿宋_GB2312" w:hAnsi="仿宋_GB2312" w:eastAsia="仿宋_GB2312" w:cs="仿宋_GB2312"/>
          <w:b/>
          <w:bCs/>
          <w:color w:val="000000" w:themeColor="text1"/>
          <w:sz w:val="28"/>
          <w:szCs w:val="28"/>
          <w14:textFill>
            <w14:solidFill>
              <w14:schemeClr w14:val="tx1"/>
            </w14:solidFill>
          </w14:textFill>
        </w:rPr>
        <w:t>4</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建设高水平专业群，推动高职院校专业化特色化发展</w:t>
      </w:r>
      <w:bookmarkEnd w:id="305"/>
      <w:bookmarkEnd w:id="306"/>
      <w:bookmarkEnd w:id="307"/>
      <w:bookmarkEnd w:id="308"/>
      <w:bookmarkEnd w:id="309"/>
      <w:bookmarkEnd w:id="310"/>
    </w:p>
    <w:p>
      <w:pPr>
        <w:spacing w:after="156" w:afterLines="50" w:line="500"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为更好服务新旧动能转换等重大工程，适应产业结构调整升级对专业建设和人才培养需要，按照部省共建职业教育创新发展高地要求，山东省实施高等职业教育高水平专业群建设工程，引导高职院校优化专业结构和资源配置，推动“校校有特色”实现高质量发展。2</w:t>
      </w:r>
      <w:r>
        <w:rPr>
          <w:rFonts w:ascii="仿宋_GB2312" w:hAnsi="宋体" w:eastAsia="仿宋_GB2312"/>
          <w:color w:val="000000" w:themeColor="text1"/>
          <w:sz w:val="28"/>
          <w:szCs w:val="28"/>
          <w14:textFill>
            <w14:solidFill>
              <w14:schemeClr w14:val="tx1"/>
            </w14:solidFill>
          </w14:textFill>
        </w:rPr>
        <w:t>021</w:t>
      </w:r>
      <w:r>
        <w:rPr>
          <w:rFonts w:hint="eastAsia" w:ascii="仿宋_GB2312" w:hAnsi="宋体" w:eastAsia="仿宋_GB2312"/>
          <w:color w:val="000000" w:themeColor="text1"/>
          <w:sz w:val="28"/>
          <w:szCs w:val="28"/>
          <w14:textFill>
            <w14:solidFill>
              <w14:schemeClr w14:val="tx1"/>
            </w14:solidFill>
          </w14:textFill>
        </w:rPr>
        <w:t>年底，山东省立项建设</w:t>
      </w:r>
      <w:r>
        <w:rPr>
          <w:rFonts w:ascii="仿宋_GB2312" w:hAnsi="宋体" w:eastAsia="仿宋_GB2312"/>
          <w:color w:val="000000" w:themeColor="text1"/>
          <w:sz w:val="28"/>
          <w:szCs w:val="28"/>
          <w14:textFill>
            <w14:solidFill>
              <w14:schemeClr w14:val="tx1"/>
            </w14:solidFill>
          </w14:textFill>
        </w:rPr>
        <w:t>101</w:t>
      </w:r>
      <w:r>
        <w:rPr>
          <w:rFonts w:hint="eastAsia" w:ascii="仿宋_GB2312" w:hAnsi="宋体" w:eastAsia="仿宋_GB2312"/>
          <w:color w:val="000000" w:themeColor="text1"/>
          <w:sz w:val="28"/>
          <w:szCs w:val="28"/>
          <w14:textFill>
            <w14:solidFill>
              <w14:schemeClr w14:val="tx1"/>
            </w14:solidFill>
          </w14:textFill>
        </w:rPr>
        <w:t>个高水平专业群，共计投入财政资金</w:t>
      </w:r>
      <w:r>
        <w:rPr>
          <w:rFonts w:ascii="仿宋_GB2312" w:hAnsi="宋体" w:eastAsia="仿宋_GB2312"/>
          <w:color w:val="000000" w:themeColor="text1"/>
          <w:sz w:val="28"/>
          <w:szCs w:val="28"/>
          <w14:textFill>
            <w14:solidFill>
              <w14:schemeClr w14:val="tx1"/>
            </w14:solidFill>
          </w14:textFill>
        </w:rPr>
        <w:t>11</w:t>
      </w:r>
      <w:r>
        <w:rPr>
          <w:rFonts w:hint="eastAsia" w:ascii="仿宋_GB2312" w:hAnsi="宋体" w:eastAsia="仿宋_GB2312"/>
          <w:color w:val="000000" w:themeColor="text1"/>
          <w:sz w:val="28"/>
          <w:szCs w:val="28"/>
          <w14:textFill>
            <w14:solidFill>
              <w14:schemeClr w14:val="tx1"/>
            </w14:solidFill>
          </w14:textFill>
        </w:rPr>
        <w:t>亿多元。其中，1</w:t>
      </w:r>
      <w:r>
        <w:rPr>
          <w:rFonts w:ascii="仿宋_GB2312" w:hAnsi="宋体" w:eastAsia="仿宋_GB2312"/>
          <w:color w:val="000000" w:themeColor="text1"/>
          <w:sz w:val="28"/>
          <w:szCs w:val="28"/>
          <w14:textFill>
            <w14:solidFill>
              <w14:schemeClr w14:val="tx1"/>
            </w14:solidFill>
          </w14:textFill>
        </w:rPr>
        <w:t>9</w:t>
      </w:r>
      <w:r>
        <w:rPr>
          <w:rFonts w:hint="eastAsia" w:ascii="仿宋_GB2312" w:hAnsi="宋体" w:eastAsia="仿宋_GB2312"/>
          <w:color w:val="000000" w:themeColor="text1"/>
          <w:sz w:val="28"/>
          <w:szCs w:val="28"/>
          <w14:textFill>
            <w14:solidFill>
              <w14:schemeClr w14:val="tx1"/>
            </w14:solidFill>
          </w14:textFill>
        </w:rPr>
        <w:t>个专业群入选国家“双高计划”重点建设。总体形成了“优势专业引领、骨干专业带动、特色专业支撑”的专业组群发展架构，推动了专业链与产业链、创新链、人才链的有机融合。</w:t>
      </w:r>
    </w:p>
    <w:tbl>
      <w:tblPr>
        <w:tblStyle w:val="21"/>
        <w:tblW w:w="850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0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9" w:hRule="atLeast"/>
          <w:jc w:val="center"/>
        </w:trPr>
        <w:tc>
          <w:tcPr>
            <w:tcW w:w="8504" w:type="dxa"/>
            <w:tcBorders>
              <w:bottom w:val="single" w:color="FFFFFF" w:sz="4" w:space="0"/>
            </w:tcBorders>
            <w:shd w:val="clear" w:color="auto" w:fill="0070C0"/>
            <w:vAlign w:val="center"/>
          </w:tcPr>
          <w:p>
            <w:pPr>
              <w:spacing w:line="520" w:lineRule="exact"/>
              <w:outlineLvl w:val="1"/>
              <w:rPr>
                <w:rFonts w:ascii="楷体_GB2312" w:hAnsi="Times New Roman" w:eastAsia="楷体_GB2312" w:cs="Times New Roman"/>
                <w:color w:val="000000" w:themeColor="text1"/>
                <w:kern w:val="0"/>
                <w:sz w:val="28"/>
                <w:szCs w:val="28"/>
                <w14:textFill>
                  <w14:solidFill>
                    <w14:schemeClr w14:val="tx1"/>
                  </w14:solidFill>
                </w14:textFill>
              </w:rPr>
            </w:pPr>
            <w:bookmarkStart w:id="311" w:name="_Toc94172343"/>
            <w:bookmarkStart w:id="312" w:name="_Toc91605004"/>
            <w:bookmarkStart w:id="313" w:name="_Toc94172202"/>
            <w:bookmarkStart w:id="314" w:name="_Toc94183445"/>
            <w:r>
              <w:rPr>
                <w:rFonts w:hint="eastAsia" w:ascii="楷体_GB2312" w:hAnsi="黑体" w:eastAsia="楷体_GB2312" w:cs="黑体"/>
                <w:b/>
                <w:bCs/>
                <w:color w:val="FFFFFF" w:themeColor="background1"/>
                <w:sz w:val="28"/>
                <w:szCs w:val="28"/>
                <w14:textFill>
                  <w14:solidFill>
                    <w14:schemeClr w14:val="bg1"/>
                  </w14:solidFill>
                </w14:textFill>
              </w:rPr>
              <w:t>专栏3-2 成立高水平专业群建设联盟，搭建资源共享平台</w:t>
            </w:r>
            <w:bookmarkEnd w:id="311"/>
            <w:bookmarkEnd w:id="312"/>
            <w:bookmarkEnd w:id="313"/>
            <w:bookmarkEnd w:id="314"/>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504" w:type="dxa"/>
            <w:shd w:val="clear" w:color="auto" w:fill="CDEAFF"/>
          </w:tcPr>
          <w:p>
            <w:pPr>
              <w:spacing w:after="62" w:afterLines="20" w:line="440" w:lineRule="exact"/>
              <w:ind w:firstLine="482"/>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70C0"/>
                <w:sz w:val="24"/>
                <w:szCs w:val="24"/>
              </w:rPr>
              <w:t>山东畜牧兽医职业学院</w:t>
            </w:r>
            <w:r>
              <w:rPr>
                <w:rFonts w:hint="eastAsia" w:ascii="Times New Roman" w:hAnsi="Times New Roman" w:eastAsia="仿宋_GB2312" w:cs="Times New Roman"/>
                <w:color w:val="000000" w:themeColor="text1"/>
                <w:sz w:val="24"/>
                <w:szCs w:val="24"/>
                <w14:textFill>
                  <w14:solidFill>
                    <w14:schemeClr w14:val="tx1"/>
                  </w14:solidFill>
                </w14:textFill>
              </w:rPr>
              <w:t>联合江苏农牧科技职业学院等</w:t>
            </w:r>
            <w:r>
              <w:rPr>
                <w:rFonts w:ascii="Times New Roman" w:hAnsi="Times New Roman" w:eastAsia="仿宋_GB2312" w:cs="Times New Roman"/>
                <w:color w:val="000000" w:themeColor="text1"/>
                <w:sz w:val="24"/>
                <w:szCs w:val="24"/>
                <w14:textFill>
                  <w14:solidFill>
                    <w14:schemeClr w14:val="tx1"/>
                  </w14:solidFill>
                </w14:textFill>
              </w:rPr>
              <w:t>6所“双高计划”建设院校</w:t>
            </w:r>
            <w:r>
              <w:rPr>
                <w:rFonts w:hint="eastAsia" w:ascii="Times New Roman" w:hAnsi="Times New Roman" w:eastAsia="仿宋_GB2312" w:cs="Times New Roman"/>
                <w:color w:val="000000" w:themeColor="text1"/>
                <w:sz w:val="24"/>
                <w:szCs w:val="24"/>
                <w14:textFill>
                  <w14:solidFill>
                    <w14:schemeClr w14:val="tx1"/>
                  </w14:solidFill>
                </w14:textFill>
              </w:rPr>
              <w:t>牵头</w:t>
            </w:r>
            <w:r>
              <w:rPr>
                <w:rFonts w:ascii="Times New Roman" w:hAnsi="Times New Roman" w:eastAsia="仿宋_GB2312" w:cs="Times New Roman"/>
                <w:color w:val="000000" w:themeColor="text1"/>
                <w:sz w:val="24"/>
                <w:szCs w:val="24"/>
                <w14:textFill>
                  <w14:solidFill>
                    <w14:schemeClr w14:val="tx1"/>
                  </w14:solidFill>
                </w14:textFill>
              </w:rPr>
              <w:t>成立全国畜牧兽医高水平专业群建设联盟，</w:t>
            </w:r>
            <w:r>
              <w:rPr>
                <w:rFonts w:hint="eastAsia" w:ascii="Times New Roman" w:hAnsi="Times New Roman" w:eastAsia="仿宋_GB2312" w:cs="Times New Roman"/>
                <w:color w:val="000000" w:themeColor="text1"/>
                <w:sz w:val="24"/>
                <w:szCs w:val="24"/>
                <w14:textFill>
                  <w14:solidFill>
                    <w14:schemeClr w14:val="tx1"/>
                  </w14:solidFill>
                </w14:textFill>
              </w:rPr>
              <w:t>共有成员单位</w:t>
            </w:r>
            <w:r>
              <w:rPr>
                <w:rFonts w:ascii="Times New Roman" w:hAnsi="Times New Roman" w:eastAsia="仿宋_GB2312" w:cs="Times New Roman"/>
                <w:color w:val="000000" w:themeColor="text1"/>
                <w:sz w:val="24"/>
                <w:szCs w:val="24"/>
                <w14:textFill>
                  <w14:solidFill>
                    <w14:schemeClr w14:val="tx1"/>
                  </w14:solidFill>
                </w14:textFill>
              </w:rPr>
              <w:t>40家</w:t>
            </w:r>
            <w:r>
              <w:rPr>
                <w:rFonts w:hint="eastAsia" w:ascii="Times New Roman" w:hAnsi="Times New Roman" w:eastAsia="仿宋_GB2312" w:cs="Times New Roman"/>
                <w:color w:val="000000" w:themeColor="text1"/>
                <w:sz w:val="24"/>
                <w:szCs w:val="24"/>
                <w14:textFill>
                  <w14:solidFill>
                    <w14:schemeClr w14:val="tx1"/>
                  </w14:solidFill>
                </w14:textFill>
              </w:rPr>
              <w:t>，汇聚政、校、行、企等多方力量，搭建起畜牧兽医专业群建设资源共享平台，发挥联盟资源集聚效应，实现资源整合和共享效益最大化，推动教育链、人才链、产业链、创新链有机衔接，形成人才培养合力，</w:t>
            </w:r>
            <w:r>
              <w:rPr>
                <w:rFonts w:ascii="Times New Roman" w:hAnsi="Times New Roman" w:eastAsia="仿宋_GB2312" w:cs="Times New Roman"/>
                <w:color w:val="000000" w:themeColor="text1"/>
                <w:sz w:val="24"/>
                <w:szCs w:val="24"/>
                <w14:textFill>
                  <w14:solidFill>
                    <w14:schemeClr w14:val="tx1"/>
                  </w14:solidFill>
                </w14:textFill>
              </w:rPr>
              <w:t>创新人才培养模式，提高育人质量，打造高水平的职业教育品牌。</w:t>
            </w:r>
          </w:p>
        </w:tc>
      </w:tr>
    </w:tbl>
    <w:p>
      <w:pPr>
        <w:spacing w:line="520" w:lineRule="exact"/>
        <w:ind w:firstLine="567"/>
        <w:outlineLvl w:val="1"/>
        <w:rPr>
          <w:rFonts w:ascii="楷体_GB2312" w:hAnsi="黑体" w:eastAsia="楷体_GB2312" w:cs="黑体"/>
          <w:bCs/>
          <w:color w:val="000000" w:themeColor="text1"/>
          <w:sz w:val="28"/>
          <w:szCs w:val="28"/>
          <w14:textFill>
            <w14:solidFill>
              <w14:schemeClr w14:val="tx1"/>
            </w14:solidFill>
          </w14:textFill>
        </w:rPr>
      </w:pPr>
      <w:bookmarkStart w:id="315" w:name="_Toc94183446"/>
      <w:bookmarkStart w:id="316" w:name="_Toc94172203"/>
      <w:bookmarkStart w:id="317" w:name="_Toc94172344"/>
      <w:r>
        <w:rPr>
          <w:rFonts w:hint="eastAsia" w:ascii="楷体_GB2312" w:hAnsi="黑体" w:eastAsia="楷体_GB2312" w:cs="黑体"/>
          <w:bCs/>
          <w:color w:val="000000" w:themeColor="text1"/>
          <w:sz w:val="28"/>
          <w:szCs w:val="28"/>
          <w14:textFill>
            <w14:solidFill>
              <w14:schemeClr w14:val="tx1"/>
            </w14:solidFill>
          </w14:textFill>
        </w:rPr>
        <w:t>3.</w:t>
      </w:r>
      <w:r>
        <w:rPr>
          <w:rFonts w:ascii="楷体_GB2312" w:hAnsi="黑体" w:eastAsia="楷体_GB2312" w:cs="黑体"/>
          <w:bCs/>
          <w:color w:val="000000" w:themeColor="text1"/>
          <w:sz w:val="28"/>
          <w:szCs w:val="28"/>
          <w14:textFill>
            <w14:solidFill>
              <w14:schemeClr w14:val="tx1"/>
            </w14:solidFill>
          </w14:textFill>
        </w:rPr>
        <w:t>4</w:t>
      </w:r>
      <w:r>
        <w:rPr>
          <w:rFonts w:hint="eastAsia" w:ascii="楷体_GB2312" w:hAnsi="黑体" w:eastAsia="楷体_GB2312" w:cs="黑体"/>
          <w:bCs/>
          <w:color w:val="000000" w:themeColor="text1"/>
          <w:sz w:val="28"/>
          <w:szCs w:val="28"/>
          <w14:textFill>
            <w14:solidFill>
              <w14:schemeClr w14:val="tx1"/>
            </w14:solidFill>
          </w14:textFill>
        </w:rPr>
        <w:t>课程改革</w:t>
      </w:r>
      <w:bookmarkEnd w:id="315"/>
      <w:bookmarkEnd w:id="316"/>
      <w:bookmarkEnd w:id="317"/>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318" w:name="_Toc91604682"/>
      <w:bookmarkStart w:id="319" w:name="_Toc91605006"/>
      <w:bookmarkStart w:id="320" w:name="_Toc91606523"/>
      <w:bookmarkStart w:id="321" w:name="_Toc94172204"/>
      <w:bookmarkStart w:id="322" w:name="_Toc94183447"/>
      <w:bookmarkStart w:id="323" w:name="_Toc94172345"/>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4</w:t>
      </w:r>
      <w:r>
        <w:rPr>
          <w:rFonts w:hint="eastAsia" w:ascii="仿宋_GB2312" w:hAnsi="仿宋_GB2312" w:eastAsia="仿宋_GB2312" w:cs="仿宋_GB2312"/>
          <w:b/>
          <w:bCs/>
          <w:color w:val="000000" w:themeColor="text1"/>
          <w:sz w:val="28"/>
          <w:szCs w:val="28"/>
          <w14:textFill>
            <w14:solidFill>
              <w14:schemeClr w14:val="tx1"/>
            </w14:solidFill>
          </w14:textFill>
        </w:rPr>
        <w:t>.</w:t>
      </w:r>
      <w:r>
        <w:rPr>
          <w:rFonts w:ascii="仿宋_GB2312" w:hAnsi="仿宋_GB2312" w:eastAsia="仿宋_GB2312" w:cs="仿宋_GB2312"/>
          <w:b/>
          <w:bCs/>
          <w:color w:val="000000" w:themeColor="text1"/>
          <w:sz w:val="28"/>
          <w:szCs w:val="28"/>
          <w14:textFill>
            <w14:solidFill>
              <w14:schemeClr w14:val="tx1"/>
            </w14:solidFill>
          </w14:textFill>
        </w:rPr>
        <w:t xml:space="preserve">1  </w:t>
      </w:r>
      <w:r>
        <w:rPr>
          <w:rFonts w:hint="eastAsia" w:ascii="仿宋_GB2312" w:hAnsi="仿宋_GB2312" w:eastAsia="仿宋_GB2312" w:cs="仿宋_GB2312"/>
          <w:b/>
          <w:bCs/>
          <w:color w:val="000000" w:themeColor="text1"/>
          <w:sz w:val="28"/>
          <w:szCs w:val="28"/>
          <w14:textFill>
            <w14:solidFill>
              <w14:schemeClr w14:val="tx1"/>
            </w14:solidFill>
          </w14:textFill>
        </w:rPr>
        <w:t>加强“三全育人”“课程思政”</w:t>
      </w:r>
      <w:bookmarkEnd w:id="318"/>
      <w:bookmarkEnd w:id="319"/>
      <w:bookmarkEnd w:id="320"/>
      <w:bookmarkEnd w:id="321"/>
      <w:bookmarkEnd w:id="322"/>
      <w:bookmarkEnd w:id="323"/>
    </w:p>
    <w:p>
      <w:pPr>
        <w:spacing w:line="520" w:lineRule="exact"/>
        <w:ind w:firstLine="562"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s="Times New Roman"/>
          <w:b/>
          <w:bCs/>
          <w:color w:val="000000" w:themeColor="text1"/>
          <w:kern w:val="0"/>
          <w:sz w:val="28"/>
          <w:szCs w:val="28"/>
          <w14:textFill>
            <w14:solidFill>
              <w14:schemeClr w14:val="tx1"/>
            </w14:solidFill>
          </w14:textFill>
        </w:rPr>
        <w:t>全面落实“三全育人”。</w:t>
      </w:r>
      <w:r>
        <w:rPr>
          <w:rFonts w:hint="eastAsia" w:ascii="Times New Roman" w:hAnsi="Times New Roman" w:eastAsia="仿宋_GB2312"/>
          <w:color w:val="000000" w:themeColor="text1"/>
          <w:sz w:val="28"/>
          <w:szCs w:val="28"/>
          <w14:textFill>
            <w14:solidFill>
              <w14:schemeClr w14:val="tx1"/>
            </w14:solidFill>
          </w14:textFill>
        </w:rPr>
        <w:t>山东高职教育全面落实党的教育方针，坚持立德树人根本任务，始终坚守“为党育人、为国育才”使命，践行“思政课是第一课、马克思主义学院是第一学院”的建设理念，积极推动习近平新时代中国特色社会主义思想进教材、进课堂、进头脑，将社会主义核心价值观教育、党史学习教育、法制教育、廉洁教育等全面融入思政教育，构建起“三全育人”的大思政格局。2</w:t>
      </w:r>
      <w:r>
        <w:rPr>
          <w:rFonts w:ascii="Times New Roman" w:hAnsi="Times New Roman" w:eastAsia="仿宋_GB2312"/>
          <w:color w:val="000000" w:themeColor="text1"/>
          <w:sz w:val="28"/>
          <w:szCs w:val="28"/>
          <w14:textFill>
            <w14:solidFill>
              <w14:schemeClr w14:val="tx1"/>
            </w14:solidFill>
          </w14:textFill>
        </w:rPr>
        <w:t>020</w:t>
      </w:r>
      <w:r>
        <w:rPr>
          <w:rFonts w:hint="eastAsia" w:ascii="Times New Roman" w:hAnsi="Times New Roman" w:eastAsia="仿宋_GB2312"/>
          <w:color w:val="000000" w:themeColor="text1"/>
          <w:sz w:val="28"/>
          <w:szCs w:val="28"/>
          <w14:textFill>
            <w14:solidFill>
              <w14:schemeClr w14:val="tx1"/>
            </w14:solidFill>
          </w14:textFill>
        </w:rPr>
        <w:t>年高职院校</w:t>
      </w:r>
      <w:r>
        <w:rPr>
          <w:rFonts w:ascii="Times New Roman" w:hAnsi="Times New Roman" w:eastAsia="仿宋_GB2312"/>
          <w:color w:val="000000" w:themeColor="text1"/>
          <w:sz w:val="28"/>
          <w:szCs w:val="28"/>
          <w14:textFill>
            <w14:solidFill>
              <w14:schemeClr w14:val="tx1"/>
            </w14:solidFill>
          </w14:textFill>
        </w:rPr>
        <w:t>14门思想政治理论课</w:t>
      </w:r>
      <w:r>
        <w:rPr>
          <w:rFonts w:hint="eastAsia" w:ascii="Times New Roman" w:hAnsi="Times New Roman" w:eastAsia="仿宋_GB2312"/>
          <w:color w:val="000000" w:themeColor="text1"/>
          <w:sz w:val="28"/>
          <w:szCs w:val="28"/>
          <w14:textFill>
            <w14:solidFill>
              <w14:schemeClr w14:val="tx1"/>
            </w14:solidFill>
          </w14:textFill>
        </w:rPr>
        <w:t>获评</w:t>
      </w:r>
      <w:r>
        <w:rPr>
          <w:rFonts w:ascii="Times New Roman" w:hAnsi="Times New Roman" w:eastAsia="仿宋_GB2312"/>
          <w:color w:val="000000" w:themeColor="text1"/>
          <w:sz w:val="28"/>
          <w:szCs w:val="28"/>
          <w14:textFill>
            <w14:solidFill>
              <w14:schemeClr w14:val="tx1"/>
            </w14:solidFill>
          </w14:textFill>
        </w:rPr>
        <w:t>山东省</w:t>
      </w:r>
      <w:r>
        <w:rPr>
          <w:rFonts w:hint="eastAsia" w:ascii="Times New Roman" w:hAnsi="Times New Roman" w:eastAsia="仿宋_GB2312"/>
          <w:color w:val="000000" w:themeColor="text1"/>
          <w:sz w:val="28"/>
          <w:szCs w:val="28"/>
          <w14:textFill>
            <w14:solidFill>
              <w14:schemeClr w14:val="tx1"/>
            </w14:solidFill>
          </w14:textFill>
        </w:rPr>
        <w:t>首批</w:t>
      </w:r>
      <w:r>
        <w:rPr>
          <w:rFonts w:ascii="Times New Roman" w:hAnsi="Times New Roman" w:eastAsia="仿宋_GB2312"/>
          <w:color w:val="000000" w:themeColor="text1"/>
          <w:sz w:val="28"/>
          <w:szCs w:val="28"/>
          <w14:textFill>
            <w14:solidFill>
              <w14:schemeClr w14:val="tx1"/>
            </w14:solidFill>
          </w14:textFill>
        </w:rPr>
        <w:t>思政“金课”</w:t>
      </w:r>
      <w:r>
        <w:rPr>
          <w:rFonts w:hint="eastAsia" w:ascii="Times New Roman" w:hAnsi="Times New Roman" w:eastAsia="仿宋_GB2312"/>
          <w:color w:val="000000" w:themeColor="text1"/>
          <w:sz w:val="28"/>
          <w:szCs w:val="28"/>
          <w14:textFill>
            <w14:solidFill>
              <w14:schemeClr w14:val="tx1"/>
            </w14:solidFill>
          </w14:textFill>
        </w:rPr>
        <w:t>。</w:t>
      </w:r>
      <w:r>
        <w:rPr>
          <w:rFonts w:hint="eastAsia"/>
          <w:color w:val="000000" w:themeColor="text1"/>
          <w14:textFill>
            <w14:solidFill>
              <w14:schemeClr w14:val="tx1"/>
            </w14:solidFill>
          </w14:textFill>
        </w:rPr>
        <w:t xml:space="preserve"> </w:t>
      </w:r>
    </w:p>
    <w:p>
      <w:pPr>
        <w:spacing w:line="520" w:lineRule="exact"/>
        <w:ind w:firstLine="562" w:firstLineChars="200"/>
        <w:rPr>
          <w:rFonts w:ascii="仿宋_GB2312"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s="Times New Roman"/>
          <w:b/>
          <w:bCs/>
          <w:color w:val="000000" w:themeColor="text1"/>
          <w:kern w:val="0"/>
          <w:sz w:val="28"/>
          <w:szCs w:val="28"/>
          <w14:textFill>
            <w14:solidFill>
              <w14:schemeClr w14:val="tx1"/>
            </w14:solidFill>
          </w14:textFill>
        </w:rPr>
        <w:t>稳步推进课程思政。</w:t>
      </w:r>
      <w:r>
        <w:rPr>
          <w:rFonts w:hint="eastAsia" w:ascii="仿宋_GB2312" w:hAnsi="Times New Roman" w:eastAsia="仿宋_GB2312"/>
          <w:color w:val="000000" w:themeColor="text1"/>
          <w:sz w:val="28"/>
          <w:szCs w:val="28"/>
          <w14:textFill>
            <w14:solidFill>
              <w14:schemeClr w14:val="tx1"/>
            </w14:solidFill>
          </w14:textFill>
        </w:rPr>
        <w:t>研究制定《关于深入推进高等学校课程思政建设的实施意见》，引导各高职院校成立课程思政教学研究中心，健全工作机制。探索构建公共基础课、专业课、实践课“三位一体”的课程思政教学体系，深挖优秀传统文化、红色文化和海洋文化精髓，有机融入课程、教材、植入大学生文化基因，挖掘每门课程蕴含的思政元素，保证各类课程与思政课紧密结合、同向同行，打造高校课程思政建设山东品牌。</w:t>
      </w:r>
    </w:p>
    <w:p>
      <w:pPr>
        <w:spacing w:line="52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实施课程思政项目建设工程，推进课程思政高质量建设，充分发挥教师队伍“主力军”、课程建设“主阵地”、课程教学“主渠道”作用，遴选山东学校思政课教师年度人物和山东高校辅导员年度人物，强化榜样作用。发挥示范项目的引领辐射功能，遴选</w:t>
      </w:r>
      <w:r>
        <w:rPr>
          <w:rFonts w:hint="eastAsia" w:ascii="仿宋_GB2312" w:hAnsi="Times New Roman" w:eastAsia="仿宋_GB2312" w:cs="Times New Roman"/>
          <w:color w:val="000000" w:themeColor="text1"/>
          <w:sz w:val="28"/>
          <w:szCs w:val="28"/>
          <w14:textFill>
            <w14:solidFill>
              <w14:schemeClr w14:val="tx1"/>
            </w14:solidFill>
          </w14:textFill>
        </w:rPr>
        <w:t>135</w:t>
      </w:r>
      <w:r>
        <w:rPr>
          <w:rFonts w:hint="eastAsia" w:ascii="仿宋_GB2312" w:hAnsi="Times New Roman" w:eastAsia="仿宋_GB2312"/>
          <w:color w:val="000000" w:themeColor="text1"/>
          <w:sz w:val="28"/>
          <w:szCs w:val="28"/>
          <w14:textFill>
            <w14:solidFill>
              <w14:schemeClr w14:val="tx1"/>
            </w14:solidFill>
          </w14:textFill>
        </w:rPr>
        <w:t>门省级职业教育课程思政示范课程（高职），</w:t>
      </w:r>
      <w:r>
        <w:rPr>
          <w:rFonts w:hint="eastAsia" w:ascii="仿宋_GB2312" w:hAnsi="Times New Roman" w:eastAsia="仿宋_GB2312" w:cs="Times New Roman"/>
          <w:color w:val="000000" w:themeColor="text1"/>
          <w:sz w:val="28"/>
          <w:szCs w:val="28"/>
          <w14:textFill>
            <w14:solidFill>
              <w14:schemeClr w14:val="tx1"/>
            </w14:solidFill>
          </w14:textFill>
        </w:rPr>
        <w:t>7</w:t>
      </w:r>
      <w:r>
        <w:rPr>
          <w:rFonts w:hint="eastAsia" w:ascii="仿宋_GB2312" w:hAnsi="Times New Roman" w:eastAsia="仿宋_GB2312"/>
          <w:color w:val="000000" w:themeColor="text1"/>
          <w:sz w:val="28"/>
          <w:szCs w:val="28"/>
          <w14:textFill>
            <w14:solidFill>
              <w14:schemeClr w14:val="tx1"/>
            </w14:solidFill>
          </w14:textFill>
        </w:rPr>
        <w:t>个省级职业教育课程思政教学研究示范中心（高职）；同时推荐职业院校</w:t>
      </w:r>
      <w:r>
        <w:rPr>
          <w:rFonts w:hint="eastAsia" w:ascii="仿宋_GB2312" w:hAnsi="Times New Roman" w:eastAsia="仿宋_GB2312" w:cs="Times New Roman"/>
          <w:color w:val="000000" w:themeColor="text1"/>
          <w:sz w:val="28"/>
          <w:szCs w:val="28"/>
          <w14:textFill>
            <w14:solidFill>
              <w14:schemeClr w14:val="tx1"/>
            </w14:solidFill>
          </w14:textFill>
        </w:rPr>
        <w:t>41</w:t>
      </w:r>
      <w:r>
        <w:rPr>
          <w:rFonts w:hint="eastAsia" w:ascii="仿宋_GB2312" w:hAnsi="Times New Roman" w:eastAsia="仿宋_GB2312"/>
          <w:color w:val="000000" w:themeColor="text1"/>
          <w:sz w:val="28"/>
          <w:szCs w:val="28"/>
          <w14:textFill>
            <w14:solidFill>
              <w14:schemeClr w14:val="tx1"/>
            </w14:solidFill>
          </w14:textFill>
        </w:rPr>
        <w:t>门课程思政示范课程参与国家项目遴选，</w:t>
      </w:r>
      <w:r>
        <w:rPr>
          <w:rFonts w:hint="eastAsia" w:ascii="仿宋_GB2312" w:hAnsi="Times New Roman" w:eastAsia="仿宋_GB2312" w:cs="Times New Roman"/>
          <w:color w:val="000000" w:themeColor="text1"/>
          <w:sz w:val="28"/>
          <w:szCs w:val="28"/>
          <w14:textFill>
            <w14:solidFill>
              <w14:schemeClr w14:val="tx1"/>
            </w14:solidFill>
          </w14:textFill>
        </w:rPr>
        <w:t>16</w:t>
      </w:r>
      <w:r>
        <w:rPr>
          <w:rFonts w:hint="eastAsia" w:ascii="仿宋_GB2312" w:hAnsi="Times New Roman" w:eastAsia="仿宋_GB2312"/>
          <w:color w:val="000000" w:themeColor="text1"/>
          <w:sz w:val="28"/>
          <w:szCs w:val="28"/>
          <w14:textFill>
            <w14:solidFill>
              <w14:schemeClr w14:val="tx1"/>
            </w14:solidFill>
          </w14:textFill>
        </w:rPr>
        <w:t>门课程获评国家级课程思政示范项目，山东商业职业技术学院获批国家级课程思政教学研究中心。深化课程思政理论研究，</w:t>
      </w:r>
      <w:r>
        <w:rPr>
          <w:rFonts w:hint="eastAsia" w:ascii="仿宋_GB2312" w:hAnsi="Times New Roman" w:eastAsia="仿宋_GB2312" w:cs="Times New Roman"/>
          <w:color w:val="000000" w:themeColor="text1"/>
          <w:sz w:val="28"/>
          <w:szCs w:val="28"/>
          <w14:textFill>
            <w14:solidFill>
              <w14:schemeClr w14:val="tx1"/>
            </w14:solidFill>
          </w14:textFill>
        </w:rPr>
        <w:t>2</w:t>
      </w:r>
      <w:r>
        <w:rPr>
          <w:rFonts w:hint="eastAsia" w:ascii="仿宋_GB2312" w:hAnsi="Times New Roman" w:eastAsia="仿宋_GB2312"/>
          <w:color w:val="000000" w:themeColor="text1"/>
          <w:sz w:val="28"/>
          <w:szCs w:val="28"/>
          <w14:textFill>
            <w14:solidFill>
              <w14:schemeClr w14:val="tx1"/>
            </w14:solidFill>
          </w14:textFill>
        </w:rPr>
        <w:t>所高职院校入选国家级高校思想政治理论课教师研究专项。</w:t>
      </w:r>
    </w:p>
    <w:tbl>
      <w:tblPr>
        <w:tblStyle w:val="21"/>
        <w:tblW w:w="8635"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63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89" w:hRule="atLeast"/>
          <w:jc w:val="center"/>
        </w:trPr>
        <w:tc>
          <w:tcPr>
            <w:tcW w:w="8635" w:type="dxa"/>
            <w:tcBorders>
              <w:bottom w:val="single" w:color="FFFFFF" w:sz="4" w:space="0"/>
            </w:tcBorders>
            <w:shd w:val="clear" w:color="auto" w:fill="0070C0"/>
            <w:vAlign w:val="center"/>
          </w:tcPr>
          <w:p>
            <w:pPr>
              <w:spacing w:line="520" w:lineRule="exact"/>
              <w:outlineLvl w:val="1"/>
              <w:rPr>
                <w:rFonts w:ascii="楷体_GB2312" w:hAnsi="Times New Roman" w:eastAsia="楷体_GB2312" w:cs="Times New Roman"/>
                <w:color w:val="000000" w:themeColor="text1"/>
                <w:kern w:val="0"/>
                <w:sz w:val="28"/>
                <w:szCs w:val="28"/>
                <w14:textFill>
                  <w14:solidFill>
                    <w14:schemeClr w14:val="tx1"/>
                  </w14:solidFill>
                </w14:textFill>
              </w:rPr>
            </w:pPr>
            <w:bookmarkStart w:id="324" w:name="_Toc94172346"/>
            <w:bookmarkStart w:id="325" w:name="_Toc94183448"/>
            <w:bookmarkStart w:id="326" w:name="_Toc94172205"/>
            <w:bookmarkStart w:id="327" w:name="_Toc91605007"/>
            <w:r>
              <w:rPr>
                <w:rFonts w:hint="eastAsia" w:ascii="楷体_GB2312" w:hAnsi="黑体" w:eastAsia="楷体_GB2312" w:cs="黑体"/>
                <w:b/>
                <w:bCs/>
                <w:color w:val="FFFFFF" w:themeColor="background1"/>
                <w:sz w:val="28"/>
                <w:szCs w:val="28"/>
                <w14:textFill>
                  <w14:solidFill>
                    <w14:schemeClr w14:val="bg1"/>
                  </w14:solidFill>
                </w14:textFill>
              </w:rPr>
              <w:t>专栏3-3 三全育人思政课程与课程思政建设结硕果</w:t>
            </w:r>
            <w:bookmarkEnd w:id="324"/>
            <w:bookmarkEnd w:id="325"/>
            <w:bookmarkEnd w:id="326"/>
            <w:bookmarkEnd w:id="327"/>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973" w:hRule="atLeast"/>
          <w:jc w:val="center"/>
        </w:trPr>
        <w:tc>
          <w:tcPr>
            <w:tcW w:w="8635" w:type="dxa"/>
            <w:shd w:val="clear" w:color="auto" w:fill="CDEAFF"/>
          </w:tcPr>
          <w:p>
            <w:pPr>
              <w:spacing w:line="480" w:lineRule="exact"/>
              <w:ind w:firstLine="561"/>
              <w:rPr>
                <w:rFonts w:ascii="仿宋_GB2312"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70C0"/>
                <w:sz w:val="24"/>
                <w:szCs w:val="24"/>
              </w:rPr>
              <w:t>山东理工职业学院</w:t>
            </w:r>
            <w:r>
              <w:rPr>
                <w:rFonts w:hint="eastAsia" w:ascii="仿宋_GB2312" w:hAnsi="Times New Roman" w:eastAsia="仿宋_GB2312" w:cs="Times New Roman"/>
                <w:color w:val="000000" w:themeColor="text1"/>
                <w:sz w:val="24"/>
                <w:szCs w:val="24"/>
                <w14:textFill>
                  <w14:solidFill>
                    <w14:schemeClr w14:val="tx1"/>
                  </w14:solidFill>
                </w14:textFill>
              </w:rPr>
              <w:t>通过强化体系建设、要素融合、分类施策、教研贯通，思想政治教育贯穿人才培养全过程，推进课程思政改革创新、坚持分类指导，将专业教学与思政德育有机融合，挖掘专业课程中的思政元素和 “孔孟之乡”文化资源，专业教育与思政教育有机融合、润物无声。获批省级课程思政示范课8门，立项数位列全省第一。2门课程入选国家级课程思政示范项目。</w:t>
            </w:r>
          </w:p>
          <w:p>
            <w:pPr>
              <w:spacing w:line="480" w:lineRule="exact"/>
              <w:ind w:firstLine="561"/>
              <w:rPr>
                <w:rFonts w:ascii="仿宋_GB2312"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70C0"/>
                <w:sz w:val="24"/>
                <w:szCs w:val="24"/>
              </w:rPr>
              <w:t>滨州职业学院</w:t>
            </w:r>
            <w:r>
              <w:rPr>
                <w:rFonts w:hint="eastAsia" w:ascii="仿宋_GB2312" w:hAnsi="Times New Roman" w:eastAsia="仿宋_GB2312" w:cs="Times New Roman"/>
                <w:color w:val="000000" w:themeColor="text1"/>
                <w:sz w:val="24"/>
                <w:szCs w:val="24"/>
                <w14:textFill>
                  <w14:solidFill>
                    <w14:schemeClr w14:val="tx1"/>
                  </w14:solidFill>
                </w14:textFill>
              </w:rPr>
              <w:t>坚持“价值引领，多方联动”课程思政育人理念，挖掘专业思政元素，融合滨州革命老区红色精神和优秀传统文化，无痕植入教育教学全过程。通过教材建设，开展名师工程，组建教学团队等系列思政育人系列活动，推动全院47个专业、1200余门课程思政建设和1000余名教师思政育人能力提升，实现了“三全育人”的大思政格局。</w:t>
            </w:r>
          </w:p>
          <w:p>
            <w:pPr>
              <w:spacing w:line="480" w:lineRule="exact"/>
              <w:ind w:firstLine="561"/>
              <w:rPr>
                <w:rFonts w:ascii="仿宋_GB2312"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70C0"/>
                <w:sz w:val="24"/>
                <w:szCs w:val="24"/>
              </w:rPr>
              <w:t>山东商业职业技术学院</w:t>
            </w:r>
            <w:r>
              <w:rPr>
                <w:rFonts w:hint="eastAsia" w:ascii="仿宋_GB2312" w:hAnsi="Times New Roman" w:eastAsia="仿宋_GB2312" w:cs="Times New Roman"/>
                <w:color w:val="000000" w:themeColor="text1"/>
                <w:sz w:val="24"/>
                <w:szCs w:val="24"/>
                <w14:textFill>
                  <w14:solidFill>
                    <w14:schemeClr w14:val="tx1"/>
                  </w14:solidFill>
                </w14:textFill>
              </w:rPr>
              <w:t>高度重视思想政治教育工作，把军训作为大学生第一堂必修课，将“党建</w:t>
            </w:r>
            <w:r>
              <w:rPr>
                <w:rFonts w:ascii="仿宋_GB2312" w:hAnsi="Times New Roman" w:eastAsia="仿宋_GB2312" w:cs="Times New Roman"/>
                <w:color w:val="000000" w:themeColor="text1"/>
                <w:sz w:val="24"/>
                <w:szCs w:val="24"/>
                <w14:textFill>
                  <w14:solidFill>
                    <w14:schemeClr w14:val="tx1"/>
                  </w14:solidFill>
                </w14:textFill>
              </w:rPr>
              <w:t>+思政”教育融入新生军训，统筹策划了新生特色军训汇演，切实让党史学习教育“实起来”“活起来”“亮起来”。军训汇演的视频在社交媒体上广泛传播，受到了人民日报、央视新闻、中国青年报等上百家媒体的点赞、报道和关注，成为全国高校军训汇演天花板，发挥了示范和引领作用。</w:t>
            </w:r>
          </w:p>
          <w:p>
            <w:pPr>
              <w:spacing w:line="480" w:lineRule="exact"/>
              <w:ind w:firstLine="561"/>
              <w:rPr>
                <w:rFonts w:ascii="仿宋_GB2312"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70C0"/>
                <w:sz w:val="24"/>
                <w:szCs w:val="24"/>
              </w:rPr>
              <w:t>临沂职业学院</w:t>
            </w:r>
            <w:r>
              <w:rPr>
                <w:rFonts w:hint="eastAsia" w:ascii="仿宋_GB2312" w:hAnsi="Times New Roman" w:eastAsia="仿宋_GB2312" w:cs="Times New Roman"/>
                <w:color w:val="000000" w:themeColor="text1"/>
                <w:sz w:val="24"/>
                <w:szCs w:val="24"/>
                <w14:textFill>
                  <w14:solidFill>
                    <w14:schemeClr w14:val="tx1"/>
                  </w14:solidFill>
                </w14:textFill>
              </w:rPr>
              <w:t>代表山东省携手嘉兴职业学院、遵义职业技术学院等</w:t>
            </w:r>
            <w:r>
              <w:rPr>
                <w:rFonts w:ascii="仿宋_GB2312" w:hAnsi="Times New Roman" w:eastAsia="仿宋_GB2312" w:cs="Times New Roman"/>
                <w:color w:val="000000" w:themeColor="text1"/>
                <w:sz w:val="24"/>
                <w:szCs w:val="24"/>
                <w14:textFill>
                  <w14:solidFill>
                    <w14:schemeClr w14:val="tx1"/>
                  </w14:solidFill>
                </w14:textFill>
              </w:rPr>
              <w:t>6所高职院校，在线为全国1400余所高职院校</w:t>
            </w:r>
            <w:r>
              <w:rPr>
                <w:rFonts w:hint="eastAsia" w:ascii="仿宋_GB2312" w:hAnsi="Times New Roman" w:eastAsia="仿宋_GB2312" w:cs="Times New Roman"/>
                <w:color w:val="000000" w:themeColor="text1"/>
                <w:sz w:val="24"/>
                <w:szCs w:val="24"/>
                <w14:textFill>
                  <w14:solidFill>
                    <w14:schemeClr w14:val="tx1"/>
                  </w14:solidFill>
                </w14:textFill>
              </w:rPr>
              <w:t>、</w:t>
            </w:r>
            <w:r>
              <w:rPr>
                <w:rFonts w:ascii="仿宋_GB2312" w:hAnsi="Times New Roman" w:eastAsia="仿宋_GB2312" w:cs="Times New Roman"/>
                <w:color w:val="000000" w:themeColor="text1"/>
                <w:sz w:val="24"/>
                <w:szCs w:val="24"/>
                <w14:textFill>
                  <w14:solidFill>
                    <w14:schemeClr w14:val="tx1"/>
                  </w14:solidFill>
                </w14:textFill>
              </w:rPr>
              <w:t>2000万学生讲授沂蒙精神。</w:t>
            </w:r>
            <w:r>
              <w:rPr>
                <w:rFonts w:hint="eastAsia" w:ascii="仿宋_GB2312" w:hAnsi="Times New Roman" w:eastAsia="仿宋_GB2312" w:cs="Times New Roman"/>
                <w:color w:val="000000" w:themeColor="text1"/>
                <w:sz w:val="24"/>
                <w:szCs w:val="24"/>
                <w14:textFill>
                  <w14:solidFill>
                    <w14:schemeClr w14:val="tx1"/>
                  </w14:solidFill>
                </w14:textFill>
              </w:rPr>
              <w:t>课程以沂蒙红色故事为载体，以沂蒙精神形成和发展为主线，运用“讲、演、唱、舞”等多种表现形式生动讲授沂蒙人民在中国共产党的领导下进行革命、建设和改革的历史实践，再现沂蒙精神形成、发展和升华的伟大历史进程</w:t>
            </w:r>
            <w:r>
              <w:rPr>
                <w:rFonts w:ascii="仿宋_GB2312" w:hAnsi="Times New Roman" w:eastAsia="仿宋_GB2312" w:cs="Times New Roman"/>
                <w:color w:val="000000" w:themeColor="text1"/>
                <w:sz w:val="24"/>
                <w:szCs w:val="24"/>
                <w14:textFill>
                  <w14:solidFill>
                    <w14:schemeClr w14:val="tx1"/>
                  </w14:solidFill>
                </w14:textFill>
              </w:rPr>
              <w:t>,收到良好效果。</w:t>
            </w:r>
          </w:p>
        </w:tc>
      </w:tr>
    </w:tbl>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328" w:name="_Toc94183449"/>
      <w:bookmarkStart w:id="329" w:name="_Toc94172347"/>
      <w:bookmarkStart w:id="330" w:name="_Toc91604684"/>
      <w:bookmarkStart w:id="331" w:name="_Toc91605008"/>
      <w:bookmarkStart w:id="332" w:name="_Toc91606525"/>
      <w:bookmarkStart w:id="333" w:name="_Toc94172206"/>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4</w:t>
      </w:r>
      <w:r>
        <w:rPr>
          <w:rFonts w:hint="eastAsia" w:ascii="仿宋_GB2312" w:hAnsi="仿宋_GB2312" w:eastAsia="仿宋_GB2312" w:cs="仿宋_GB2312"/>
          <w:b/>
          <w:bCs/>
          <w:color w:val="000000" w:themeColor="text1"/>
          <w:sz w:val="28"/>
          <w:szCs w:val="28"/>
          <w14:textFill>
            <w14:solidFill>
              <w14:schemeClr w14:val="tx1"/>
            </w14:solidFill>
          </w14:textFill>
        </w:rPr>
        <w:t>.</w:t>
      </w:r>
      <w:r>
        <w:rPr>
          <w:rFonts w:ascii="仿宋_GB2312" w:hAnsi="仿宋_GB2312" w:eastAsia="仿宋_GB2312" w:cs="仿宋_GB2312"/>
          <w:b/>
          <w:bCs/>
          <w:color w:val="000000" w:themeColor="text1"/>
          <w:sz w:val="28"/>
          <w:szCs w:val="28"/>
          <w14:textFill>
            <w14:solidFill>
              <w14:schemeClr w14:val="tx1"/>
            </w14:solidFill>
          </w14:textFill>
        </w:rPr>
        <w:t>2</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校企合作提高课程与教材质量</w:t>
      </w:r>
      <w:bookmarkEnd w:id="328"/>
      <w:bookmarkEnd w:id="329"/>
      <w:bookmarkEnd w:id="330"/>
      <w:bookmarkEnd w:id="331"/>
      <w:bookmarkEnd w:id="332"/>
      <w:bookmarkEnd w:id="333"/>
    </w:p>
    <w:p>
      <w:pPr>
        <w:spacing w:line="50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山东省高职院校加强与企业合作，结合“1+X”证书制度试点，共同开发优质教学资源。2021年，山东省高职院校校企合作开发课程13297门、教材7474种。从近五年统计数据来看，校企合作开发课程门数占开设课程总门数的比例和校均拥有校企合作开发教材数量逐年增长。2021年，山东省高职院校校企合作开发课程门数占开设课程总门数的17.29%，比2017年提高了近7个百分点；校均拥有校企合作开发教材的数量为90.05种，与2017年相比增加了82.19%。2017年到2021年山东省高职院校校企合作开发课程和教材的情况如表3-6所示。</w:t>
      </w:r>
    </w:p>
    <w:p>
      <w:pPr>
        <w:pStyle w:val="4"/>
        <w:widowControl w:val="0"/>
        <w:spacing w:before="156" w:beforeLines="50" w:after="93" w:afterLines="30"/>
        <w:jc w:val="center"/>
        <w:outlineLvl w:val="2"/>
        <w:rPr>
          <w:rFonts w:ascii="宋体" w:hAnsi="宋体" w:eastAsia="宋体"/>
          <w:color w:val="000000" w:themeColor="text1"/>
          <w:sz w:val="24"/>
          <w:szCs w:val="24"/>
          <w14:textFill>
            <w14:solidFill>
              <w14:schemeClr w14:val="tx1"/>
            </w14:solidFill>
          </w14:textFill>
        </w:rPr>
      </w:pPr>
      <w:bookmarkStart w:id="334" w:name="_Toc94172207"/>
      <w:bookmarkStart w:id="335" w:name="_Toc94183450"/>
      <w:bookmarkStart w:id="336" w:name="_Toc91605009"/>
      <w:bookmarkStart w:id="337" w:name="_Toc91606526"/>
      <w:bookmarkStart w:id="338" w:name="_Toc94172348"/>
      <w:r>
        <w:rPr>
          <w:rFonts w:hint="eastAsia" w:ascii="宋体" w:hAnsi="宋体" w:eastAsia="宋体"/>
          <w:color w:val="000000" w:themeColor="text1"/>
          <w:sz w:val="24"/>
          <w:szCs w:val="24"/>
          <w14:textFill>
            <w14:solidFill>
              <w14:schemeClr w14:val="tx1"/>
            </w14:solidFill>
          </w14:textFill>
        </w:rPr>
        <w:t>表3</w:t>
      </w:r>
      <w:r>
        <w:rPr>
          <w:rFonts w:ascii="宋体" w:hAnsi="宋体" w:eastAsia="宋体"/>
          <w:color w:val="000000" w:themeColor="text1"/>
          <w:sz w:val="24"/>
          <w:szCs w:val="24"/>
          <w14:textFill>
            <w14:solidFill>
              <w14:schemeClr w14:val="tx1"/>
            </w14:solidFill>
          </w14:textFill>
        </w:rPr>
        <w:t xml:space="preserve">-6 </w:t>
      </w:r>
      <w:r>
        <w:rPr>
          <w:rFonts w:hint="eastAsia" w:ascii="宋体" w:hAnsi="宋体" w:eastAsia="宋体"/>
          <w:color w:val="000000" w:themeColor="text1"/>
          <w:sz w:val="24"/>
          <w:szCs w:val="24"/>
          <w14:textFill>
            <w14:solidFill>
              <w14:schemeClr w14:val="tx1"/>
            </w14:solidFill>
          </w14:textFill>
        </w:rPr>
        <w:t>山东省高职院校校企合作开发课程和教材情况（2</w:t>
      </w:r>
      <w:r>
        <w:rPr>
          <w:rFonts w:ascii="宋体" w:hAnsi="宋体" w:eastAsia="宋体"/>
          <w:color w:val="000000" w:themeColor="text1"/>
          <w:sz w:val="24"/>
          <w:szCs w:val="24"/>
          <w14:textFill>
            <w14:solidFill>
              <w14:schemeClr w14:val="tx1"/>
            </w14:solidFill>
          </w14:textFill>
        </w:rPr>
        <w:t>017-2021</w:t>
      </w:r>
      <w:r>
        <w:rPr>
          <w:rFonts w:hint="eastAsia" w:ascii="宋体" w:hAnsi="宋体" w:eastAsia="宋体"/>
          <w:color w:val="000000" w:themeColor="text1"/>
          <w:sz w:val="24"/>
          <w:szCs w:val="24"/>
          <w14:textFill>
            <w14:solidFill>
              <w14:schemeClr w14:val="tx1"/>
            </w14:solidFill>
          </w14:textFill>
        </w:rPr>
        <w:t>年）</w:t>
      </w:r>
      <w:bookmarkEnd w:id="334"/>
      <w:bookmarkEnd w:id="335"/>
      <w:bookmarkEnd w:id="336"/>
      <w:bookmarkEnd w:id="337"/>
      <w:bookmarkEnd w:id="338"/>
    </w:p>
    <w:tbl>
      <w:tblPr>
        <w:tblStyle w:val="21"/>
        <w:tblW w:w="5000" w:type="pct"/>
        <w:tblInd w:w="0" w:type="dxa"/>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Layout w:type="autofit"/>
        <w:tblCellMar>
          <w:top w:w="0" w:type="dxa"/>
          <w:left w:w="0" w:type="dxa"/>
          <w:bottom w:w="0" w:type="dxa"/>
          <w:right w:w="0" w:type="dxa"/>
        </w:tblCellMar>
      </w:tblPr>
      <w:tblGrid>
        <w:gridCol w:w="1567"/>
        <w:gridCol w:w="3431"/>
        <w:gridCol w:w="3876"/>
      </w:tblGrid>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rPr>
          <w:trHeight w:val="454" w:hRule="atLeast"/>
          <w:tblHeader/>
        </w:trPr>
        <w:tc>
          <w:tcPr>
            <w:tcW w:w="883" w:type="pct"/>
            <w:tcBorders>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年份</w:t>
            </w:r>
          </w:p>
        </w:tc>
        <w:tc>
          <w:tcPr>
            <w:tcW w:w="1933" w:type="pct"/>
            <w:tcBorders>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校企合作开发课程门数</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占开设课程总门数的比例/%</w:t>
            </w:r>
          </w:p>
        </w:tc>
        <w:tc>
          <w:tcPr>
            <w:tcW w:w="2184" w:type="pct"/>
            <w:tcBorders>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校均拥有校企合作</w:t>
            </w:r>
          </w:p>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开发教材数量/种</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883"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2017</w:t>
            </w:r>
            <w:r>
              <w:rPr>
                <w:rFonts w:hint="eastAsia" w:ascii="宋体" w:hAnsi="宋体" w:eastAsia="宋体"/>
                <w:color w:val="000000" w:themeColor="text1"/>
                <w:szCs w:val="21"/>
                <w:lang w:bidi="ar"/>
                <w14:textFill>
                  <w14:solidFill>
                    <w14:schemeClr w14:val="tx1"/>
                  </w14:solidFill>
                </w14:textFill>
              </w:rPr>
              <w:t>年</w:t>
            </w:r>
          </w:p>
        </w:tc>
        <w:tc>
          <w:tcPr>
            <w:tcW w:w="1933"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0</w:t>
            </w:r>
            <w:r>
              <w:rPr>
                <w:rFonts w:hint="eastAsia" w:ascii="宋体" w:hAnsi="宋体" w:eastAsia="宋体"/>
                <w:color w:val="000000" w:themeColor="text1"/>
                <w:szCs w:val="21"/>
                <w14:textFill>
                  <w14:solidFill>
                    <w14:schemeClr w14:val="tx1"/>
                  </w14:solidFill>
                </w14:textFill>
              </w:rPr>
              <w:t>.</w:t>
            </w:r>
            <w:r>
              <w:rPr>
                <w:rFonts w:ascii="宋体" w:hAnsi="宋体" w:eastAsia="宋体"/>
                <w:color w:val="000000" w:themeColor="text1"/>
                <w:szCs w:val="21"/>
                <w14:textFill>
                  <w14:solidFill>
                    <w14:schemeClr w14:val="tx1"/>
                  </w14:solidFill>
                </w14:textFill>
              </w:rPr>
              <w:t>56</w:t>
            </w:r>
          </w:p>
        </w:tc>
        <w:tc>
          <w:tcPr>
            <w:tcW w:w="2184" w:type="pct"/>
            <w:tcBorders>
              <w:top w:val="single" w:color="0000CC" w:sz="12" w:space="0"/>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4</w:t>
            </w:r>
            <w:r>
              <w:rPr>
                <w:rFonts w:ascii="宋体" w:hAnsi="宋体" w:eastAsia="宋体"/>
                <w:color w:val="000000" w:themeColor="text1"/>
                <w:szCs w:val="21"/>
                <w:lang w:bidi="ar"/>
                <w14:textFill>
                  <w14:solidFill>
                    <w14:schemeClr w14:val="tx1"/>
                  </w14:solidFill>
                </w14:textFill>
              </w:rPr>
              <w:t>9</w:t>
            </w:r>
            <w:r>
              <w:rPr>
                <w:rFonts w:hint="eastAsia" w:ascii="宋体" w:hAnsi="宋体" w:eastAsia="宋体"/>
                <w:color w:val="000000" w:themeColor="text1"/>
                <w:szCs w:val="21"/>
                <w:lang w:bidi="ar"/>
                <w14:textFill>
                  <w14:solidFill>
                    <w14:schemeClr w14:val="tx1"/>
                  </w14:solidFill>
                </w14:textFill>
              </w:rPr>
              <w:t>.</w:t>
            </w:r>
            <w:r>
              <w:rPr>
                <w:rFonts w:ascii="宋体" w:hAnsi="宋体" w:eastAsia="宋体"/>
                <w:color w:val="000000" w:themeColor="text1"/>
                <w:szCs w:val="21"/>
                <w:lang w:bidi="ar"/>
                <w14:textFill>
                  <w14:solidFill>
                    <w14:schemeClr w14:val="tx1"/>
                  </w14:solidFill>
                </w14:textFill>
              </w:rPr>
              <w:t>42</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883"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2018</w:t>
            </w:r>
            <w:r>
              <w:rPr>
                <w:rFonts w:hint="eastAsia" w:ascii="宋体" w:hAnsi="宋体" w:eastAsia="宋体"/>
                <w:color w:val="000000" w:themeColor="text1"/>
                <w:szCs w:val="21"/>
                <w:lang w:bidi="ar"/>
                <w14:textFill>
                  <w14:solidFill>
                    <w14:schemeClr w14:val="tx1"/>
                  </w14:solidFill>
                </w14:textFill>
              </w:rPr>
              <w:t>年</w:t>
            </w:r>
          </w:p>
        </w:tc>
        <w:tc>
          <w:tcPr>
            <w:tcW w:w="1933"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2</w:t>
            </w:r>
            <w:r>
              <w:rPr>
                <w:rFonts w:hint="eastAsia" w:ascii="宋体" w:hAnsi="宋体" w:eastAsia="宋体"/>
                <w:color w:val="000000" w:themeColor="text1"/>
                <w:szCs w:val="21"/>
                <w14:textFill>
                  <w14:solidFill>
                    <w14:schemeClr w14:val="tx1"/>
                  </w14:solidFill>
                </w14:textFill>
              </w:rPr>
              <w:t>.</w:t>
            </w:r>
            <w:r>
              <w:rPr>
                <w:rFonts w:ascii="宋体" w:hAnsi="宋体" w:eastAsia="宋体"/>
                <w:color w:val="000000" w:themeColor="text1"/>
                <w:szCs w:val="21"/>
                <w14:textFill>
                  <w14:solidFill>
                    <w14:schemeClr w14:val="tx1"/>
                  </w14:solidFill>
                </w14:textFill>
              </w:rPr>
              <w:t>96</w:t>
            </w:r>
          </w:p>
        </w:tc>
        <w:tc>
          <w:tcPr>
            <w:tcW w:w="2184"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6</w:t>
            </w:r>
            <w:r>
              <w:rPr>
                <w:rFonts w:ascii="宋体" w:hAnsi="宋体" w:eastAsia="宋体"/>
                <w:color w:val="000000" w:themeColor="text1"/>
                <w:szCs w:val="21"/>
                <w:lang w:bidi="ar"/>
                <w14:textFill>
                  <w14:solidFill>
                    <w14:schemeClr w14:val="tx1"/>
                  </w14:solidFill>
                </w14:textFill>
              </w:rPr>
              <w:t>1</w:t>
            </w:r>
            <w:r>
              <w:rPr>
                <w:rFonts w:hint="eastAsia" w:ascii="宋体" w:hAnsi="宋体" w:eastAsia="宋体"/>
                <w:color w:val="000000" w:themeColor="text1"/>
                <w:szCs w:val="21"/>
                <w:lang w:bidi="ar"/>
                <w14:textFill>
                  <w14:solidFill>
                    <w14:schemeClr w14:val="tx1"/>
                  </w14:solidFill>
                </w14:textFill>
              </w:rPr>
              <w:t>.</w:t>
            </w:r>
            <w:r>
              <w:rPr>
                <w:rFonts w:ascii="宋体" w:hAnsi="宋体" w:eastAsia="宋体"/>
                <w:color w:val="000000" w:themeColor="text1"/>
                <w:szCs w:val="21"/>
                <w:lang w:bidi="ar"/>
                <w14:textFill>
                  <w14:solidFill>
                    <w14:schemeClr w14:val="tx1"/>
                  </w14:solidFill>
                </w14:textFill>
              </w:rPr>
              <w:t>34</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883"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2019</w:t>
            </w:r>
            <w:r>
              <w:rPr>
                <w:rFonts w:hint="eastAsia" w:ascii="宋体" w:hAnsi="宋体" w:eastAsia="宋体"/>
                <w:color w:val="000000" w:themeColor="text1"/>
                <w:szCs w:val="21"/>
                <w:lang w:bidi="ar"/>
                <w14:textFill>
                  <w14:solidFill>
                    <w14:schemeClr w14:val="tx1"/>
                  </w14:solidFill>
                </w14:textFill>
              </w:rPr>
              <w:t>年</w:t>
            </w:r>
          </w:p>
        </w:tc>
        <w:tc>
          <w:tcPr>
            <w:tcW w:w="1933"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1</w:t>
            </w:r>
            <w:r>
              <w:rPr>
                <w:rFonts w:ascii="宋体" w:hAnsi="宋体" w:eastAsia="宋体"/>
                <w:color w:val="000000" w:themeColor="text1"/>
                <w:szCs w:val="21"/>
                <w:lang w:bidi="ar"/>
                <w14:textFill>
                  <w14:solidFill>
                    <w14:schemeClr w14:val="tx1"/>
                  </w14:solidFill>
                </w14:textFill>
              </w:rPr>
              <w:t>3</w:t>
            </w:r>
            <w:r>
              <w:rPr>
                <w:rFonts w:hint="eastAsia" w:ascii="宋体" w:hAnsi="宋体" w:eastAsia="宋体"/>
                <w:color w:val="000000" w:themeColor="text1"/>
                <w:szCs w:val="21"/>
                <w:lang w:bidi="ar"/>
                <w14:textFill>
                  <w14:solidFill>
                    <w14:schemeClr w14:val="tx1"/>
                  </w14:solidFill>
                </w14:textFill>
              </w:rPr>
              <w:t>.0</w:t>
            </w:r>
            <w:r>
              <w:rPr>
                <w:rFonts w:ascii="宋体" w:hAnsi="宋体" w:eastAsia="宋体"/>
                <w:color w:val="000000" w:themeColor="text1"/>
                <w:szCs w:val="21"/>
                <w:lang w:bidi="ar"/>
                <w14:textFill>
                  <w14:solidFill>
                    <w14:schemeClr w14:val="tx1"/>
                  </w14:solidFill>
                </w14:textFill>
              </w:rPr>
              <w:t>3</w:t>
            </w:r>
          </w:p>
        </w:tc>
        <w:tc>
          <w:tcPr>
            <w:tcW w:w="2184"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7</w:t>
            </w:r>
            <w:r>
              <w:rPr>
                <w:rFonts w:ascii="宋体" w:hAnsi="宋体" w:eastAsia="宋体"/>
                <w:color w:val="000000" w:themeColor="text1"/>
                <w:szCs w:val="21"/>
                <w:lang w:bidi="ar"/>
                <w14:textFill>
                  <w14:solidFill>
                    <w14:schemeClr w14:val="tx1"/>
                  </w14:solidFill>
                </w14:textFill>
              </w:rPr>
              <w:t>3</w:t>
            </w:r>
            <w:r>
              <w:rPr>
                <w:rFonts w:hint="eastAsia" w:ascii="宋体" w:hAnsi="宋体" w:eastAsia="宋体"/>
                <w:color w:val="000000" w:themeColor="text1"/>
                <w:szCs w:val="21"/>
                <w:lang w:bidi="ar"/>
                <w14:textFill>
                  <w14:solidFill>
                    <w14:schemeClr w14:val="tx1"/>
                  </w14:solidFill>
                </w14:textFill>
              </w:rPr>
              <w:t>.</w:t>
            </w:r>
            <w:r>
              <w:rPr>
                <w:rFonts w:ascii="宋体" w:hAnsi="宋体" w:eastAsia="宋体"/>
                <w:color w:val="000000" w:themeColor="text1"/>
                <w:szCs w:val="21"/>
                <w:lang w:bidi="ar"/>
                <w14:textFill>
                  <w14:solidFill>
                    <w14:schemeClr w14:val="tx1"/>
                  </w14:solidFill>
                </w14:textFill>
              </w:rPr>
              <w:t>48</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883" w:type="pct"/>
            <w:tcBorders>
              <w:tl2br w:val="nil"/>
              <w:tr2bl w:val="nil"/>
            </w:tcBorders>
            <w:shd w:val="clear" w:color="auto" w:fill="DAEEF6"/>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2020</w:t>
            </w:r>
            <w:r>
              <w:rPr>
                <w:rFonts w:hint="eastAsia" w:ascii="宋体" w:hAnsi="宋体" w:eastAsia="宋体"/>
                <w:color w:val="000000" w:themeColor="text1"/>
                <w:szCs w:val="21"/>
                <w:lang w:bidi="ar"/>
                <w14:textFill>
                  <w14:solidFill>
                    <w14:schemeClr w14:val="tx1"/>
                  </w14:solidFill>
                </w14:textFill>
              </w:rPr>
              <w:t>年</w:t>
            </w:r>
          </w:p>
        </w:tc>
        <w:tc>
          <w:tcPr>
            <w:tcW w:w="1933"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5</w:t>
            </w:r>
            <w:r>
              <w:rPr>
                <w:rFonts w:hint="eastAsia" w:ascii="宋体" w:hAnsi="宋体" w:eastAsia="宋体"/>
                <w:color w:val="000000" w:themeColor="text1"/>
                <w:szCs w:val="21"/>
                <w14:textFill>
                  <w14:solidFill>
                    <w14:schemeClr w14:val="tx1"/>
                  </w14:solidFill>
                </w14:textFill>
              </w:rPr>
              <w:t>.</w:t>
            </w:r>
            <w:r>
              <w:rPr>
                <w:rFonts w:ascii="宋体" w:hAnsi="宋体" w:eastAsia="宋体"/>
                <w:color w:val="000000" w:themeColor="text1"/>
                <w:szCs w:val="21"/>
                <w14:textFill>
                  <w14:solidFill>
                    <w14:schemeClr w14:val="tx1"/>
                  </w14:solidFill>
                </w14:textFill>
              </w:rPr>
              <w:t>51</w:t>
            </w:r>
          </w:p>
        </w:tc>
        <w:tc>
          <w:tcPr>
            <w:tcW w:w="2184" w:type="pct"/>
            <w:tcBorders>
              <w:tl2br w:val="nil"/>
              <w:tr2bl w:val="nil"/>
            </w:tcBorders>
            <w:shd w:val="clear" w:color="auto" w:fill="DAEEF6"/>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8</w:t>
            </w:r>
            <w:r>
              <w:rPr>
                <w:rFonts w:ascii="宋体" w:hAnsi="宋体" w:eastAsia="宋体"/>
                <w:color w:val="000000" w:themeColor="text1"/>
                <w:szCs w:val="21"/>
                <w:lang w:bidi="ar"/>
                <w14:textFill>
                  <w14:solidFill>
                    <w14:schemeClr w14:val="tx1"/>
                  </w14:solidFill>
                </w14:textFill>
              </w:rPr>
              <w:t>9</w:t>
            </w:r>
            <w:r>
              <w:rPr>
                <w:rFonts w:hint="eastAsia" w:ascii="宋体" w:hAnsi="宋体" w:eastAsia="宋体"/>
                <w:color w:val="000000" w:themeColor="text1"/>
                <w:szCs w:val="21"/>
                <w:lang w:bidi="ar"/>
                <w14:textFill>
                  <w14:solidFill>
                    <w14:schemeClr w14:val="tx1"/>
                  </w14:solidFill>
                </w14:textFill>
              </w:rPr>
              <w:t>.</w:t>
            </w:r>
            <w:r>
              <w:rPr>
                <w:rFonts w:ascii="宋体" w:hAnsi="宋体" w:eastAsia="宋体"/>
                <w:color w:val="000000" w:themeColor="text1"/>
                <w:szCs w:val="21"/>
                <w:lang w:bidi="ar"/>
                <w14:textFill>
                  <w14:solidFill>
                    <w14:schemeClr w14:val="tx1"/>
                  </w14:solidFill>
                </w14:textFill>
              </w:rPr>
              <w:t>26</w:t>
            </w:r>
          </w:p>
        </w:tc>
      </w:tr>
      <w:tr>
        <w:tblPrEx>
          <w:tblBorders>
            <w:top w:val="single" w:color="0000CC" w:sz="12" w:space="0"/>
            <w:left w:val="none" w:color="auto" w:sz="0" w:space="0"/>
            <w:bottom w:val="single" w:color="0000CC"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883" w:type="pct"/>
            <w:tcBorders>
              <w:tl2br w:val="nil"/>
              <w:tr2bl w:val="nil"/>
            </w:tcBorders>
            <w:shd w:val="clear" w:color="auto" w:fill="FFFFFF" w:themeFill="background1"/>
            <w:noWrap/>
            <w:tcMar>
              <w:top w:w="15" w:type="dxa"/>
              <w:left w:w="15" w:type="dxa"/>
              <w:right w:w="15" w:type="dxa"/>
            </w:tcMar>
            <w:vAlign w:val="center"/>
          </w:tcPr>
          <w:p>
            <w:pPr>
              <w:spacing w:line="300" w:lineRule="exact"/>
              <w:jc w:val="center"/>
              <w:textAlignment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lang w:bidi="ar"/>
                <w14:textFill>
                  <w14:solidFill>
                    <w14:schemeClr w14:val="tx1"/>
                  </w14:solidFill>
                </w14:textFill>
              </w:rPr>
              <w:t>2021</w:t>
            </w:r>
            <w:r>
              <w:rPr>
                <w:rFonts w:hint="eastAsia" w:ascii="宋体" w:hAnsi="宋体" w:eastAsia="宋体"/>
                <w:color w:val="000000" w:themeColor="text1"/>
                <w:szCs w:val="21"/>
                <w:lang w:bidi="ar"/>
                <w14:textFill>
                  <w14:solidFill>
                    <w14:schemeClr w14:val="tx1"/>
                  </w14:solidFill>
                </w14:textFill>
              </w:rPr>
              <w:t>年</w:t>
            </w:r>
          </w:p>
        </w:tc>
        <w:tc>
          <w:tcPr>
            <w:tcW w:w="1933"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r>
              <w:rPr>
                <w:rFonts w:ascii="宋体" w:hAnsi="宋体" w:eastAsia="宋体"/>
                <w:color w:val="000000" w:themeColor="text1"/>
                <w:szCs w:val="21"/>
                <w14:textFill>
                  <w14:solidFill>
                    <w14:schemeClr w14:val="tx1"/>
                  </w14:solidFill>
                </w14:textFill>
              </w:rPr>
              <w:t>7</w:t>
            </w:r>
            <w:r>
              <w:rPr>
                <w:rFonts w:hint="eastAsia" w:ascii="宋体" w:hAnsi="宋体" w:eastAsia="宋体"/>
                <w:color w:val="000000" w:themeColor="text1"/>
                <w:szCs w:val="21"/>
                <w14:textFill>
                  <w14:solidFill>
                    <w14:schemeClr w14:val="tx1"/>
                  </w14:solidFill>
                </w14:textFill>
              </w:rPr>
              <w:t>.</w:t>
            </w:r>
            <w:r>
              <w:rPr>
                <w:rFonts w:ascii="宋体" w:hAnsi="宋体" w:eastAsia="宋体"/>
                <w:color w:val="000000" w:themeColor="text1"/>
                <w:szCs w:val="21"/>
                <w14:textFill>
                  <w14:solidFill>
                    <w14:schemeClr w14:val="tx1"/>
                  </w14:solidFill>
                </w14:textFill>
              </w:rPr>
              <w:t>29</w:t>
            </w:r>
          </w:p>
        </w:tc>
        <w:tc>
          <w:tcPr>
            <w:tcW w:w="2184" w:type="pct"/>
            <w:tcBorders>
              <w:tl2br w:val="nil"/>
              <w:tr2bl w:val="nil"/>
            </w:tcBorders>
            <w:shd w:val="clear" w:color="auto" w:fill="FFFFFF" w:themeFill="background1"/>
            <w:noWrap/>
            <w:tcMar>
              <w:top w:w="15" w:type="dxa"/>
              <w:left w:w="15" w:type="dxa"/>
              <w:right w:w="15" w:type="dxa"/>
            </w:tcMar>
            <w:vAlign w:val="center"/>
          </w:tcPr>
          <w:p>
            <w:pPr>
              <w:spacing w:line="240" w:lineRule="exact"/>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9</w:t>
            </w:r>
            <w:r>
              <w:rPr>
                <w:rFonts w:ascii="宋体" w:hAnsi="宋体" w:eastAsia="宋体"/>
                <w:color w:val="000000" w:themeColor="text1"/>
                <w:szCs w:val="21"/>
                <w:lang w:bidi="ar"/>
                <w14:textFill>
                  <w14:solidFill>
                    <w14:schemeClr w14:val="tx1"/>
                  </w14:solidFill>
                </w14:textFill>
              </w:rPr>
              <w:t>0</w:t>
            </w:r>
            <w:r>
              <w:rPr>
                <w:rFonts w:hint="eastAsia" w:ascii="宋体" w:hAnsi="宋体" w:eastAsia="宋体"/>
                <w:color w:val="000000" w:themeColor="text1"/>
                <w:szCs w:val="21"/>
                <w:lang w:bidi="ar"/>
                <w14:textFill>
                  <w14:solidFill>
                    <w14:schemeClr w14:val="tx1"/>
                  </w14:solidFill>
                </w14:textFill>
              </w:rPr>
              <w:t>.</w:t>
            </w:r>
            <w:r>
              <w:rPr>
                <w:rFonts w:ascii="宋体" w:hAnsi="宋体" w:eastAsia="宋体"/>
                <w:color w:val="000000" w:themeColor="text1"/>
                <w:szCs w:val="21"/>
                <w:lang w:bidi="ar"/>
                <w14:textFill>
                  <w14:solidFill>
                    <w14:schemeClr w14:val="tx1"/>
                  </w14:solidFill>
                </w14:textFill>
              </w:rPr>
              <w:t>05</w:t>
            </w:r>
          </w:p>
        </w:tc>
      </w:tr>
    </w:tbl>
    <w:p>
      <w:pPr>
        <w:spacing w:before="62" w:beforeLines="20"/>
        <w:rPr>
          <w:rFonts w:ascii="宋体" w:hAnsi="宋体" w:eastAsia="宋体"/>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数据来源：</w:t>
      </w:r>
      <w:r>
        <w:rPr>
          <w:rFonts w:ascii="宋体" w:hAnsi="宋体" w:eastAsia="宋体"/>
          <w:color w:val="000000" w:themeColor="text1"/>
          <w:szCs w:val="21"/>
          <w14:textFill>
            <w14:solidFill>
              <w14:schemeClr w14:val="tx1"/>
            </w14:solidFill>
          </w14:textFill>
        </w:rPr>
        <w:t>2017-2021年度高等职业院校人才培养工作状态数据采集与管理平台。</w:t>
      </w:r>
    </w:p>
    <w:p>
      <w:pPr>
        <w:spacing w:before="62" w:beforeLines="20"/>
        <w:rPr>
          <w:rFonts w:ascii="宋体" w:hAnsi="宋体" w:eastAsia="宋体"/>
          <w:color w:val="000000" w:themeColor="text1"/>
          <w:szCs w:val="21"/>
          <w14:textFill>
            <w14:solidFill>
              <w14:schemeClr w14:val="tx1"/>
            </w14:solidFill>
          </w14:textFill>
        </w:rPr>
      </w:pPr>
    </w:p>
    <w:tbl>
      <w:tblPr>
        <w:tblStyle w:val="21"/>
        <w:tblW w:w="850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0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atLeast"/>
          <w:jc w:val="center"/>
        </w:trPr>
        <w:tc>
          <w:tcPr>
            <w:tcW w:w="8720" w:type="dxa"/>
            <w:tcBorders>
              <w:bottom w:val="single" w:color="FFFFFF" w:sz="4" w:space="0"/>
            </w:tcBorders>
            <w:shd w:val="clear" w:color="auto" w:fill="0070C0"/>
            <w:vAlign w:val="center"/>
          </w:tcPr>
          <w:p>
            <w:pPr>
              <w:spacing w:line="520" w:lineRule="exact"/>
              <w:outlineLvl w:val="1"/>
              <w:rPr>
                <w:rFonts w:ascii="楷体_GB2312" w:hAnsi="Times New Roman" w:eastAsia="楷体_GB2312" w:cs="Times New Roman"/>
                <w:color w:val="000000" w:themeColor="text1"/>
                <w:kern w:val="0"/>
                <w:sz w:val="28"/>
                <w:szCs w:val="28"/>
                <w14:textFill>
                  <w14:solidFill>
                    <w14:schemeClr w14:val="tx1"/>
                  </w14:solidFill>
                </w14:textFill>
              </w:rPr>
            </w:pPr>
            <w:bookmarkStart w:id="339" w:name="_Toc91605010"/>
            <w:bookmarkStart w:id="340" w:name="_Toc94183451"/>
            <w:bookmarkStart w:id="341" w:name="_Toc94172208"/>
            <w:bookmarkStart w:id="342" w:name="_Toc94172349"/>
            <w:r>
              <w:rPr>
                <w:rFonts w:hint="eastAsia" w:ascii="楷体_GB2312" w:hAnsi="黑体" w:eastAsia="楷体_GB2312" w:cs="黑体"/>
                <w:b/>
                <w:bCs/>
                <w:color w:val="FFFFFF" w:themeColor="background1"/>
                <w:sz w:val="28"/>
                <w:szCs w:val="28"/>
                <w14:textFill>
                  <w14:solidFill>
                    <w14:schemeClr w14:val="bg1"/>
                  </w14:solidFill>
                </w14:textFill>
              </w:rPr>
              <w:t>专栏3-4 以四种思维实现教材建设新突破</w:t>
            </w:r>
            <w:bookmarkEnd w:id="339"/>
            <w:bookmarkEnd w:id="340"/>
            <w:bookmarkEnd w:id="341"/>
            <w:bookmarkEnd w:id="342"/>
            <w:bookmarkStart w:id="343" w:name="_Hlk90739918"/>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720" w:type="dxa"/>
            <w:shd w:val="clear" w:color="auto" w:fill="CDEAFF"/>
          </w:tcPr>
          <w:p>
            <w:pPr>
              <w:spacing w:after="62" w:afterLines="20" w:line="440" w:lineRule="exact"/>
              <w:ind w:firstLine="482"/>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70C0"/>
                <w:sz w:val="24"/>
                <w:szCs w:val="24"/>
              </w:rPr>
              <w:t>淄博职业学院</w:t>
            </w:r>
            <w:r>
              <w:rPr>
                <w:rFonts w:hint="eastAsia" w:ascii="Times New Roman" w:hAnsi="Times New Roman" w:eastAsia="仿宋_GB2312" w:cs="Times New Roman"/>
                <w:color w:val="000000" w:themeColor="text1"/>
                <w:sz w:val="24"/>
                <w:szCs w:val="24"/>
                <w14:textFill>
                  <w14:solidFill>
                    <w14:schemeClr w14:val="tx1"/>
                  </w14:solidFill>
                </w14:textFill>
              </w:rPr>
              <w:t>在教材建设中贯穿政治思维、产业思维、创新思维、工匠思维，把正确政治方向和价值导向作为教材建</w:t>
            </w:r>
            <w:r>
              <w:rPr>
                <w:rFonts w:hint="eastAsia" w:ascii="仿宋_GB2312" w:hAnsi="Times New Roman" w:eastAsia="仿宋_GB2312" w:cs="Times New Roman"/>
                <w:color w:val="000000" w:themeColor="text1"/>
                <w:sz w:val="24"/>
                <w:szCs w:val="24"/>
                <w14:textFill>
                  <w14:solidFill>
                    <w14:schemeClr w14:val="tx1"/>
                  </w14:solidFill>
                </w14:textFill>
              </w:rPr>
              <w:t>设第一要求，将产业思维贯穿教材，融入产业案例和企业项目，校企共同开发教材322部。将创新思维贯穿教材，开发活页式、工作手册式教材160部。将工匠思维贯穿教材，推进“百名企业家、百名工匠（大师）进校园”三年行动。学校先后入选国家“十一五”“十二五”“十三五”规划教材77部，获全国首届教材建设奖3项，获奖数量并列全国首位。</w:t>
            </w:r>
          </w:p>
        </w:tc>
      </w:tr>
      <w:bookmarkEnd w:id="343"/>
    </w:tbl>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344" w:name="_Toc94172350"/>
      <w:bookmarkStart w:id="345" w:name="_Toc91604686"/>
      <w:bookmarkStart w:id="346" w:name="_Toc91605011"/>
      <w:bookmarkStart w:id="347" w:name="_Toc94172209"/>
      <w:bookmarkStart w:id="348" w:name="_Toc94183452"/>
      <w:bookmarkStart w:id="349" w:name="_Toc91606528"/>
      <w:r>
        <w:rPr>
          <w:rFonts w:hint="eastAsia" w:ascii="仿宋_GB2312" w:hAnsi="仿宋_GB2312" w:eastAsia="仿宋_GB2312" w:cs="仿宋_GB2312"/>
          <w:b/>
          <w:bCs/>
          <w:color w:val="000000" w:themeColor="text1"/>
          <w:sz w:val="28"/>
          <w:szCs w:val="28"/>
          <w14:textFill>
            <w14:solidFill>
              <w14:schemeClr w14:val="tx1"/>
            </w14:solidFill>
          </w14:textFill>
        </w:rPr>
        <w:t>3.</w:t>
      </w:r>
      <w:r>
        <w:rPr>
          <w:rFonts w:ascii="仿宋_GB2312" w:hAnsi="仿宋_GB2312" w:eastAsia="仿宋_GB2312" w:cs="仿宋_GB2312"/>
          <w:b/>
          <w:bCs/>
          <w:color w:val="000000" w:themeColor="text1"/>
          <w:sz w:val="28"/>
          <w:szCs w:val="28"/>
          <w14:textFill>
            <w14:solidFill>
              <w14:schemeClr w14:val="tx1"/>
            </w14:solidFill>
          </w14:textFill>
        </w:rPr>
        <w:t>4</w:t>
      </w:r>
      <w:r>
        <w:rPr>
          <w:rFonts w:hint="eastAsia" w:ascii="仿宋_GB2312" w:hAnsi="仿宋_GB2312" w:eastAsia="仿宋_GB2312" w:cs="仿宋_GB2312"/>
          <w:b/>
          <w:bCs/>
          <w:color w:val="000000" w:themeColor="text1"/>
          <w:sz w:val="28"/>
          <w:szCs w:val="28"/>
          <w14:textFill>
            <w14:solidFill>
              <w14:schemeClr w14:val="tx1"/>
            </w14:solidFill>
          </w14:textFill>
        </w:rPr>
        <w:t>.</w:t>
      </w:r>
      <w:r>
        <w:rPr>
          <w:rFonts w:ascii="仿宋_GB2312" w:hAnsi="仿宋_GB2312" w:eastAsia="仿宋_GB2312" w:cs="仿宋_GB2312"/>
          <w:b/>
          <w:bCs/>
          <w:color w:val="000000" w:themeColor="text1"/>
          <w:sz w:val="28"/>
          <w:szCs w:val="28"/>
          <w14:textFill>
            <w14:solidFill>
              <w14:schemeClr w14:val="tx1"/>
            </w14:solidFill>
          </w14:textFill>
        </w:rPr>
        <w:t xml:space="preserve">3  </w:t>
      </w:r>
      <w:r>
        <w:rPr>
          <w:rFonts w:hint="eastAsia" w:ascii="仿宋_GB2312" w:hAnsi="仿宋_GB2312" w:eastAsia="仿宋_GB2312" w:cs="仿宋_GB2312"/>
          <w:b/>
          <w:bCs/>
          <w:color w:val="000000" w:themeColor="text1"/>
          <w:sz w:val="28"/>
          <w:szCs w:val="28"/>
          <w14:textFill>
            <w14:solidFill>
              <w14:schemeClr w14:val="tx1"/>
            </w14:solidFill>
          </w14:textFill>
        </w:rPr>
        <w:t>课程开设总体情况分析</w:t>
      </w:r>
      <w:bookmarkEnd w:id="344"/>
      <w:bookmarkEnd w:id="345"/>
      <w:bookmarkEnd w:id="346"/>
      <w:bookmarkEnd w:id="347"/>
      <w:bookmarkEnd w:id="348"/>
      <w:bookmarkEnd w:id="349"/>
    </w:p>
    <w:p>
      <w:pPr>
        <w:spacing w:line="500" w:lineRule="exact"/>
        <w:ind w:firstLine="562" w:firstLineChars="200"/>
        <w:rPr>
          <w:rFonts w:ascii="仿宋_GB2312" w:hAnsi="Times New Roman" w:eastAsia="仿宋_GB2312"/>
          <w:bCs/>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课程设置符合类型教育特点。</w:t>
      </w:r>
      <w:r>
        <w:rPr>
          <w:rFonts w:hint="eastAsia" w:ascii="仿宋_GB2312" w:hAnsi="Times New Roman" w:eastAsia="仿宋_GB2312"/>
          <w:bCs/>
          <w:color w:val="000000" w:themeColor="text1"/>
          <w:sz w:val="28"/>
          <w:szCs w:val="28"/>
          <w14:textFill>
            <w14:solidFill>
              <w14:schemeClr w14:val="tx1"/>
            </w14:solidFill>
          </w14:textFill>
        </w:rPr>
        <w:t>2020-2021学年，山东高职院校共开设课程78894门，较上学年增加7180门，其中，线上课程35273门。开设课程门数超过1000门的院校33所，说明高职院校提供给学生可选择课程资源逐年增长，适应了学分制试点和学生多样化成才的需要。其中理论课程（A类）15466门，理实一体化课程（B类）50868门，实践课程（C类）13752门，B类与C类课程占课程总数的80.69%，课程开设体出了职业教育的职业性特点。</w:t>
      </w:r>
    </w:p>
    <w:p>
      <w:pPr>
        <w:spacing w:line="500" w:lineRule="exact"/>
        <w:ind w:firstLine="562" w:firstLineChars="200"/>
        <w:rPr>
          <w:rFonts w:ascii="仿宋_GB2312" w:hAnsi="Times New Roman" w:eastAsia="仿宋_GB2312"/>
          <w:bCs/>
          <w:color w:val="000000" w:themeColor="text1"/>
          <w:sz w:val="28"/>
          <w:szCs w:val="28"/>
          <w14:textFill>
            <w14:solidFill>
              <w14:schemeClr w14:val="tx1"/>
            </w14:solidFill>
          </w14:textFill>
        </w:rPr>
      </w:pPr>
      <w:r>
        <w:rPr>
          <w:rFonts w:hint="eastAsia" w:ascii="Times New Roman" w:hAnsi="Times New Roman" w:eastAsia="仿宋_GB2312"/>
          <w:b/>
          <w:bCs/>
          <w:color w:val="000000" w:themeColor="text1"/>
          <w:sz w:val="28"/>
          <w:szCs w:val="28"/>
          <w14:textFill>
            <w14:solidFill>
              <w14:schemeClr w14:val="tx1"/>
            </w14:solidFill>
          </w14:textFill>
        </w:rPr>
        <w:t>课程性质与属性满足学生个性化培养需求。</w:t>
      </w:r>
      <w:r>
        <w:rPr>
          <w:rFonts w:hint="eastAsia" w:ascii="仿宋_GB2312" w:hAnsi="宋体" w:eastAsia="仿宋_GB2312"/>
          <w:color w:val="000000" w:themeColor="text1"/>
          <w:sz w:val="28"/>
          <w:szCs w:val="28"/>
          <w14:textFill>
            <w14:solidFill>
              <w14:schemeClr w14:val="tx1"/>
            </w14:solidFill>
          </w14:textFill>
        </w:rPr>
        <w:t>2020-2021学年，</w:t>
      </w:r>
      <w:r>
        <w:rPr>
          <w:rFonts w:hint="eastAsia" w:ascii="仿宋_GB2312" w:hAnsi="Times New Roman" w:eastAsia="仿宋_GB2312"/>
          <w:bCs/>
          <w:color w:val="000000" w:themeColor="text1"/>
          <w:sz w:val="28"/>
          <w:szCs w:val="28"/>
          <w14:textFill>
            <w14:solidFill>
              <w14:schemeClr w14:val="tx1"/>
            </w14:solidFill>
          </w14:textFill>
        </w:rPr>
        <w:t>全省高职院校开设的78894门课程中，公共课程11981门，占总数的15.19%；专业基础课程14471门，占18.34%；专业课程54001门，占68.45%。从必修课与选修课设置看，必修课程</w:t>
      </w:r>
      <w:r>
        <w:rPr>
          <w:rFonts w:ascii="仿宋_GB2312" w:hAnsi="Times New Roman" w:eastAsia="仿宋_GB2312"/>
          <w:bCs/>
          <w:color w:val="000000" w:themeColor="text1"/>
          <w:sz w:val="28"/>
          <w:szCs w:val="28"/>
          <w14:textFill>
            <w14:solidFill>
              <w14:schemeClr w14:val="tx1"/>
            </w14:solidFill>
          </w14:textFill>
        </w:rPr>
        <w:t>63573</w:t>
      </w:r>
      <w:r>
        <w:rPr>
          <w:rFonts w:hint="eastAsia" w:ascii="仿宋_GB2312" w:hAnsi="Times New Roman" w:eastAsia="仿宋_GB2312"/>
          <w:bCs/>
          <w:color w:val="000000" w:themeColor="text1"/>
          <w:sz w:val="28"/>
          <w:szCs w:val="28"/>
          <w14:textFill>
            <w14:solidFill>
              <w14:schemeClr w14:val="tx1"/>
            </w14:solidFill>
          </w14:textFill>
        </w:rPr>
        <w:t>门，占课程总数的84.75%；公共选修课程</w:t>
      </w:r>
      <w:r>
        <w:rPr>
          <w:rFonts w:ascii="仿宋_GB2312" w:hAnsi="Times New Roman" w:eastAsia="仿宋_GB2312"/>
          <w:bCs/>
          <w:color w:val="000000" w:themeColor="text1"/>
          <w:sz w:val="28"/>
          <w:szCs w:val="28"/>
          <w14:textFill>
            <w14:solidFill>
              <w14:schemeClr w14:val="tx1"/>
            </w14:solidFill>
          </w14:textFill>
        </w:rPr>
        <w:t>5207</w:t>
      </w:r>
      <w:r>
        <w:rPr>
          <w:rFonts w:hint="eastAsia" w:ascii="仿宋_GB2312" w:hAnsi="Times New Roman" w:eastAsia="仿宋_GB2312"/>
          <w:bCs/>
          <w:color w:val="000000" w:themeColor="text1"/>
          <w:sz w:val="28"/>
          <w:szCs w:val="28"/>
          <w14:textFill>
            <w14:solidFill>
              <w14:schemeClr w14:val="tx1"/>
            </w14:solidFill>
          </w14:textFill>
        </w:rPr>
        <w:t>门、专业选修课程</w:t>
      </w:r>
      <w:r>
        <w:rPr>
          <w:rFonts w:ascii="仿宋_GB2312" w:hAnsi="Times New Roman" w:eastAsia="仿宋_GB2312"/>
          <w:bCs/>
          <w:color w:val="000000" w:themeColor="text1"/>
          <w:sz w:val="28"/>
          <w:szCs w:val="28"/>
          <w14:textFill>
            <w14:solidFill>
              <w14:schemeClr w14:val="tx1"/>
            </w14:solidFill>
          </w14:textFill>
        </w:rPr>
        <w:t>10114</w:t>
      </w:r>
      <w:r>
        <w:rPr>
          <w:rFonts w:hint="eastAsia" w:ascii="仿宋_GB2312" w:hAnsi="Times New Roman" w:eastAsia="仿宋_GB2312"/>
          <w:bCs/>
          <w:color w:val="000000" w:themeColor="text1"/>
          <w:sz w:val="28"/>
          <w:szCs w:val="28"/>
          <w14:textFill>
            <w14:solidFill>
              <w14:schemeClr w14:val="tx1"/>
            </w14:solidFill>
          </w14:textFill>
        </w:rPr>
        <w:t>门，二者占开设课程总数的15.25%，课程开设情况符合教育部相关文件要求。</w:t>
      </w:r>
    </w:p>
    <w:p>
      <w:pPr>
        <w:spacing w:line="520" w:lineRule="exact"/>
        <w:ind w:firstLine="567"/>
        <w:outlineLvl w:val="1"/>
        <w:rPr>
          <w:rFonts w:ascii="楷体_GB2312" w:hAnsi="黑体" w:eastAsia="楷体_GB2312" w:cs="黑体"/>
          <w:bCs/>
          <w:color w:val="000000" w:themeColor="text1"/>
          <w:sz w:val="28"/>
          <w:szCs w:val="28"/>
          <w14:textFill>
            <w14:solidFill>
              <w14:schemeClr w14:val="tx1"/>
            </w14:solidFill>
          </w14:textFill>
        </w:rPr>
      </w:pPr>
      <w:bookmarkStart w:id="350" w:name="_Toc94172351"/>
      <w:bookmarkStart w:id="351" w:name="_Toc94183453"/>
      <w:bookmarkStart w:id="352" w:name="_Toc94172210"/>
      <w:r>
        <w:rPr>
          <w:rFonts w:hint="eastAsia" w:ascii="楷体_GB2312" w:hAnsi="黑体" w:eastAsia="楷体_GB2312" w:cs="黑体"/>
          <w:bCs/>
          <w:color w:val="000000" w:themeColor="text1"/>
          <w:sz w:val="28"/>
          <w:szCs w:val="28"/>
          <w14:textFill>
            <w14:solidFill>
              <w14:schemeClr w14:val="tx1"/>
            </w14:solidFill>
          </w14:textFill>
        </w:rPr>
        <w:t>3.5质量保障</w:t>
      </w:r>
      <w:bookmarkEnd w:id="350"/>
      <w:bookmarkEnd w:id="351"/>
      <w:bookmarkEnd w:id="352"/>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353" w:name="_Toc91604688"/>
      <w:bookmarkStart w:id="354" w:name="_Toc94172211"/>
      <w:bookmarkStart w:id="355" w:name="_Toc94172352"/>
      <w:bookmarkStart w:id="356" w:name="_Toc91606530"/>
      <w:bookmarkStart w:id="357" w:name="_Toc94183454"/>
      <w:bookmarkStart w:id="358" w:name="_Toc91605013"/>
      <w:r>
        <w:rPr>
          <w:rFonts w:hint="eastAsia" w:ascii="仿宋_GB2312" w:hAnsi="仿宋_GB2312" w:eastAsia="仿宋_GB2312" w:cs="仿宋_GB2312"/>
          <w:b/>
          <w:bCs/>
          <w:color w:val="000000" w:themeColor="text1"/>
          <w:sz w:val="28"/>
          <w:szCs w:val="28"/>
          <w14:textFill>
            <w14:solidFill>
              <w14:schemeClr w14:val="tx1"/>
            </w14:solidFill>
          </w14:textFill>
        </w:rPr>
        <w:t>3.5.1</w:t>
      </w:r>
      <w:r>
        <w:rPr>
          <w:rFonts w:ascii="仿宋_GB2312" w:hAnsi="仿宋_GB2312" w:eastAsia="仿宋_GB2312" w:cs="仿宋_GB2312"/>
          <w:b/>
          <w:bCs/>
          <w:color w:val="000000" w:themeColor="text1"/>
          <w:sz w:val="28"/>
          <w:szCs w:val="28"/>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14:textFill>
            <w14:solidFill>
              <w14:schemeClr w14:val="tx1"/>
            </w14:solidFill>
          </w14:textFill>
        </w:rPr>
        <w:t>深化教育督导改革</w:t>
      </w:r>
      <w:bookmarkEnd w:id="353"/>
      <w:bookmarkEnd w:id="354"/>
      <w:bookmarkEnd w:id="355"/>
      <w:bookmarkEnd w:id="356"/>
      <w:bookmarkEnd w:id="357"/>
      <w:bookmarkEnd w:id="358"/>
    </w:p>
    <w:p>
      <w:pPr>
        <w:spacing w:line="50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完善教育督导管理体制，研究制定《关于深化新时代教育督导体制机制改革的实施意见》，召开教育督导工作专题会议，加强督导责任区建设，完成新一届省督学换届，健全完善追责问责机制。围绕教育方针的贯彻落实情况，进一步加强对职业教育的督导评估，强化工作联动，保障“双高”建设和“职教创新”，打造职业教育发展新高地。各高职院校加强督导履行教育职责，滨州职业学院制定《滨州职业学院教学督导工作实施细则（修订）》，进一步强化督导、督学、评估监测职能。淄博职业学院修订《淄博职业学院督导工作条例》《淄博职业学院教学质量评价办法》，不断完善督导制度体系。</w:t>
      </w:r>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359" w:name="_Toc91604689"/>
      <w:bookmarkStart w:id="360" w:name="_Toc91606531"/>
      <w:bookmarkStart w:id="361" w:name="_Toc94172353"/>
      <w:bookmarkStart w:id="362" w:name="_Toc91605014"/>
      <w:bookmarkStart w:id="363" w:name="_Toc94183455"/>
      <w:bookmarkStart w:id="364" w:name="_Toc94172212"/>
      <w:r>
        <w:rPr>
          <w:rFonts w:hint="eastAsia" w:ascii="仿宋_GB2312" w:hAnsi="仿宋_GB2312" w:eastAsia="仿宋_GB2312" w:cs="仿宋_GB2312"/>
          <w:b/>
          <w:bCs/>
          <w:color w:val="000000" w:themeColor="text1"/>
          <w:sz w:val="28"/>
          <w:szCs w:val="28"/>
          <w14:textFill>
            <w14:solidFill>
              <w14:schemeClr w14:val="tx1"/>
            </w14:solidFill>
          </w14:textFill>
        </w:rPr>
        <w:t>3.5.2</w:t>
      </w:r>
      <w:r>
        <w:rPr>
          <w:rFonts w:ascii="仿宋_GB2312" w:hAnsi="仿宋_GB2312" w:eastAsia="仿宋_GB2312" w:cs="仿宋_GB2312"/>
          <w:b/>
          <w:bCs/>
          <w:color w:val="000000" w:themeColor="text1"/>
          <w:sz w:val="28"/>
          <w:szCs w:val="28"/>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14:textFill>
            <w14:solidFill>
              <w14:schemeClr w14:val="tx1"/>
            </w14:solidFill>
          </w14:textFill>
        </w:rPr>
        <w:t>持续推进质量保证体系建设</w:t>
      </w:r>
      <w:bookmarkEnd w:id="359"/>
      <w:bookmarkEnd w:id="360"/>
      <w:bookmarkEnd w:id="361"/>
      <w:bookmarkEnd w:id="362"/>
      <w:bookmarkEnd w:id="363"/>
      <w:bookmarkEnd w:id="364"/>
    </w:p>
    <w:p>
      <w:pPr>
        <w:spacing w:line="500" w:lineRule="exact"/>
        <w:ind w:firstLine="560" w:firstLineChars="200"/>
        <w:rPr>
          <w:rFonts w:ascii="仿宋" w:hAnsi="仿宋" w:eastAsia="仿宋"/>
          <w:b/>
          <w:bCs/>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完善教学诊改工作机制，举</w:t>
      </w:r>
      <w:r>
        <w:rPr>
          <w:rFonts w:hint="eastAsia" w:ascii="仿宋_GB2312" w:hAnsi="Times New Roman" w:eastAsia="仿宋_GB2312"/>
          <w:color w:val="000000" w:themeColor="text1"/>
          <w:sz w:val="28"/>
          <w:szCs w:val="28"/>
          <w14:textFill>
            <w14:solidFill>
              <w14:schemeClr w14:val="tx1"/>
            </w14:solidFill>
          </w14:textFill>
        </w:rPr>
        <w:t>办2021年山东省高职院校内部诊断与质量评价论坛，实施专家指导，完善质量体系。深入推进山东省教学诊改试点复核工作，3所国家级和27所省级试点学校均完成了教学诊改复核。不断优化高职院校办学质量和专业发展水平考核指标，定性与定量指标结合，学校自评与社情民意调查等有机结合，有序推动83所高职院校开展第二轮办学质量年度考核工作，引导学校按</w:t>
      </w:r>
      <w:r>
        <w:rPr>
          <w:rFonts w:hint="eastAsia" w:ascii="Times New Roman" w:hAnsi="Times New Roman" w:eastAsia="仿宋_GB2312"/>
          <w:color w:val="000000" w:themeColor="text1"/>
          <w:sz w:val="28"/>
          <w:szCs w:val="28"/>
          <w14:textFill>
            <w14:solidFill>
              <w14:schemeClr w14:val="tx1"/>
            </w14:solidFill>
          </w14:textFill>
        </w:rPr>
        <w:t>类型教育规律办学，实现高质量发展，更好服务重大战略、重大工程。</w:t>
      </w:r>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365" w:name="_Toc94172354"/>
      <w:bookmarkStart w:id="366" w:name="_Toc91604690"/>
      <w:bookmarkStart w:id="367" w:name="_Toc91605015"/>
      <w:bookmarkStart w:id="368" w:name="_Toc91606532"/>
      <w:bookmarkStart w:id="369" w:name="_Toc94172213"/>
      <w:bookmarkStart w:id="370" w:name="_Toc94183456"/>
      <w:r>
        <w:rPr>
          <w:rFonts w:hint="eastAsia" w:ascii="仿宋_GB2312" w:hAnsi="仿宋_GB2312" w:eastAsia="仿宋_GB2312" w:cs="仿宋_GB2312"/>
          <w:b/>
          <w:bCs/>
          <w:color w:val="000000" w:themeColor="text1"/>
          <w:sz w:val="28"/>
          <w:szCs w:val="28"/>
          <w14:textFill>
            <w14:solidFill>
              <w14:schemeClr w14:val="tx1"/>
            </w14:solidFill>
          </w14:textFill>
        </w:rPr>
        <w:t>3.5.3 重点强化标准化建设</w:t>
      </w:r>
      <w:bookmarkEnd w:id="365"/>
      <w:bookmarkEnd w:id="366"/>
      <w:bookmarkEnd w:id="367"/>
      <w:bookmarkEnd w:id="368"/>
      <w:bookmarkEnd w:id="369"/>
      <w:bookmarkEnd w:id="370"/>
    </w:p>
    <w:p>
      <w:pPr>
        <w:spacing w:line="50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建立健全标准体系，研究制定《试办本科层次职业教育的学校基本要求》和《职业教育本科专业设置基本要求》，为教育部出台本科职业教育标准提供有效参考。全面推进职业教育教学标准和行业技术规范对接，将新技术、新工艺、新资源融入教育教学，一体化设计职业教育各学段标准，开展中职、高职与本科贯通培养试点专业点136个；开发469个专业教学标准及新型活页式、工作手册式教材；建设并更新50个职业教育专业教学资源库、3000门在线开放精品课程，创新标准建设职业教育创新发展高地。</w:t>
      </w:r>
    </w:p>
    <w:p>
      <w:pPr>
        <w:spacing w:line="520" w:lineRule="exact"/>
        <w:ind w:firstLine="567"/>
        <w:outlineLvl w:val="2"/>
        <w:rPr>
          <w:rFonts w:ascii="仿宋_GB2312" w:hAnsi="仿宋_GB2312" w:eastAsia="仿宋_GB2312" w:cs="仿宋_GB2312"/>
          <w:b/>
          <w:bCs/>
          <w:color w:val="000000" w:themeColor="text1"/>
          <w:sz w:val="28"/>
          <w:szCs w:val="28"/>
          <w14:textFill>
            <w14:solidFill>
              <w14:schemeClr w14:val="tx1"/>
            </w14:solidFill>
          </w14:textFill>
        </w:rPr>
      </w:pPr>
      <w:bookmarkStart w:id="371" w:name="_Toc94183457"/>
      <w:bookmarkStart w:id="372" w:name="_Toc91605016"/>
      <w:bookmarkStart w:id="373" w:name="_Toc94172355"/>
      <w:bookmarkStart w:id="374" w:name="_Toc91604691"/>
      <w:bookmarkStart w:id="375" w:name="_Toc91606533"/>
      <w:bookmarkStart w:id="376" w:name="_Toc94172214"/>
      <w:r>
        <w:rPr>
          <w:rFonts w:hint="eastAsia" w:ascii="仿宋_GB2312" w:hAnsi="仿宋_GB2312" w:eastAsia="仿宋_GB2312" w:cs="仿宋_GB2312"/>
          <w:b/>
          <w:bCs/>
          <w:color w:val="000000" w:themeColor="text1"/>
          <w:sz w:val="28"/>
          <w:szCs w:val="28"/>
          <w14:textFill>
            <w14:solidFill>
              <w14:schemeClr w14:val="tx1"/>
            </w14:solidFill>
          </w14:textFill>
        </w:rPr>
        <w:t>3.5.4 完善质量年度发布制度</w:t>
      </w:r>
      <w:bookmarkEnd w:id="371"/>
      <w:bookmarkEnd w:id="372"/>
      <w:bookmarkEnd w:id="373"/>
      <w:bookmarkEnd w:id="374"/>
      <w:bookmarkEnd w:id="375"/>
      <w:bookmarkEnd w:id="376"/>
    </w:p>
    <w:p>
      <w:pPr>
        <w:spacing w:line="50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完善省级高等职业教育质量年度报告指导、编撰、报送、发布制度，组织开展全省《高等职业教育质量年度报告》编制常态化专题培训，建立“三次报送、三级审核”制度，并向社会公开。2021年，83所高职院校报送并发布了质量年度报告，19</w:t>
      </w:r>
      <w:r>
        <w:rPr>
          <w:rFonts w:ascii="仿宋_GB2312" w:hAnsi="Times New Roman" w:eastAsia="仿宋_GB2312"/>
          <w:color w:val="000000" w:themeColor="text1"/>
          <w:sz w:val="28"/>
          <w:szCs w:val="28"/>
          <w14:textFill>
            <w14:solidFill>
              <w14:schemeClr w14:val="tx1"/>
            </w14:solidFill>
          </w14:textFill>
        </w:rPr>
        <w:t>9</w:t>
      </w:r>
      <w:r>
        <w:rPr>
          <w:rFonts w:hint="eastAsia" w:ascii="仿宋_GB2312" w:hAnsi="Times New Roman" w:eastAsia="仿宋_GB2312"/>
          <w:color w:val="000000" w:themeColor="text1"/>
          <w:sz w:val="28"/>
          <w:szCs w:val="28"/>
          <w14:textFill>
            <w14:solidFill>
              <w14:schemeClr w14:val="tx1"/>
            </w14:solidFill>
          </w14:textFill>
        </w:rPr>
        <w:t>家企业发布了企业参与高等职业教育人才培养年度报告。组建省级质量年报编制工作团队，完善编制工作流程及质量标准，确保质量年报编制科学性、规范性。</w:t>
      </w:r>
    </w:p>
    <w:tbl>
      <w:tblPr>
        <w:tblStyle w:val="21"/>
        <w:tblW w:w="8642"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64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567" w:hRule="atLeast"/>
          <w:jc w:val="center"/>
        </w:trPr>
        <w:tc>
          <w:tcPr>
            <w:tcW w:w="8642" w:type="dxa"/>
            <w:tcBorders>
              <w:bottom w:val="single" w:color="FFFFFF" w:sz="4" w:space="0"/>
            </w:tcBorders>
            <w:shd w:val="clear" w:color="auto" w:fill="0070C0"/>
            <w:vAlign w:val="center"/>
          </w:tcPr>
          <w:p>
            <w:pPr>
              <w:spacing w:line="520" w:lineRule="exact"/>
              <w:outlineLvl w:val="1"/>
              <w:rPr>
                <w:rFonts w:ascii="楷体_GB2312" w:hAnsi="Times New Roman" w:eastAsia="楷体_GB2312" w:cs="Times New Roman"/>
                <w:color w:val="000000" w:themeColor="text1"/>
                <w:kern w:val="0"/>
                <w:sz w:val="28"/>
                <w:szCs w:val="28"/>
                <w14:textFill>
                  <w14:solidFill>
                    <w14:schemeClr w14:val="tx1"/>
                  </w14:solidFill>
                </w14:textFill>
              </w:rPr>
            </w:pPr>
            <w:bookmarkStart w:id="377" w:name="_Toc94172215"/>
            <w:bookmarkStart w:id="378" w:name="_Toc94172356"/>
            <w:bookmarkStart w:id="379" w:name="_Toc94183458"/>
            <w:r>
              <w:rPr>
                <w:rFonts w:hint="eastAsia" w:ascii="楷体_GB2312" w:hAnsi="黑体" w:eastAsia="楷体_GB2312" w:cs="黑体"/>
                <w:b/>
                <w:bCs/>
                <w:color w:val="FFFFFF" w:themeColor="background1"/>
                <w:sz w:val="28"/>
                <w:szCs w:val="28"/>
                <w14:textFill>
                  <w14:solidFill>
                    <w14:schemeClr w14:val="bg1"/>
                  </w14:solidFill>
                </w14:textFill>
              </w:rPr>
              <w:t>专栏3-</w:t>
            </w:r>
            <w:r>
              <w:rPr>
                <w:rFonts w:ascii="楷体_GB2312" w:hAnsi="黑体" w:eastAsia="楷体_GB2312" w:cs="黑体"/>
                <w:b/>
                <w:bCs/>
                <w:color w:val="FFFFFF" w:themeColor="background1"/>
                <w:sz w:val="28"/>
                <w:szCs w:val="28"/>
                <w14:textFill>
                  <w14:solidFill>
                    <w14:schemeClr w14:val="bg1"/>
                  </w14:solidFill>
                </w14:textFill>
              </w:rPr>
              <w:t xml:space="preserve">5 </w:t>
            </w:r>
            <w:r>
              <w:rPr>
                <w:rFonts w:hint="eastAsia" w:ascii="楷体_GB2312" w:hAnsi="黑体" w:eastAsia="楷体_GB2312" w:cs="黑体"/>
                <w:b/>
                <w:bCs/>
                <w:color w:val="FFFFFF" w:themeColor="background1"/>
                <w:sz w:val="28"/>
                <w:szCs w:val="28"/>
                <w14:textFill>
                  <w14:solidFill>
                    <w14:schemeClr w14:val="bg1"/>
                  </w14:solidFill>
                </w14:textFill>
              </w:rPr>
              <w:t>非试点探索出内部质量保证体系建设可靠路径</w:t>
            </w:r>
            <w:bookmarkEnd w:id="377"/>
            <w:bookmarkEnd w:id="378"/>
            <w:bookmarkEnd w:id="379"/>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642" w:type="dxa"/>
            <w:shd w:val="clear" w:color="auto" w:fill="CDEAFF"/>
          </w:tcPr>
          <w:p>
            <w:pPr>
              <w:spacing w:after="62" w:afterLines="20" w:line="440" w:lineRule="exact"/>
              <w:ind w:firstLine="482"/>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70C0"/>
                <w:sz w:val="24"/>
                <w:szCs w:val="24"/>
              </w:rPr>
              <w:t>山东劳动职业技术学院</w:t>
            </w:r>
            <w:r>
              <w:rPr>
                <w:rFonts w:hint="eastAsia" w:ascii="Times New Roman" w:hAnsi="Times New Roman" w:eastAsia="仿宋_GB2312" w:cs="Times New Roman"/>
                <w:color w:val="000000" w:themeColor="text1"/>
                <w:sz w:val="24"/>
                <w:szCs w:val="24"/>
                <w14:textFill>
                  <w14:solidFill>
                    <w14:schemeClr w14:val="tx1"/>
                  </w14:solidFill>
                </w14:textFill>
              </w:rPr>
              <w:t>秉承“不唯试点做诊改，心无旁骛提质量”的内部质量保证体系建设理念，聚焦制约学校高质</w:t>
            </w:r>
            <w:r>
              <w:rPr>
                <w:rFonts w:hint="eastAsia" w:ascii="仿宋_GB2312" w:hAnsi="Times New Roman" w:eastAsia="仿宋_GB2312" w:cs="Times New Roman"/>
                <w:color w:val="000000" w:themeColor="text1"/>
                <w:sz w:val="24"/>
                <w:szCs w:val="24"/>
                <w14:textFill>
                  <w14:solidFill>
                    <w14:schemeClr w14:val="tx1"/>
                  </w14:solidFill>
                </w14:textFill>
              </w:rPr>
              <w:t>量发展十个方面的问题，构建了“两链牵引 数据建模 平台支撑 末梢激活”的内部质量保证体系实践模式，有效破解学校提质增效困局，赋能学校谋进求变、长治久安。学校成为山东省唯一入选全国教学诊改制度优秀案例的非试点单位，是山东省首例通过诊改现场复核的非试点院校，建设模式在国省会议中做典型经验介绍，在全国10个省份46所职业院校中推广应用，为验证教学诊改制度的有效性和输出诊改山东经验做出突出贡献。</w:t>
            </w:r>
          </w:p>
        </w:tc>
      </w:tr>
    </w:tbl>
    <w:p>
      <w:pPr>
        <w:widowControl/>
        <w:jc w:val="left"/>
        <w:rPr>
          <w:rFonts w:ascii="黑体" w:hAnsi="黑体" w:eastAsia="黑体" w:cs="黑体"/>
          <w:color w:val="000000" w:themeColor="text1"/>
          <w:sz w:val="28"/>
          <w:szCs w:val="28"/>
          <w14:textFill>
            <w14:solidFill>
              <w14:schemeClr w14:val="tx1"/>
            </w14:solidFill>
          </w14:textFill>
        </w:rPr>
      </w:pPr>
      <w:r>
        <w:rPr>
          <w:rFonts w:ascii="黑体" w:hAnsi="黑体" w:eastAsia="黑体" w:cs="黑体"/>
          <w:color w:val="000000" w:themeColor="text1"/>
          <w:sz w:val="28"/>
          <w:szCs w:val="28"/>
          <w14:textFill>
            <w14:solidFill>
              <w14:schemeClr w14:val="tx1"/>
            </w14:solidFill>
          </w14:textFill>
        </w:rPr>
        <w:br w:type="page"/>
      </w:r>
    </w:p>
    <w:p>
      <w:pPr>
        <w:spacing w:line="520" w:lineRule="exact"/>
        <w:ind w:firstLine="560" w:firstLineChars="200"/>
        <w:outlineLvl w:val="0"/>
        <w:rPr>
          <w:rFonts w:ascii="黑体" w:hAnsi="黑体" w:eastAsia="黑体" w:cs="黑体"/>
          <w:color w:val="000000" w:themeColor="text1"/>
          <w:sz w:val="28"/>
          <w:szCs w:val="28"/>
          <w14:textFill>
            <w14:solidFill>
              <w14:schemeClr w14:val="tx1"/>
            </w14:solidFill>
          </w14:textFill>
        </w:rPr>
      </w:pPr>
      <w:bookmarkStart w:id="380" w:name="_Toc94172217"/>
      <w:bookmarkStart w:id="381" w:name="_Toc94172358"/>
      <w:bookmarkStart w:id="382" w:name="_Toc94183459"/>
      <w:r>
        <w:rPr>
          <w:rFonts w:hint="eastAsia" w:ascii="黑体" w:hAnsi="黑体" w:eastAsia="黑体" w:cs="黑体"/>
          <w:color w:val="000000" w:themeColor="text1"/>
          <w:sz w:val="28"/>
          <w:szCs w:val="28"/>
          <w14:textFill>
            <w14:solidFill>
              <w14:schemeClr w14:val="tx1"/>
            </w14:solidFill>
          </w14:textFill>
        </w:rPr>
        <w:t>4  学生发展</w:t>
      </w:r>
      <w:bookmarkEnd w:id="380"/>
      <w:bookmarkEnd w:id="381"/>
      <w:bookmarkEnd w:id="382"/>
    </w:p>
    <w:p>
      <w:pPr>
        <w:spacing w:line="52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山东省高职院校全面贯彻党的教育方针，深入落实</w:t>
      </w:r>
      <w:r>
        <w:rPr>
          <w:rFonts w:ascii="仿宋_GB2312" w:hAnsi="仿宋_GB2312" w:eastAsia="仿宋_GB2312" w:cs="仿宋_GB2312"/>
          <w:color w:val="000000" w:themeColor="text1"/>
          <w:sz w:val="28"/>
          <w:szCs w:val="28"/>
          <w14:textFill>
            <w14:solidFill>
              <w14:schemeClr w14:val="tx1"/>
            </w14:solidFill>
          </w14:textFill>
        </w:rPr>
        <w:t>立德树人</w:t>
      </w:r>
      <w:r>
        <w:rPr>
          <w:rFonts w:hint="eastAsia" w:ascii="仿宋_GB2312" w:hAnsi="仿宋_GB2312" w:eastAsia="仿宋_GB2312" w:cs="仿宋_GB2312"/>
          <w:color w:val="000000" w:themeColor="text1"/>
          <w:sz w:val="28"/>
          <w:szCs w:val="28"/>
          <w14:textFill>
            <w14:solidFill>
              <w14:schemeClr w14:val="tx1"/>
            </w14:solidFill>
          </w14:textFill>
        </w:rPr>
        <w:t>根本任务</w:t>
      </w:r>
      <w:r>
        <w:rPr>
          <w:rFonts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在加快推进部省共建国家职业教育创新发展高地的进程中，</w:t>
      </w:r>
      <w:r>
        <w:rPr>
          <w:rFonts w:ascii="仿宋_GB2312" w:hAnsi="仿宋_GB2312" w:eastAsia="仿宋_GB2312" w:cs="仿宋_GB2312"/>
          <w:color w:val="000000" w:themeColor="text1"/>
          <w:sz w:val="28"/>
          <w:szCs w:val="28"/>
          <w14:textFill>
            <w14:solidFill>
              <w14:schemeClr w14:val="tx1"/>
            </w14:solidFill>
          </w14:textFill>
        </w:rPr>
        <w:t>自觉肩负</w:t>
      </w:r>
      <w:r>
        <w:rPr>
          <w:rFonts w:hint="eastAsia" w:ascii="仿宋_GB2312" w:hAnsi="仿宋_GB2312" w:eastAsia="仿宋_GB2312" w:cs="仿宋_GB2312"/>
          <w:color w:val="000000" w:themeColor="text1"/>
          <w:sz w:val="28"/>
          <w:szCs w:val="28"/>
          <w14:textFill>
            <w14:solidFill>
              <w14:schemeClr w14:val="tx1"/>
            </w14:solidFill>
          </w14:textFill>
        </w:rPr>
        <w:t>新时代</w:t>
      </w:r>
      <w:r>
        <w:rPr>
          <w:rFonts w:ascii="仿宋_GB2312" w:hAnsi="仿宋_GB2312" w:eastAsia="仿宋_GB2312" w:cs="仿宋_GB2312"/>
          <w:color w:val="000000" w:themeColor="text1"/>
          <w:sz w:val="28"/>
          <w:szCs w:val="28"/>
          <w14:textFill>
            <w14:solidFill>
              <w14:schemeClr w14:val="tx1"/>
            </w14:solidFill>
          </w14:textFill>
        </w:rPr>
        <w:t>育人新使命，</w:t>
      </w:r>
      <w:r>
        <w:rPr>
          <w:rFonts w:hint="eastAsia" w:ascii="仿宋_GB2312" w:hAnsi="仿宋_GB2312" w:eastAsia="仿宋_GB2312" w:cs="仿宋_GB2312"/>
          <w:color w:val="000000" w:themeColor="text1"/>
          <w:sz w:val="28"/>
          <w:szCs w:val="28"/>
          <w14:textFill>
            <w14:solidFill>
              <w14:schemeClr w14:val="tx1"/>
            </w14:solidFill>
          </w14:textFill>
        </w:rPr>
        <w:t>大力弘扬劳模精神、劳动精神、工匠精神，德智体美劳“五育并举”，培养服务区域发展的高素质技术技能人才</w:t>
      </w:r>
      <w:r>
        <w:rPr>
          <w:rFonts w:ascii="仿宋_GB2312" w:hAnsi="仿宋_GB2312" w:eastAsia="仿宋_GB2312" w:cs="仿宋_GB2312"/>
          <w:color w:val="000000" w:themeColor="text1"/>
          <w:sz w:val="28"/>
          <w:szCs w:val="28"/>
          <w14:textFill>
            <w14:solidFill>
              <w14:schemeClr w14:val="tx1"/>
            </w14:solidFill>
          </w14:textFill>
        </w:rPr>
        <w:t>。</w:t>
      </w:r>
    </w:p>
    <w:p>
      <w:pPr>
        <w:spacing w:line="520" w:lineRule="exact"/>
        <w:ind w:firstLine="560" w:firstLineChars="200"/>
        <w:outlineLvl w:val="1"/>
        <w:rPr>
          <w:rFonts w:ascii="楷体_GB2312" w:hAnsi="黑体" w:eastAsia="楷体_GB2312" w:cs="黑体"/>
          <w:bCs/>
          <w:color w:val="000000" w:themeColor="text1"/>
          <w:sz w:val="28"/>
          <w:szCs w:val="28"/>
          <w14:textFill>
            <w14:solidFill>
              <w14:schemeClr w14:val="tx1"/>
            </w14:solidFill>
          </w14:textFill>
        </w:rPr>
      </w:pPr>
      <w:bookmarkStart w:id="383" w:name="_Toc94183460"/>
      <w:bookmarkStart w:id="384" w:name="_Toc94172218"/>
      <w:bookmarkStart w:id="385" w:name="_Toc94172359"/>
      <w:r>
        <w:rPr>
          <w:rFonts w:ascii="楷体_GB2312" w:hAnsi="黑体" w:eastAsia="楷体_GB2312" w:cs="黑体"/>
          <w:bCs/>
          <w:color w:val="000000" w:themeColor="text1"/>
          <w:sz w:val="28"/>
          <w:szCs w:val="28"/>
          <w14:textFill>
            <w14:solidFill>
              <w14:schemeClr w14:val="tx1"/>
            </w14:solidFill>
          </w14:textFill>
        </w:rPr>
        <w:t>4.1 育人成效</w:t>
      </w:r>
      <w:bookmarkEnd w:id="383"/>
      <w:bookmarkEnd w:id="384"/>
      <w:bookmarkEnd w:id="385"/>
    </w:p>
    <w:p>
      <w:pPr>
        <w:spacing w:line="520" w:lineRule="exact"/>
        <w:ind w:firstLine="562" w:firstLineChars="200"/>
        <w:outlineLvl w:val="2"/>
        <w:rPr>
          <w:rFonts w:ascii="仿宋_GB2312" w:hAnsi="Times New Roman" w:eastAsia="仿宋_GB2312" w:cs="Times New Roman"/>
          <w:b/>
          <w:bCs/>
          <w:color w:val="000000" w:themeColor="text1"/>
          <w:sz w:val="28"/>
          <w:szCs w:val="28"/>
          <w14:textFill>
            <w14:solidFill>
              <w14:schemeClr w14:val="tx1"/>
            </w14:solidFill>
          </w14:textFill>
        </w:rPr>
      </w:pPr>
      <w:bookmarkStart w:id="386" w:name="_Toc91606536"/>
      <w:bookmarkStart w:id="387" w:name="_Toc94172219"/>
      <w:bookmarkStart w:id="388" w:name="_Toc94172360"/>
      <w:bookmarkStart w:id="389" w:name="_Toc91604694"/>
      <w:bookmarkStart w:id="390" w:name="_Toc91605019"/>
      <w:bookmarkStart w:id="391" w:name="_Toc94183461"/>
      <w:r>
        <w:rPr>
          <w:rFonts w:ascii="仿宋_GB2312" w:hAnsi="Times New Roman" w:eastAsia="仿宋_GB2312" w:cs="Times New Roman"/>
          <w:b/>
          <w:bCs/>
          <w:color w:val="000000" w:themeColor="text1"/>
          <w:sz w:val="28"/>
          <w:szCs w:val="28"/>
          <w14:textFill>
            <w14:solidFill>
              <w14:schemeClr w14:val="tx1"/>
            </w14:solidFill>
          </w14:textFill>
        </w:rPr>
        <w:t>4.1.1 学生综合素质不断提升</w:t>
      </w:r>
      <w:bookmarkEnd w:id="386"/>
      <w:bookmarkEnd w:id="387"/>
      <w:bookmarkEnd w:id="388"/>
      <w:bookmarkEnd w:id="389"/>
      <w:bookmarkEnd w:id="390"/>
      <w:bookmarkEnd w:id="391"/>
    </w:p>
    <w:p>
      <w:pPr>
        <w:spacing w:line="520" w:lineRule="exact"/>
        <w:ind w:firstLine="560" w:firstLineChars="200"/>
        <w:outlineLvl w:val="3"/>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山东</w:t>
      </w:r>
      <w:r>
        <w:rPr>
          <w:rFonts w:hint="eastAsia" w:ascii="Times New Roman" w:hAnsi="Times New Roman" w:eastAsia="仿宋_GB2312"/>
          <w:color w:val="000000" w:themeColor="text1"/>
          <w:sz w:val="28"/>
          <w:szCs w:val="28"/>
          <w14:textFill>
            <w14:solidFill>
              <w14:schemeClr w14:val="tx1"/>
            </w14:solidFill>
          </w14:textFill>
        </w:rPr>
        <w:t>省高职院校坚持以习近平新时代中国特色社会主义思想为指导，坚持社会主义办学方向，充分发挥教师队伍“主力军”、课程建设“主战场”、课堂教学“主渠道”作用，把思想政治教育贯穿人才培养全过程。各高职院校围绕政治认同、家国情怀、文化素养、法治意识、道德修养、职业理想和职业道德等重点内容，在教学体系、课程教学、教学方法、教师发展、教学质量监控等方面明确育人任务，积极组织开展学生社团活动，深入挖掘各类课程、各培养环节育人功能，形成育人合力，</w:t>
      </w:r>
      <w:r>
        <w:rPr>
          <w:rFonts w:ascii="Times New Roman" w:hAnsi="Times New Roman" w:eastAsia="仿宋_GB2312"/>
          <w:color w:val="000000" w:themeColor="text1"/>
          <w:sz w:val="28"/>
          <w:szCs w:val="28"/>
          <w:lang w:val="zh-CN"/>
          <w14:textFill>
            <w14:solidFill>
              <w14:schemeClr w14:val="tx1"/>
            </w14:solidFill>
          </w14:textFill>
        </w:rPr>
        <w:t>职业技能</w:t>
      </w:r>
      <w:r>
        <w:rPr>
          <w:rFonts w:ascii="Times New Roman" w:hAnsi="Times New Roman" w:eastAsia="仿宋_GB2312"/>
          <w:color w:val="000000" w:themeColor="text1"/>
          <w:sz w:val="28"/>
          <w:szCs w:val="28"/>
          <w14:textFill>
            <w14:solidFill>
              <w14:schemeClr w14:val="tx1"/>
            </w14:solidFill>
          </w14:textFill>
        </w:rPr>
        <w:t>训练与</w:t>
      </w:r>
      <w:r>
        <w:rPr>
          <w:rFonts w:ascii="Times New Roman" w:hAnsi="Times New Roman" w:eastAsia="仿宋_GB2312"/>
          <w:color w:val="000000" w:themeColor="text1"/>
          <w:sz w:val="28"/>
          <w:szCs w:val="28"/>
          <w:lang w:val="zh-CN"/>
          <w14:textFill>
            <w14:solidFill>
              <w14:schemeClr w14:val="tx1"/>
            </w14:solidFill>
          </w14:textFill>
        </w:rPr>
        <w:t>职业</w:t>
      </w:r>
      <w:r>
        <w:rPr>
          <w:rFonts w:hint="eastAsia" w:ascii="Times New Roman" w:hAnsi="Times New Roman" w:eastAsia="仿宋_GB2312"/>
          <w:color w:val="000000" w:themeColor="text1"/>
          <w:sz w:val="28"/>
          <w:szCs w:val="28"/>
          <w14:textFill>
            <w14:solidFill>
              <w14:schemeClr w14:val="tx1"/>
            </w14:solidFill>
          </w14:textFill>
        </w:rPr>
        <w:t>素质养成</w:t>
      </w:r>
      <w:r>
        <w:rPr>
          <w:rFonts w:ascii="Times New Roman" w:hAnsi="Times New Roman" w:eastAsia="仿宋_GB2312"/>
          <w:color w:val="000000" w:themeColor="text1"/>
          <w:sz w:val="28"/>
          <w:szCs w:val="28"/>
          <w:lang w:val="zh-CN"/>
          <w14:textFill>
            <w14:solidFill>
              <w14:schemeClr w14:val="tx1"/>
            </w14:solidFill>
          </w14:textFill>
        </w:rPr>
        <w:t>高度融合，</w:t>
      </w:r>
      <w:r>
        <w:rPr>
          <w:rFonts w:hint="eastAsia" w:ascii="Times New Roman" w:hAnsi="Times New Roman" w:eastAsia="仿宋_GB2312"/>
          <w:color w:val="000000" w:themeColor="text1"/>
          <w:sz w:val="28"/>
          <w:szCs w:val="28"/>
          <w14:textFill>
            <w14:solidFill>
              <w14:schemeClr w14:val="tx1"/>
            </w14:solidFill>
          </w14:textFill>
        </w:rPr>
        <w:t>培养高素质技术技能人才。</w:t>
      </w:r>
    </w:p>
    <w:tbl>
      <w:tblPr>
        <w:tblStyle w:val="21"/>
        <w:tblW w:w="890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90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atLeast"/>
          <w:jc w:val="center"/>
        </w:trPr>
        <w:tc>
          <w:tcPr>
            <w:tcW w:w="8720" w:type="dxa"/>
            <w:tcBorders>
              <w:bottom w:val="single" w:color="FFFFFF" w:sz="4" w:space="0"/>
            </w:tcBorders>
            <w:shd w:val="clear" w:color="auto" w:fill="0070C0"/>
            <w:vAlign w:val="center"/>
          </w:tcPr>
          <w:p>
            <w:pPr>
              <w:spacing w:line="520" w:lineRule="exact"/>
              <w:outlineLvl w:val="1"/>
              <w:rPr>
                <w:rFonts w:ascii="楷体_GB2312" w:hAnsi="Times New Roman" w:eastAsia="楷体_GB2312"/>
                <w:color w:val="000000" w:themeColor="text1"/>
                <w:sz w:val="28"/>
                <w:szCs w:val="28"/>
                <w14:textFill>
                  <w14:solidFill>
                    <w14:schemeClr w14:val="tx1"/>
                  </w14:solidFill>
                </w14:textFill>
              </w:rPr>
            </w:pPr>
            <w:bookmarkStart w:id="392" w:name="_Toc62755745"/>
            <w:bookmarkStart w:id="393" w:name="_Toc94172361"/>
            <w:bookmarkStart w:id="394" w:name="_Toc94172220"/>
            <w:bookmarkStart w:id="395" w:name="_Toc91605020"/>
            <w:bookmarkStart w:id="396" w:name="_Toc94183462"/>
            <w:r>
              <w:rPr>
                <w:rFonts w:hint="eastAsia" w:ascii="楷体_GB2312" w:hAnsi="黑体" w:eastAsia="楷体_GB2312" w:cs="黑体"/>
                <w:b/>
                <w:bCs/>
                <w:color w:val="FFFFFF" w:themeColor="background1"/>
                <w:sz w:val="28"/>
                <w:szCs w:val="28"/>
                <w14:textFill>
                  <w14:solidFill>
                    <w14:schemeClr w14:val="bg1"/>
                  </w14:solidFill>
                </w14:textFill>
              </w:rPr>
              <w:t>专栏4-</w:t>
            </w:r>
            <w:r>
              <w:rPr>
                <w:rFonts w:hint="eastAsia" w:ascii="楷体_GB2312" w:hAnsi="黑体" w:eastAsia="楷体_GB2312" w:cs="黑体"/>
                <w:b/>
                <w:bCs/>
                <w:color w:val="FFFFFF" w:themeColor="background1"/>
                <w:sz w:val="28"/>
                <w:szCs w:val="28"/>
                <w14:textFill>
                  <w14:solidFill>
                    <w14:schemeClr w14:val="bg1"/>
                  </w14:solidFill>
                </w14:textFill>
              </w:rPr>
              <w:fldChar w:fldCharType="begin"/>
            </w:r>
            <w:r>
              <w:rPr>
                <w:rFonts w:hint="eastAsia" w:ascii="楷体_GB2312" w:hAnsi="黑体" w:eastAsia="楷体_GB2312" w:cs="黑体"/>
                <w:b/>
                <w:bCs/>
                <w:color w:val="FFFFFF" w:themeColor="background1"/>
                <w:sz w:val="28"/>
                <w:szCs w:val="28"/>
                <w14:textFill>
                  <w14:solidFill>
                    <w14:schemeClr w14:val="bg1"/>
                  </w14:solidFill>
                </w14:textFill>
              </w:rPr>
              <w:instrText xml:space="preserve"> SEQ 案例 \* ARABIC </w:instrText>
            </w:r>
            <w:r>
              <w:rPr>
                <w:rFonts w:hint="eastAsia" w:ascii="楷体_GB2312" w:hAnsi="黑体" w:eastAsia="楷体_GB2312" w:cs="黑体"/>
                <w:b/>
                <w:bCs/>
                <w:color w:val="FFFFFF" w:themeColor="background1"/>
                <w:sz w:val="28"/>
                <w:szCs w:val="28"/>
                <w14:textFill>
                  <w14:solidFill>
                    <w14:schemeClr w14:val="bg1"/>
                  </w14:solidFill>
                </w14:textFill>
              </w:rPr>
              <w:fldChar w:fldCharType="separate"/>
            </w:r>
            <w:r>
              <w:rPr>
                <w:rFonts w:ascii="楷体_GB2312" w:hAnsi="黑体" w:eastAsia="楷体_GB2312" w:cs="黑体"/>
                <w:b/>
                <w:bCs/>
                <w:color w:val="FFFFFF" w:themeColor="background1"/>
                <w:sz w:val="28"/>
                <w:szCs w:val="28"/>
                <w14:textFill>
                  <w14:solidFill>
                    <w14:schemeClr w14:val="bg1"/>
                  </w14:solidFill>
                </w14:textFill>
              </w:rPr>
              <w:t>1</w:t>
            </w:r>
            <w:r>
              <w:rPr>
                <w:rFonts w:hint="eastAsia" w:ascii="楷体_GB2312" w:hAnsi="黑体" w:eastAsia="楷体_GB2312" w:cs="黑体"/>
                <w:b/>
                <w:bCs/>
                <w:color w:val="FFFFFF" w:themeColor="background1"/>
                <w:sz w:val="28"/>
                <w:szCs w:val="28"/>
                <w14:textFill>
                  <w14:solidFill>
                    <w14:schemeClr w14:val="bg1"/>
                  </w14:solidFill>
                </w14:textFill>
              </w:rPr>
              <w:fldChar w:fldCharType="end"/>
            </w:r>
            <w:r>
              <w:rPr>
                <w:rFonts w:hint="eastAsia" w:ascii="楷体_GB2312" w:hAnsi="黑体" w:eastAsia="楷体_GB2312" w:cs="黑体"/>
                <w:b/>
                <w:bCs/>
                <w:color w:val="FFFFFF" w:themeColor="background1"/>
                <w:sz w:val="28"/>
                <w:szCs w:val="28"/>
                <w14:textFill>
                  <w14:solidFill>
                    <w14:schemeClr w14:val="bg1"/>
                  </w14:solidFill>
                </w14:textFill>
              </w:rPr>
              <w:t xml:space="preserve">  </w:t>
            </w:r>
            <w:bookmarkEnd w:id="392"/>
            <w:r>
              <w:rPr>
                <w:rFonts w:hint="eastAsia" w:ascii="楷体_GB2312" w:hAnsi="黑体" w:eastAsia="楷体_GB2312" w:cs="黑体"/>
                <w:b/>
                <w:bCs/>
                <w:color w:val="FFFFFF" w:themeColor="background1"/>
                <w:sz w:val="28"/>
                <w:szCs w:val="28"/>
                <w14:textFill>
                  <w14:solidFill>
                    <w14:schemeClr w14:val="bg1"/>
                  </w14:solidFill>
                </w14:textFill>
              </w:rPr>
              <w:t>培养学生综合素质 促进学生全面发展</w:t>
            </w:r>
            <w:bookmarkEnd w:id="393"/>
            <w:bookmarkEnd w:id="394"/>
            <w:bookmarkEnd w:id="395"/>
            <w:bookmarkEnd w:id="396"/>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720" w:type="dxa"/>
            <w:shd w:val="clear" w:color="auto" w:fill="CDEAFF"/>
          </w:tcPr>
          <w:p>
            <w:pPr>
              <w:spacing w:line="500" w:lineRule="exact"/>
              <w:ind w:firstLine="482" w:firstLineChars="200"/>
              <w:rPr>
                <w:rFonts w:ascii="Times New Roman" w:hAnsi="Times New Roman" w:eastAsia="仿宋_GB2312"/>
                <w:color w:val="000000" w:themeColor="text1"/>
                <w:sz w:val="24"/>
                <w:szCs w:val="24"/>
                <w14:textFill>
                  <w14:solidFill>
                    <w14:schemeClr w14:val="tx1"/>
                  </w14:solidFill>
                </w14:textFill>
              </w:rPr>
            </w:pPr>
            <w:r>
              <w:rPr>
                <w:rFonts w:hint="eastAsia" w:ascii="Times New Roman" w:hAnsi="Times New Roman" w:eastAsia="仿宋_GB2312"/>
                <w:b/>
                <w:bCs/>
                <w:color w:val="0070C0"/>
                <w:sz w:val="24"/>
                <w:szCs w:val="24"/>
              </w:rPr>
              <w:t>威海</w:t>
            </w:r>
            <w:r>
              <w:rPr>
                <w:rFonts w:ascii="Times New Roman" w:hAnsi="Times New Roman" w:eastAsia="仿宋_GB2312"/>
                <w:b/>
                <w:bCs/>
                <w:color w:val="0070C0"/>
                <w:sz w:val="24"/>
                <w:szCs w:val="24"/>
              </w:rPr>
              <w:t>职业学院</w:t>
            </w:r>
            <w:r>
              <w:rPr>
                <w:rFonts w:hint="eastAsia" w:ascii="Times New Roman" w:hAnsi="Times New Roman" w:eastAsia="仿宋_GB2312" w:cs="Times New Roman"/>
                <w:color w:val="000000" w:themeColor="text1"/>
                <w:sz w:val="24"/>
                <w:szCs w:val="24"/>
                <w14:textFill>
                  <w14:solidFill>
                    <w14:schemeClr w14:val="tx1"/>
                  </w14:solidFill>
                </w14:textFill>
              </w:rPr>
              <w:t>全方位整合教学资源，实施课堂、课程、专业、管理、服务、实践“六位一体”思政育人改革，充分利用中国甲午战争博物馆、郭永怀事迹陈列馆、胶东育儿所等威海市红色教育资源开展现场教学活动，建立了涵盖党史、国史、社会主义建设史、改革开放史各个历史阶段的实践教学基地</w:t>
            </w:r>
            <w:r>
              <w:rPr>
                <w:rFonts w:hint="eastAsia" w:ascii="Times New Roman" w:hAnsi="Times New Roman" w:eastAsia="仿宋_GB2312"/>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4"/>
                <w:szCs w:val="24"/>
                <w14:textFill>
                  <w14:solidFill>
                    <w14:schemeClr w14:val="tx1"/>
                  </w14:solidFill>
                </w14:textFill>
              </w:rPr>
              <w:t>构建“大思政”格局，使广大青年学生听党话、感党恩、跟党走。</w:t>
            </w:r>
          </w:p>
          <w:p>
            <w:pPr>
              <w:spacing w:line="500" w:lineRule="exact"/>
              <w:ind w:firstLine="482" w:firstLineChars="200"/>
              <w:rPr>
                <w:rFonts w:ascii="Times New Roman" w:hAnsi="Times New Roman" w:eastAsia="仿宋_GB2312"/>
                <w:color w:val="000000" w:themeColor="text1"/>
                <w:sz w:val="24"/>
                <w:szCs w:val="24"/>
                <w14:textFill>
                  <w14:solidFill>
                    <w14:schemeClr w14:val="tx1"/>
                  </w14:solidFill>
                </w14:textFill>
              </w:rPr>
            </w:pPr>
            <w:r>
              <w:rPr>
                <w:rFonts w:hint="eastAsia" w:ascii="仿宋_GB2312" w:hAnsi="Times New Roman" w:eastAsia="仿宋_GB2312"/>
                <w:b/>
                <w:bCs/>
                <w:color w:val="0070C0"/>
                <w:sz w:val="24"/>
                <w:szCs w:val="24"/>
              </w:rPr>
              <w:t>山东科技职业学院</w:t>
            </w:r>
            <w:r>
              <w:rPr>
                <w:rFonts w:hint="eastAsia" w:ascii="仿宋_GB2312" w:hAnsi="Times New Roman" w:eastAsia="仿宋_GB2312"/>
                <w:color w:val="000000" w:themeColor="text1"/>
                <w:sz w:val="24"/>
                <w:szCs w:val="24"/>
                <w14:textFill>
                  <w14:solidFill>
                    <w14:schemeClr w14:val="tx1"/>
                  </w14:solidFill>
                </w14:textFill>
              </w:rPr>
              <w:t>为庆祝中国共产党成立100周年，推出100期“百年伟业百年史，百名师生百堂课”微党课，展现中国共产党百年来波澜壮阔的发展历程。100名师生通过讲述党史故事，感悟红色历史，厚植家国情怀，传承红色基因，坚定担当民族复兴大任时代新人的信心与决心。微党课被潍坊市文明网、潍城区公众号开设专栏转载，点击率达10万</w:t>
            </w:r>
            <w:r>
              <w:rPr>
                <w:rFonts w:hint="eastAsia" w:ascii="仿宋_GB2312" w:hAnsi="Times New Roman" w:eastAsia="仿宋_GB2312"/>
                <w:color w:val="000000" w:themeColor="text1"/>
                <w:sz w:val="24"/>
                <w:szCs w:val="24"/>
                <w:vertAlign w:val="superscript"/>
                <w14:textFill>
                  <w14:solidFill>
                    <w14:schemeClr w14:val="tx1"/>
                  </w14:solidFill>
                </w14:textFill>
              </w:rPr>
              <w:t>+</w:t>
            </w:r>
            <w:r>
              <w:rPr>
                <w:rFonts w:hint="eastAsia" w:ascii="Times New Roman" w:hAnsi="Times New Roman" w:eastAsia="仿宋_GB2312"/>
                <w:color w:val="000000" w:themeColor="text1"/>
                <w:sz w:val="24"/>
                <w:szCs w:val="24"/>
                <w14:textFill>
                  <w14:solidFill>
                    <w14:schemeClr w14:val="tx1"/>
                  </w14:solidFill>
                </w14:textFill>
              </w:rPr>
              <w:t>。</w:t>
            </w:r>
          </w:p>
          <w:p>
            <w:pPr>
              <w:spacing w:line="500" w:lineRule="exact"/>
              <w:ind w:firstLine="482" w:firstLineChars="20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b/>
                <w:bCs/>
                <w:color w:val="0070C0"/>
                <w:sz w:val="24"/>
                <w:szCs w:val="24"/>
              </w:rPr>
              <w:t>日照职业技术</w:t>
            </w:r>
            <w:r>
              <w:rPr>
                <w:rFonts w:ascii="Times New Roman" w:hAnsi="Times New Roman" w:eastAsia="仿宋_GB2312"/>
                <w:b/>
                <w:bCs/>
                <w:color w:val="0070C0"/>
                <w:sz w:val="24"/>
                <w:szCs w:val="24"/>
              </w:rPr>
              <w:t>学院</w:t>
            </w:r>
            <w:r>
              <w:rPr>
                <w:rFonts w:hint="eastAsia" w:ascii="Times New Roman" w:hAnsi="Times New Roman" w:eastAsia="仿宋_GB2312"/>
                <w:color w:val="000000" w:themeColor="text1"/>
                <w:sz w:val="24"/>
                <w:szCs w:val="24"/>
                <w14:textFill>
                  <w14:solidFill>
                    <w14:schemeClr w14:val="tx1"/>
                  </w14:solidFill>
                </w14:textFill>
              </w:rPr>
              <w:t>完善学生自我发展标准测评体系，将思想道德、科学文化、身体健康、美感、劳动五大素质纳入奖学金考评标准，引导学生在学好专业技能的基础上积极参加志愿服务、创新创业、劳动实践等活动。学校建立劳动教育、审美教育、传统文化课程体系，开设审美必修课程、传统体育项目选修课程、工匠精神课程，全面提升学生综合素养。</w:t>
            </w:r>
          </w:p>
        </w:tc>
      </w:tr>
    </w:tbl>
    <w:p>
      <w:pPr>
        <w:jc w:val="center"/>
        <w:rPr>
          <w:rFonts w:ascii="仿宋_GB2312" w:hAnsi="仿宋_GB2312" w:eastAsia="仿宋_GB2312" w:cs="仿宋_GB2312"/>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635</wp:posOffset>
                </wp:positionH>
                <wp:positionV relativeFrom="paragraph">
                  <wp:posOffset>3254375</wp:posOffset>
                </wp:positionV>
                <wp:extent cx="5652135" cy="327025"/>
                <wp:effectExtent l="0" t="0" r="5715" b="6350"/>
                <wp:wrapNone/>
                <wp:docPr id="1" name="文本框 1"/>
                <wp:cNvGraphicFramePr/>
                <a:graphic xmlns:a="http://schemas.openxmlformats.org/drawingml/2006/main">
                  <a:graphicData uri="http://schemas.microsoft.com/office/word/2010/wordprocessingShape">
                    <wps:wsp>
                      <wps:cNvSpPr txBox="1"/>
                      <wps:spPr>
                        <a:xfrm>
                          <a:off x="0" y="0"/>
                          <a:ext cx="5652135" cy="327025"/>
                        </a:xfrm>
                        <a:prstGeom prst="rect">
                          <a:avLst/>
                        </a:prstGeom>
                        <a:solidFill>
                          <a:schemeClr val="accent2">
                            <a:lumMod val="60000"/>
                            <a:lumOff val="40000"/>
                          </a:schemeClr>
                        </a:solidFill>
                        <a:ln w="28575"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cs="黑体"/>
                                <w:szCs w:val="21"/>
                              </w:rPr>
                            </w:pPr>
                            <w:r>
                              <w:rPr>
                                <w:rFonts w:hint="eastAsia" w:ascii="黑体" w:hAnsi="黑体" w:eastAsia="黑体" w:cs="黑体"/>
                                <w:szCs w:val="21"/>
                              </w:rPr>
                              <w:t>临沂职业学院在线为全国1400余所高职院校1000余万名在校生讲授沂蒙精神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256.25pt;height:25.75pt;width:445.05pt;z-index:251695104;mso-width-relative:page;mso-height-relative:page;" fillcolor="#F4B183 [1941]" filled="t" stroked="f" coordsize="21600,21600" o:gfxdata="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M+R3/XAAAACAEAAA8AAAAAAAAAAQAgAAAAIgAAAGRycy9kb3ducmV2LnhtbFBLAQIUABQA&#10;AAAIAIdO4kBTeuojYwIAAJ8EAAAOAAAAAAAAAAEAIAAAACYBAABkcnMvZTJvRG9jLnhtbFBLBQYA&#10;AAAABgAGAFkBAAD7BQAAAAA=&#10;">
                <v:fill on="t" focussize="0,0"/>
                <v:stroke on="f" weight="2.25pt"/>
                <v:imagedata o:title=""/>
                <o:lock v:ext="edit" aspectratio="f"/>
                <v:textbox>
                  <w:txbxContent>
                    <w:p>
                      <w:pPr>
                        <w:jc w:val="left"/>
                        <w:rPr>
                          <w:rFonts w:ascii="黑体" w:hAnsi="黑体" w:eastAsia="黑体" w:cs="黑体"/>
                          <w:szCs w:val="21"/>
                        </w:rPr>
                      </w:pPr>
                      <w:r>
                        <w:rPr>
                          <w:rFonts w:hint="eastAsia" w:ascii="黑体" w:hAnsi="黑体" w:eastAsia="黑体" w:cs="黑体"/>
                          <w:szCs w:val="21"/>
                        </w:rPr>
                        <w:t>临沂职业学院在线为全国1400余所高职院校1000余万名在校生讲授沂蒙精神</w:t>
                      </w:r>
                    </w:p>
                  </w:txbxContent>
                </v:textbox>
              </v:shape>
            </w:pict>
          </mc:Fallback>
        </mc:AlternateContent>
      </w:r>
      <w:r>
        <w:rPr>
          <w:rFonts w:hint="eastAsia" w:ascii="仿宋_GB2312" w:hAnsi="仿宋_GB2312" w:eastAsia="仿宋_GB2312" w:cs="仿宋_GB2312"/>
          <w:color w:val="000000" w:themeColor="text1"/>
          <w:sz w:val="28"/>
          <w:szCs w:val="28"/>
          <w14:textFill>
            <w14:solidFill>
              <w14:schemeClr w14:val="tx1"/>
            </w14:solidFill>
          </w14:textFill>
        </w:rPr>
        <w:drawing>
          <wp:inline distT="0" distB="0" distL="0" distR="0">
            <wp:extent cx="5652135" cy="3175000"/>
            <wp:effectExtent l="0" t="0" r="5715" b="6350"/>
            <wp:docPr id="36" name="图片 36" descr="学生发展用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生发展用图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52135" cy="3175000"/>
                    </a:xfrm>
                    <a:prstGeom prst="rect">
                      <a:avLst/>
                    </a:prstGeom>
                    <a:noFill/>
                    <a:ln>
                      <a:noFill/>
                    </a:ln>
                  </pic:spPr>
                </pic:pic>
              </a:graphicData>
            </a:graphic>
          </wp:inline>
        </w:drawing>
      </w:r>
    </w:p>
    <w:p>
      <w:pPr>
        <w:spacing w:line="320" w:lineRule="exact"/>
        <w:ind w:firstLine="567"/>
        <w:rPr>
          <w:rFonts w:ascii="仿宋_GB2312" w:hAnsi="Times New Roman" w:eastAsia="仿宋_GB2312" w:cs="Times New Roman"/>
          <w:b/>
          <w:bCs/>
          <w:color w:val="000000" w:themeColor="text1"/>
          <w:sz w:val="28"/>
          <w:szCs w:val="28"/>
          <w14:textFill>
            <w14:solidFill>
              <w14:schemeClr w14:val="tx1"/>
            </w14:solidFill>
          </w14:textFill>
        </w:rPr>
      </w:pPr>
      <w:bookmarkStart w:id="397" w:name="_Toc91604696"/>
      <w:bookmarkStart w:id="398" w:name="_Toc91605021"/>
      <w:bookmarkStart w:id="399" w:name="_Toc91606538"/>
    </w:p>
    <w:p>
      <w:pPr>
        <w:spacing w:before="156" w:beforeLines="50" w:line="520" w:lineRule="exact"/>
        <w:ind w:firstLine="562" w:firstLineChars="200"/>
        <w:outlineLvl w:val="2"/>
        <w:rPr>
          <w:rFonts w:ascii="仿宋_GB2312" w:hAnsi="Times New Roman" w:eastAsia="仿宋_GB2312" w:cs="Times New Roman"/>
          <w:b/>
          <w:bCs/>
          <w:color w:val="000000" w:themeColor="text1"/>
          <w:sz w:val="28"/>
          <w:szCs w:val="28"/>
          <w14:textFill>
            <w14:solidFill>
              <w14:schemeClr w14:val="tx1"/>
            </w14:solidFill>
          </w14:textFill>
        </w:rPr>
      </w:pPr>
      <w:bookmarkStart w:id="400" w:name="_Toc94172221"/>
      <w:bookmarkStart w:id="401" w:name="_Toc94183463"/>
      <w:bookmarkStart w:id="402" w:name="_Toc94172362"/>
      <w:r>
        <w:rPr>
          <w:rFonts w:hint="eastAsia" w:ascii="仿宋_GB2312" w:hAnsi="Times New Roman" w:eastAsia="仿宋_GB2312" w:cs="Times New Roman"/>
          <w:b/>
          <w:bCs/>
          <w:color w:val="000000" w:themeColor="text1"/>
          <w:sz w:val="28"/>
          <w:szCs w:val="28"/>
          <w14:textFill>
            <w14:solidFill>
              <w14:schemeClr w14:val="tx1"/>
            </w14:solidFill>
          </w14:textFill>
        </w:rPr>
        <w:t>4.1.2 职业资格证书认可度</w:t>
      </w:r>
      <w:bookmarkEnd w:id="397"/>
      <w:bookmarkEnd w:id="398"/>
      <w:bookmarkEnd w:id="399"/>
      <w:r>
        <w:rPr>
          <w:rFonts w:hint="eastAsia" w:ascii="仿宋_GB2312" w:hAnsi="Times New Roman" w:eastAsia="仿宋_GB2312" w:cs="Times New Roman"/>
          <w:b/>
          <w:bCs/>
          <w:color w:val="000000" w:themeColor="text1"/>
          <w:sz w:val="28"/>
          <w:szCs w:val="28"/>
          <w14:textFill>
            <w14:solidFill>
              <w14:schemeClr w14:val="tx1"/>
            </w14:solidFill>
          </w14:textFill>
        </w:rPr>
        <w:t>较高</w:t>
      </w:r>
      <w:bookmarkEnd w:id="400"/>
      <w:bookmarkEnd w:id="401"/>
      <w:bookmarkEnd w:id="402"/>
    </w:p>
    <w:p>
      <w:pPr>
        <w:spacing w:line="520" w:lineRule="exact"/>
        <w:ind w:firstLine="560" w:firstLineChars="200"/>
        <w:outlineLvl w:val="3"/>
        <w:rPr>
          <w:rFonts w:ascii="仿宋_GB2312"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山东高职院校广泛开展学历证书+若干职业技能等级证书试点工作，组织学生积极参加各类评价组织开展的初级、中级、高级职业资格证书考核认定工作。数据</w:t>
      </w:r>
      <w:r>
        <w:rPr>
          <w:rFonts w:hint="eastAsia" w:ascii="仿宋_GB2312" w:hAnsi="Times New Roman" w:eastAsia="仿宋_GB2312" w:cs="Times New Roman"/>
          <w:color w:val="000000" w:themeColor="text1"/>
          <w:sz w:val="28"/>
          <w:szCs w:val="28"/>
          <w14:textFill>
            <w14:solidFill>
              <w14:schemeClr w14:val="tx1"/>
            </w14:solidFill>
          </w14:textFill>
        </w:rPr>
        <w:t>显示，2021年，山东省有81所高职院校参加了1923个1+X证书制度试点，院校参加率高达97.59%，平均每校参加23个试点。学生对各类职业资格证书认可度较高。2017—2021年五年间，毕业生获取初、中、高级职业资格证书人次虽有起伏，但整体上看，持证人数多、覆盖专业领域广。五年间，持初级证书人数整体上呈上升趋势，持中、高级证书人数整体上呈下降趋势，高级证书持证人数下降比较明显。如图4-1所示。这主要是受国家对职业资格证书政策调整的影响，中、高级职业资格证书特别是高级职业资格证书的的考取难度越来越大。根据山东省高等职业院校人才培养工作状态数据平台统计，持证毕业生中持2个以上证书的占比10%左右。</w:t>
      </w:r>
    </w:p>
    <w:p>
      <w:pPr>
        <w:pStyle w:val="4"/>
        <w:widowControl w:val="0"/>
        <w:spacing w:before="156" w:beforeLines="50" w:after="93" w:afterLines="30"/>
        <w:outlineLvl w:val="2"/>
        <w:rPr>
          <w:rFonts w:ascii="宋体" w:hAnsi="宋体" w:eastAsia="宋体"/>
          <w:color w:val="000000" w:themeColor="text1"/>
          <w:sz w:val="24"/>
          <w:szCs w:val="24"/>
          <w14:textFill>
            <w14:solidFill>
              <w14:schemeClr w14:val="tx1"/>
            </w14:solidFill>
          </w14:textFill>
        </w:rPr>
      </w:pPr>
      <w:bookmarkStart w:id="403" w:name="_Toc91606539"/>
      <w:bookmarkStart w:id="404" w:name="_Toc91605022"/>
      <w:bookmarkStart w:id="405" w:name="_Toc94172363"/>
      <w:bookmarkStart w:id="406" w:name="_Toc94172222"/>
      <w:bookmarkStart w:id="407" w:name="_Toc94183464"/>
      <w:r>
        <w:rPr>
          <w:rFonts w:hint="eastAsia" w:ascii="宋体" w:hAnsi="宋体" w:eastAsia="宋体"/>
          <w:color w:val="000000" w:themeColor="text1"/>
          <w:sz w:val="24"/>
          <w:szCs w:val="24"/>
          <w14:textFill>
            <w14:solidFill>
              <w14:schemeClr w14:val="tx1"/>
            </w14:solidFill>
          </w14:textFill>
        </w:rPr>
        <w:t>表4-1  山东高职院校毕业生职业资格证书情况（2017—2021年）   单位：人</w:t>
      </w:r>
      <w:bookmarkEnd w:id="403"/>
      <w:bookmarkEnd w:id="404"/>
      <w:r>
        <w:rPr>
          <w:rFonts w:hint="eastAsia" w:ascii="宋体" w:hAnsi="宋体" w:eastAsia="宋体"/>
          <w:color w:val="000000" w:themeColor="text1"/>
          <w:sz w:val="24"/>
          <w:szCs w:val="24"/>
          <w14:textFill>
            <w14:solidFill>
              <w14:schemeClr w14:val="tx1"/>
            </w14:solidFill>
          </w14:textFill>
        </w:rPr>
        <w:t>次</w:t>
      </w:r>
      <w:bookmarkEnd w:id="405"/>
      <w:bookmarkEnd w:id="406"/>
      <w:bookmarkEnd w:id="407"/>
    </w:p>
    <w:tbl>
      <w:tblPr>
        <w:tblStyle w:val="21"/>
        <w:tblW w:w="8901" w:type="dxa"/>
        <w:tblInd w:w="0" w:type="dxa"/>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shd w:val="clear" w:color="auto" w:fill="FFFFFF"/>
        <w:tblLayout w:type="autofit"/>
        <w:tblCellMar>
          <w:top w:w="0" w:type="dxa"/>
          <w:left w:w="0" w:type="dxa"/>
          <w:bottom w:w="0" w:type="dxa"/>
          <w:right w:w="0" w:type="dxa"/>
        </w:tblCellMar>
      </w:tblPr>
      <w:tblGrid>
        <w:gridCol w:w="1209"/>
        <w:gridCol w:w="1538"/>
        <w:gridCol w:w="1538"/>
        <w:gridCol w:w="1538"/>
        <w:gridCol w:w="1539"/>
        <w:gridCol w:w="1539"/>
      </w:tblGrid>
      <w:tr>
        <w:tblPrEx>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shd w:val="clear" w:color="auto" w:fill="FFFFFF"/>
          <w:tblCellMar>
            <w:top w:w="0" w:type="dxa"/>
            <w:left w:w="0" w:type="dxa"/>
            <w:bottom w:w="0" w:type="dxa"/>
            <w:right w:w="0" w:type="dxa"/>
          </w:tblCellMar>
        </w:tblPrEx>
        <w:trPr>
          <w:trHeight w:val="397" w:hRule="exact"/>
          <w:tblHeader/>
        </w:trPr>
        <w:tc>
          <w:tcPr>
            <w:tcW w:w="679" w:type="pct"/>
            <w:tcBorders>
              <w:bottom w:val="single" w:color="0000CC" w:sz="12" w:space="0"/>
              <w:right w:val="nil"/>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级别</w:t>
            </w:r>
          </w:p>
        </w:tc>
        <w:tc>
          <w:tcPr>
            <w:tcW w:w="864"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2017届</w:t>
            </w:r>
          </w:p>
        </w:tc>
        <w:tc>
          <w:tcPr>
            <w:tcW w:w="864"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2018届</w:t>
            </w:r>
          </w:p>
        </w:tc>
        <w:tc>
          <w:tcPr>
            <w:tcW w:w="864"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2019届</w:t>
            </w:r>
          </w:p>
        </w:tc>
        <w:tc>
          <w:tcPr>
            <w:tcW w:w="864"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2020届</w:t>
            </w:r>
          </w:p>
        </w:tc>
        <w:tc>
          <w:tcPr>
            <w:tcW w:w="864" w:type="pct"/>
            <w:tcBorders>
              <w:left w:val="nil"/>
              <w:bottom w:val="single" w:color="0000CC" w:sz="12" w:space="0"/>
            </w:tcBorders>
            <w:shd w:val="clear" w:color="auto" w:fill="0070C0"/>
            <w:tcMar>
              <w:top w:w="15" w:type="dxa"/>
              <w:left w:w="15" w:type="dxa"/>
              <w:right w:w="15" w:type="dxa"/>
            </w:tcMar>
            <w:vAlign w:val="center"/>
          </w:tcPr>
          <w:p>
            <w:pPr>
              <w:jc w:val="center"/>
              <w:rPr>
                <w:rFonts w:ascii="楷体_GB2312" w:hAnsi="Times New Roman" w:eastAsia="楷体_GB2312"/>
                <w:b/>
                <w:bCs/>
                <w:color w:val="FFFFFF" w:themeColor="background1"/>
                <w:szCs w:val="21"/>
                <w14:textFill>
                  <w14:solidFill>
                    <w14:schemeClr w14:val="bg1"/>
                  </w14:solidFill>
                </w14:textFill>
              </w:rPr>
            </w:pPr>
            <w:r>
              <w:rPr>
                <w:rFonts w:hint="eastAsia" w:ascii="楷体_GB2312" w:hAnsi="Times New Roman" w:eastAsia="楷体_GB2312"/>
                <w:b/>
                <w:bCs/>
                <w:color w:val="FFFFFF" w:themeColor="background1"/>
                <w:szCs w:val="21"/>
                <w14:textFill>
                  <w14:solidFill>
                    <w14:schemeClr w14:val="bg1"/>
                  </w14:solidFill>
                </w14:textFill>
              </w:rPr>
              <w:t>2021届</w:t>
            </w:r>
          </w:p>
        </w:tc>
      </w:tr>
      <w:tr>
        <w:tblPrEx>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tblCellMar>
            <w:top w:w="0" w:type="dxa"/>
            <w:left w:w="0" w:type="dxa"/>
            <w:bottom w:w="0" w:type="dxa"/>
            <w:right w:w="0" w:type="dxa"/>
          </w:tblCellMar>
        </w:tblPrEx>
        <w:trPr>
          <w:trHeight w:val="397" w:hRule="exact"/>
        </w:trPr>
        <w:tc>
          <w:tcPr>
            <w:tcW w:w="679" w:type="pct"/>
            <w:tcBorders>
              <w:top w:val="single" w:color="0000CC" w:sz="12" w:space="0"/>
              <w:tl2br w:val="nil"/>
              <w:tr2bl w:val="nil"/>
            </w:tcBorders>
            <w:shd w:val="clear" w:color="auto" w:fill="FFFFFF"/>
            <w:noWrap/>
            <w:tcMar>
              <w:top w:w="15" w:type="dxa"/>
              <w:left w:w="15" w:type="dxa"/>
              <w:right w:w="15" w:type="dxa"/>
            </w:tcMar>
            <w:vAlign w:val="center"/>
          </w:tcPr>
          <w:p>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初级</w:t>
            </w:r>
          </w:p>
        </w:tc>
        <w:tc>
          <w:tcPr>
            <w:tcW w:w="1474" w:type="dxa"/>
            <w:tcBorders>
              <w:top w:val="single" w:color="0000CC" w:sz="12" w:space="0"/>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40078</w:t>
            </w:r>
          </w:p>
        </w:tc>
        <w:tc>
          <w:tcPr>
            <w:tcW w:w="1474" w:type="dxa"/>
            <w:tcBorders>
              <w:top w:val="single" w:color="0000CC" w:sz="12" w:space="0"/>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38150</w:t>
            </w:r>
          </w:p>
        </w:tc>
        <w:tc>
          <w:tcPr>
            <w:tcW w:w="1474" w:type="dxa"/>
            <w:tcBorders>
              <w:top w:val="single" w:color="0000CC" w:sz="12" w:space="0"/>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51862</w:t>
            </w:r>
          </w:p>
        </w:tc>
        <w:tc>
          <w:tcPr>
            <w:tcW w:w="1474" w:type="dxa"/>
            <w:tcBorders>
              <w:top w:val="single" w:color="0000CC" w:sz="12" w:space="0"/>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56891</w:t>
            </w:r>
          </w:p>
        </w:tc>
        <w:tc>
          <w:tcPr>
            <w:tcW w:w="1474" w:type="dxa"/>
            <w:tcBorders>
              <w:top w:val="single" w:color="0000CC" w:sz="12" w:space="0"/>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79752</w:t>
            </w:r>
          </w:p>
        </w:tc>
      </w:tr>
      <w:tr>
        <w:tblPrEx>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tblCellMar>
            <w:top w:w="0" w:type="dxa"/>
            <w:left w:w="0" w:type="dxa"/>
            <w:bottom w:w="0" w:type="dxa"/>
            <w:right w:w="0" w:type="dxa"/>
          </w:tblCellMar>
        </w:tblPrEx>
        <w:trPr>
          <w:trHeight w:val="397" w:hRule="exact"/>
        </w:trPr>
        <w:tc>
          <w:tcPr>
            <w:tcW w:w="679" w:type="pct"/>
            <w:tcBorders>
              <w:tl2br w:val="nil"/>
              <w:tr2bl w:val="nil"/>
            </w:tcBorders>
            <w:shd w:val="clear" w:color="auto" w:fill="DAEEF6"/>
            <w:noWrap/>
            <w:tcMar>
              <w:top w:w="15" w:type="dxa"/>
              <w:left w:w="15" w:type="dxa"/>
              <w:right w:w="15" w:type="dxa"/>
            </w:tcMar>
            <w:vAlign w:val="center"/>
          </w:tcPr>
          <w:p>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中级</w:t>
            </w:r>
          </w:p>
        </w:tc>
        <w:tc>
          <w:tcPr>
            <w:tcW w:w="1474" w:type="dxa"/>
            <w:tcBorders>
              <w:tl2br w:val="nil"/>
              <w:tr2bl w:val="nil"/>
            </w:tcBorders>
            <w:shd w:val="clear" w:color="auto" w:fill="DAEEF6"/>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90714</w:t>
            </w:r>
          </w:p>
        </w:tc>
        <w:tc>
          <w:tcPr>
            <w:tcW w:w="1474" w:type="dxa"/>
            <w:tcBorders>
              <w:tl2br w:val="nil"/>
              <w:tr2bl w:val="nil"/>
            </w:tcBorders>
            <w:shd w:val="clear" w:color="auto" w:fill="DAEEF6"/>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65102</w:t>
            </w:r>
          </w:p>
        </w:tc>
        <w:tc>
          <w:tcPr>
            <w:tcW w:w="1474" w:type="dxa"/>
            <w:tcBorders>
              <w:tl2br w:val="nil"/>
              <w:tr2bl w:val="nil"/>
            </w:tcBorders>
            <w:shd w:val="clear" w:color="auto" w:fill="DAEEF6"/>
            <w:noWrap/>
            <w:tcMar>
              <w:top w:w="15" w:type="dxa"/>
              <w:left w:w="15" w:type="dxa"/>
              <w:right w:w="15" w:type="dxa"/>
            </w:tcMar>
            <w:vAlign w:val="center"/>
          </w:tcPr>
          <w:p>
            <w:pPr>
              <w:widowControl/>
              <w:jc w:val="center"/>
              <w:textAlignment w:val="center"/>
              <w:rPr>
                <w:rFonts w:ascii="宋体" w:hAnsi="宋体" w:eastAsia="宋体"/>
                <w:color w:val="000000" w:themeColor="text1"/>
                <w:szCs w:val="21"/>
                <w:highlight w:val="yellow"/>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61384</w:t>
            </w:r>
          </w:p>
        </w:tc>
        <w:tc>
          <w:tcPr>
            <w:tcW w:w="1474" w:type="dxa"/>
            <w:tcBorders>
              <w:tl2br w:val="nil"/>
              <w:tr2bl w:val="nil"/>
            </w:tcBorders>
            <w:shd w:val="clear" w:color="auto" w:fill="DAEEF6"/>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55961</w:t>
            </w:r>
          </w:p>
        </w:tc>
        <w:tc>
          <w:tcPr>
            <w:tcW w:w="1474" w:type="dxa"/>
            <w:tcBorders>
              <w:tl2br w:val="nil"/>
              <w:tr2bl w:val="nil"/>
            </w:tcBorders>
            <w:shd w:val="clear" w:color="auto" w:fill="DAEEF6"/>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78434</w:t>
            </w:r>
          </w:p>
        </w:tc>
      </w:tr>
      <w:tr>
        <w:tblPrEx>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tblCellMar>
            <w:top w:w="0" w:type="dxa"/>
            <w:left w:w="0" w:type="dxa"/>
            <w:bottom w:w="0" w:type="dxa"/>
            <w:right w:w="0" w:type="dxa"/>
          </w:tblCellMar>
        </w:tblPrEx>
        <w:trPr>
          <w:trHeight w:val="397" w:hRule="exact"/>
        </w:trPr>
        <w:tc>
          <w:tcPr>
            <w:tcW w:w="679" w:type="pct"/>
            <w:tcBorders>
              <w:tl2br w:val="nil"/>
              <w:tr2bl w:val="nil"/>
            </w:tcBorders>
            <w:shd w:val="clear" w:color="auto" w:fill="FFFFFF"/>
            <w:noWrap/>
            <w:tcMar>
              <w:top w:w="15" w:type="dxa"/>
              <w:left w:w="15" w:type="dxa"/>
              <w:right w:w="15" w:type="dxa"/>
            </w:tcMar>
            <w:vAlign w:val="center"/>
          </w:tcPr>
          <w:p>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高级</w:t>
            </w:r>
          </w:p>
        </w:tc>
        <w:tc>
          <w:tcPr>
            <w:tcW w:w="147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56896</w:t>
            </w:r>
          </w:p>
        </w:tc>
        <w:tc>
          <w:tcPr>
            <w:tcW w:w="147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55944</w:t>
            </w:r>
          </w:p>
        </w:tc>
        <w:tc>
          <w:tcPr>
            <w:tcW w:w="147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43270</w:t>
            </w:r>
          </w:p>
        </w:tc>
        <w:tc>
          <w:tcPr>
            <w:tcW w:w="147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33453</w:t>
            </w:r>
          </w:p>
        </w:tc>
        <w:tc>
          <w:tcPr>
            <w:tcW w:w="147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33622</w:t>
            </w:r>
          </w:p>
        </w:tc>
      </w:tr>
      <w:tr>
        <w:tblPrEx>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tblCellMar>
            <w:top w:w="0" w:type="dxa"/>
            <w:left w:w="0" w:type="dxa"/>
            <w:bottom w:w="0" w:type="dxa"/>
            <w:right w:w="0" w:type="dxa"/>
          </w:tblCellMar>
        </w:tblPrEx>
        <w:trPr>
          <w:trHeight w:val="397" w:hRule="exact"/>
        </w:trPr>
        <w:tc>
          <w:tcPr>
            <w:tcW w:w="679" w:type="pct"/>
            <w:tcBorders>
              <w:tl2br w:val="nil"/>
              <w:tr2bl w:val="nil"/>
            </w:tcBorders>
            <w:shd w:val="clear" w:color="auto" w:fill="CDEAFF"/>
            <w:noWrap/>
            <w:tcMar>
              <w:top w:w="15" w:type="dxa"/>
              <w:left w:w="15" w:type="dxa"/>
              <w:right w:w="15" w:type="dxa"/>
            </w:tcMar>
            <w:vAlign w:val="center"/>
          </w:tcPr>
          <w:p>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合计</w:t>
            </w:r>
          </w:p>
        </w:tc>
        <w:tc>
          <w:tcPr>
            <w:tcW w:w="1474" w:type="dxa"/>
            <w:tcBorders>
              <w:tl2br w:val="nil"/>
              <w:tr2bl w:val="nil"/>
            </w:tcBorders>
            <w:shd w:val="clear" w:color="auto" w:fill="CDEA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230891</w:t>
            </w:r>
          </w:p>
        </w:tc>
        <w:tc>
          <w:tcPr>
            <w:tcW w:w="1474" w:type="dxa"/>
            <w:tcBorders>
              <w:tl2br w:val="nil"/>
              <w:tr2bl w:val="nil"/>
            </w:tcBorders>
            <w:shd w:val="clear" w:color="auto" w:fill="CDEA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201017</w:t>
            </w:r>
          </w:p>
        </w:tc>
        <w:tc>
          <w:tcPr>
            <w:tcW w:w="1474" w:type="dxa"/>
            <w:tcBorders>
              <w:tl2br w:val="nil"/>
              <w:tr2bl w:val="nil"/>
            </w:tcBorders>
            <w:shd w:val="clear" w:color="auto" w:fill="CDEA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198467</w:t>
            </w:r>
          </w:p>
        </w:tc>
        <w:tc>
          <w:tcPr>
            <w:tcW w:w="1474" w:type="dxa"/>
            <w:tcBorders>
              <w:tl2br w:val="nil"/>
              <w:tr2bl w:val="nil"/>
            </w:tcBorders>
            <w:shd w:val="clear" w:color="auto" w:fill="CDEA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196532</w:t>
            </w:r>
          </w:p>
        </w:tc>
        <w:tc>
          <w:tcPr>
            <w:tcW w:w="1474" w:type="dxa"/>
            <w:tcBorders>
              <w:tl2br w:val="nil"/>
              <w:tr2bl w:val="nil"/>
            </w:tcBorders>
            <w:shd w:val="clear" w:color="auto" w:fill="CDEA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263441</w:t>
            </w:r>
          </w:p>
        </w:tc>
      </w:tr>
    </w:tbl>
    <w:p>
      <w:pPr>
        <w:pStyle w:val="10"/>
        <w:spacing w:after="62" w:afterLines="20" w:line="240" w:lineRule="auto"/>
        <w:ind w:left="0" w:leftChars="0"/>
        <w:rPr>
          <w:rFonts w:ascii="宋体" w:hAnsi="宋体" w:cs="楷体_GB2312"/>
          <w:color w:val="000000" w:themeColor="text1"/>
          <w:szCs w:val="21"/>
          <w14:textFill>
            <w14:solidFill>
              <w14:schemeClr w14:val="tx1"/>
            </w14:solidFill>
          </w14:textFill>
        </w:rPr>
      </w:pPr>
      <w:r>
        <w:rPr>
          <w:rFonts w:hint="eastAsia" w:ascii="宋体" w:hAnsi="宋体" w:cs="楷体_GB2312"/>
          <w:b/>
          <w:bCs/>
          <w:color w:val="000000" w:themeColor="text1"/>
          <w:szCs w:val="21"/>
          <w14:textFill>
            <w14:solidFill>
              <w14:schemeClr w14:val="tx1"/>
            </w14:solidFill>
          </w14:textFill>
        </w:rPr>
        <w:t>数据来源：</w:t>
      </w:r>
      <w:r>
        <w:rPr>
          <w:rFonts w:ascii="宋体" w:hAnsi="宋体" w:cs="楷体_GB2312"/>
          <w:color w:val="000000" w:themeColor="text1"/>
          <w:szCs w:val="21"/>
          <w14:textFill>
            <w14:solidFill>
              <w14:schemeClr w14:val="tx1"/>
            </w14:solidFill>
          </w14:textFill>
        </w:rPr>
        <w:t>2017-2021年度高等职业院校人才培养工作状态数据采集与管理平台</w:t>
      </w:r>
      <w:r>
        <w:rPr>
          <w:rFonts w:hint="eastAsia" w:ascii="宋体" w:hAnsi="宋体" w:cs="楷体_GB2312"/>
          <w:color w:val="000000" w:themeColor="text1"/>
          <w:szCs w:val="21"/>
          <w14:textFill>
            <w14:solidFill>
              <w14:schemeClr w14:val="tx1"/>
            </w14:solidFill>
          </w14:textFill>
        </w:rPr>
        <w:t>。</w:t>
      </w:r>
    </w:p>
    <w:p>
      <w:pPr>
        <w:spacing w:line="520" w:lineRule="exact"/>
        <w:ind w:firstLine="562" w:firstLineChars="200"/>
        <w:outlineLvl w:val="2"/>
        <w:rPr>
          <w:rFonts w:ascii="仿宋_GB2312" w:hAnsi="Times New Roman" w:eastAsia="仿宋_GB2312" w:cs="Times New Roman"/>
          <w:b/>
          <w:bCs/>
          <w:color w:val="000000" w:themeColor="text1"/>
          <w:sz w:val="28"/>
          <w:szCs w:val="28"/>
          <w14:textFill>
            <w14:solidFill>
              <w14:schemeClr w14:val="tx1"/>
            </w14:solidFill>
          </w14:textFill>
        </w:rPr>
      </w:pPr>
      <w:bookmarkStart w:id="408" w:name="_Toc91606540"/>
      <w:bookmarkStart w:id="409" w:name="_Toc91605023"/>
      <w:bookmarkStart w:id="410" w:name="_Toc94172223"/>
      <w:bookmarkStart w:id="411" w:name="_Toc94172364"/>
      <w:bookmarkStart w:id="412" w:name="_Toc91604697"/>
      <w:bookmarkStart w:id="413" w:name="_Toc94183465"/>
      <w:r>
        <w:rPr>
          <w:rFonts w:ascii="仿宋_GB2312" w:hAnsi="Times New Roman" w:eastAsia="仿宋_GB2312" w:cs="Times New Roman"/>
          <w:b/>
          <w:bCs/>
          <w:color w:val="000000" w:themeColor="text1"/>
          <w:sz w:val="28"/>
          <w:szCs w:val="28"/>
          <w14:textFill>
            <w14:solidFill>
              <w14:schemeClr w14:val="tx1"/>
            </w14:solidFill>
          </w14:textFill>
        </w:rPr>
        <w:t>4.1.3 校园文化精彩纷呈</w:t>
      </w:r>
      <w:bookmarkEnd w:id="408"/>
      <w:bookmarkEnd w:id="409"/>
      <w:bookmarkEnd w:id="410"/>
      <w:bookmarkEnd w:id="411"/>
      <w:bookmarkEnd w:id="412"/>
      <w:bookmarkEnd w:id="413"/>
    </w:p>
    <w:p>
      <w:pPr>
        <w:spacing w:line="520" w:lineRule="exact"/>
        <w:ind w:firstLine="560" w:firstLineChars="200"/>
        <w:outlineLvl w:val="3"/>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山东高职院校</w:t>
      </w:r>
      <w:r>
        <w:rPr>
          <w:rFonts w:hint="eastAsia" w:ascii="Times New Roman" w:hAnsi="Times New Roman" w:eastAsia="仿宋_GB2312"/>
          <w:color w:val="000000" w:themeColor="text1"/>
          <w:sz w:val="28"/>
          <w:szCs w:val="28"/>
          <w14:textFill>
            <w14:solidFill>
              <w14:schemeClr w14:val="tx1"/>
            </w14:solidFill>
          </w14:textFill>
        </w:rPr>
        <w:t>紧扣文明校园“六好”标准，坚持文明校园创建与事业发展同步，校园文化建设与师生素质</w:t>
      </w:r>
      <w:r>
        <w:rPr>
          <w:rFonts w:hint="eastAsia" w:ascii="Times New Roman" w:hAnsi="Times New Roman" w:eastAsia="仿宋_GB2312" w:cs="Times New Roman"/>
          <w:color w:val="000000" w:themeColor="text1"/>
          <w:sz w:val="28"/>
          <w:szCs w:val="28"/>
          <w14:textFill>
            <w14:solidFill>
              <w14:schemeClr w14:val="tx1"/>
            </w14:solidFill>
          </w14:textFill>
        </w:rPr>
        <w:t>提升同抓，推动优秀企业文化进校园、进课堂、进头脑，彰显职业</w:t>
      </w:r>
      <w:r>
        <w:rPr>
          <w:rFonts w:hint="eastAsia" w:ascii="仿宋_GB2312" w:hAnsi="Times New Roman" w:eastAsia="仿宋_GB2312" w:cs="Times New Roman"/>
          <w:color w:val="000000" w:themeColor="text1"/>
          <w:sz w:val="28"/>
          <w:szCs w:val="28"/>
          <w14:textFill>
            <w14:solidFill>
              <w14:schemeClr w14:val="tx1"/>
            </w14:solidFill>
          </w14:textFill>
        </w:rPr>
        <w:t>文化、工匠精神。各高职院校大力发展</w:t>
      </w:r>
      <w:r>
        <w:rPr>
          <w:rFonts w:hint="eastAsia" w:ascii="仿宋_GB2312" w:hAnsi="Times New Roman" w:eastAsia="仿宋_GB2312"/>
          <w:color w:val="000000" w:themeColor="text1"/>
          <w:sz w:val="28"/>
          <w:szCs w:val="28"/>
          <w14:textFill>
            <w14:solidFill>
              <w14:schemeClr w14:val="tx1"/>
            </w14:solidFill>
          </w14:textFill>
        </w:rPr>
        <w:t>多种类型的学生社团4036个，平均每校50个左右，参与社团学生289037人次。广大青年学生积极参加志愿服务，创建志愿服务社团554个，招募志愿者107万人次，志愿服务时长2023594人日，人均2.26人日。青岛职业技术学院17名学生志愿者服务博鳌亚洲论坛全球健康论坛，26名志愿者服务第二届跨国公司领导人青岛峰会，志愿者</w:t>
      </w:r>
      <w:r>
        <w:rPr>
          <w:rFonts w:hint="eastAsia" w:ascii="Times New Roman" w:hAnsi="Times New Roman" w:eastAsia="仿宋_GB2312"/>
          <w:color w:val="000000" w:themeColor="text1"/>
          <w:sz w:val="28"/>
          <w:szCs w:val="28"/>
          <w14:textFill>
            <w14:solidFill>
              <w14:schemeClr w14:val="tx1"/>
            </w14:solidFill>
          </w14:textFill>
        </w:rPr>
        <w:t>良好的专业素养和优质的服务质量赢得与会嘉宾和主办方的一致好评。</w:t>
      </w:r>
    </w:p>
    <w:tbl>
      <w:tblPr>
        <w:tblStyle w:val="21"/>
        <w:tblW w:w="890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90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atLeast"/>
          <w:jc w:val="center"/>
        </w:trPr>
        <w:tc>
          <w:tcPr>
            <w:tcW w:w="8720" w:type="dxa"/>
            <w:tcBorders>
              <w:bottom w:val="single" w:color="FFFFFF" w:sz="4" w:space="0"/>
            </w:tcBorders>
            <w:shd w:val="clear" w:color="auto" w:fill="0070C0"/>
            <w:vAlign w:val="center"/>
          </w:tcPr>
          <w:p>
            <w:pPr>
              <w:spacing w:line="520" w:lineRule="exact"/>
              <w:outlineLvl w:val="1"/>
              <w:rPr>
                <w:rFonts w:ascii="楷体_GB2312" w:hAnsi="Times New Roman" w:eastAsia="楷体_GB2312"/>
                <w:color w:val="000000" w:themeColor="text1"/>
                <w:sz w:val="28"/>
                <w:szCs w:val="28"/>
                <w14:textFill>
                  <w14:solidFill>
                    <w14:schemeClr w14:val="tx1"/>
                  </w14:solidFill>
                </w14:textFill>
              </w:rPr>
            </w:pPr>
            <w:bookmarkStart w:id="414" w:name="_Toc91605024"/>
            <w:bookmarkStart w:id="415" w:name="_Toc94172224"/>
            <w:bookmarkStart w:id="416" w:name="_Toc94172365"/>
            <w:bookmarkStart w:id="417" w:name="_Toc94183466"/>
            <w:r>
              <w:rPr>
                <w:rFonts w:hint="eastAsia" w:ascii="楷体_GB2312" w:hAnsi="黑体" w:eastAsia="楷体_GB2312" w:cs="黑体"/>
                <w:b/>
                <w:bCs/>
                <w:color w:val="FFFFFF" w:themeColor="background1"/>
                <w:sz w:val="28"/>
                <w:szCs w:val="28"/>
                <w14:textFill>
                  <w14:solidFill>
                    <w14:schemeClr w14:val="bg1"/>
                  </w14:solidFill>
                </w14:textFill>
              </w:rPr>
              <w:t>专栏4-2  弘扬劳模精神 培育大国工匠</w:t>
            </w:r>
            <w:bookmarkEnd w:id="414"/>
            <w:bookmarkEnd w:id="415"/>
            <w:bookmarkEnd w:id="416"/>
            <w:bookmarkEnd w:id="417"/>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720" w:type="dxa"/>
            <w:shd w:val="clear" w:color="auto" w:fill="CDEAFF"/>
          </w:tcPr>
          <w:p>
            <w:pPr>
              <w:spacing w:line="480" w:lineRule="exact"/>
              <w:ind w:firstLine="482" w:firstLineChars="200"/>
              <w:rPr>
                <w:rFonts w:ascii="仿宋_GB2312" w:hAnsi="Times New Roman" w:eastAsia="仿宋_GB2312"/>
                <w:color w:val="000000" w:themeColor="text1"/>
                <w:sz w:val="24"/>
                <w:szCs w:val="24"/>
                <w14:textFill>
                  <w14:solidFill>
                    <w14:schemeClr w14:val="tx1"/>
                  </w14:solidFill>
                </w14:textFill>
              </w:rPr>
            </w:pPr>
            <w:r>
              <w:rPr>
                <w:rFonts w:hint="eastAsia" w:ascii="仿宋_GB2312" w:hAnsi="Times New Roman" w:eastAsia="仿宋_GB2312"/>
                <w:b/>
                <w:bCs/>
                <w:color w:val="0070C0"/>
                <w:sz w:val="24"/>
                <w:szCs w:val="24"/>
              </w:rPr>
              <w:t>滨州职业学院</w:t>
            </w:r>
            <w:r>
              <w:rPr>
                <w:rFonts w:hint="eastAsia" w:ascii="仿宋_GB2312" w:hAnsi="Times New Roman" w:eastAsia="仿宋_GB2312" w:cs="Times New Roman"/>
                <w:color w:val="000000" w:themeColor="text1"/>
                <w:sz w:val="24"/>
                <w:szCs w:val="24"/>
                <w14:textFill>
                  <w14:solidFill>
                    <w14:schemeClr w14:val="tx1"/>
                  </w14:solidFill>
                </w14:textFill>
              </w:rPr>
              <w:t>建立常态化工匠精神长效培育机制，开发工匠后备人才培育标准，将工匠精神培育贯穿课堂教学和实习实训，开设齐鲁文化、工匠精神等课程，建立劳模工匠大讲堂，邀请劳动模范、技能大师、能工巧匠担任兼职教师和德育导师，激励学生敬业专注、精益求精，培育具有匠心匠技的产业急需、技艺高超的创新型大国工匠后备人才。</w:t>
            </w:r>
          </w:p>
          <w:p>
            <w:pPr>
              <w:spacing w:line="480" w:lineRule="exact"/>
              <w:ind w:firstLine="482" w:firstLineChars="200"/>
              <w:rPr>
                <w:rFonts w:ascii="Times New Roman" w:hAnsi="Times New Roman" w:eastAsia="仿宋_GB2312"/>
                <w:color w:val="000000" w:themeColor="text1"/>
                <w:sz w:val="24"/>
                <w14:textFill>
                  <w14:solidFill>
                    <w14:schemeClr w14:val="tx1"/>
                  </w14:solidFill>
                </w14:textFill>
              </w:rPr>
            </w:pPr>
            <w:r>
              <w:rPr>
                <w:rFonts w:hint="eastAsia" w:ascii="仿宋_GB2312" w:hAnsi="Times New Roman" w:eastAsia="仿宋_GB2312"/>
                <w:b/>
                <w:bCs/>
                <w:color w:val="0070C0"/>
                <w:sz w:val="24"/>
                <w:szCs w:val="24"/>
              </w:rPr>
              <w:t>山东交通职业学院</w:t>
            </w:r>
            <w:r>
              <w:rPr>
                <w:rFonts w:hint="eastAsia" w:ascii="仿宋_GB2312" w:hAnsi="Times New Roman" w:eastAsia="仿宋_GB2312" w:cs="Times New Roman"/>
                <w:color w:val="000000" w:themeColor="text1"/>
                <w:sz w:val="24"/>
                <w:szCs w:val="24"/>
                <w14:textFill>
                  <w14:solidFill>
                    <w14:schemeClr w14:val="tx1"/>
                  </w14:solidFill>
                </w14:textFill>
              </w:rPr>
              <w:t>着力培育学生工匠精神，建立了以全国劳动模范</w:t>
            </w:r>
            <w:r>
              <w:rPr>
                <w:rFonts w:hint="eastAsia" w:ascii="仿宋_GB2312" w:hAnsi="Times New Roman" w:eastAsia="仿宋_GB2312"/>
                <w:color w:val="000000" w:themeColor="text1"/>
                <w:sz w:val="24"/>
                <w:szCs w:val="24"/>
                <w14:textFill>
                  <w14:solidFill>
                    <w14:schemeClr w14:val="tx1"/>
                  </w14:solidFill>
                </w14:textFill>
              </w:rPr>
              <w:t>许振超为代表的12个交通工匠和大师工作室，</w:t>
            </w:r>
            <w:r>
              <w:rPr>
                <w:rFonts w:hint="eastAsia" w:ascii="仿宋_GB2312" w:hAnsi="Times New Roman" w:eastAsia="仿宋_GB2312" w:cs="Times New Roman"/>
                <w:color w:val="000000" w:themeColor="text1"/>
                <w:sz w:val="24"/>
                <w:szCs w:val="24"/>
                <w14:textFill>
                  <w14:solidFill>
                    <w14:schemeClr w14:val="tx1"/>
                  </w14:solidFill>
                </w14:textFill>
              </w:rPr>
              <w:t>引导学生立足专业，学习技能，</w:t>
            </w:r>
            <w:r>
              <w:rPr>
                <w:rFonts w:hint="eastAsia" w:ascii="仿宋_GB2312" w:hAnsi="Times New Roman" w:eastAsia="仿宋_GB2312"/>
                <w:color w:val="000000" w:themeColor="text1"/>
                <w:sz w:val="24"/>
                <w:szCs w:val="24"/>
                <w14:textFill>
                  <w14:solidFill>
                    <w14:schemeClr w14:val="tx1"/>
                  </w14:solidFill>
                </w14:textFill>
              </w:rPr>
              <w:t>弘扬“干一行、爱一行、精一行”的劳模精神，航海系蓝鲸船模社团利用软件三维建模技术，采用传统木制手工工艺，自主设计制作了六条惟妙惟肖的“红船”模型，其中，四条1米上色“红船”，两条60公分原色“红船”。</w:t>
            </w:r>
          </w:p>
        </w:tc>
      </w:tr>
    </w:tbl>
    <w:p>
      <w:pPr>
        <w:spacing w:line="520" w:lineRule="exact"/>
        <w:ind w:firstLine="562" w:firstLineChars="200"/>
        <w:outlineLvl w:val="2"/>
        <w:rPr>
          <w:rFonts w:ascii="仿宋_GB2312" w:hAnsi="Times New Roman" w:eastAsia="仿宋_GB2312" w:cs="Times New Roman"/>
          <w:b/>
          <w:bCs/>
          <w:color w:val="000000" w:themeColor="text1"/>
          <w:sz w:val="28"/>
          <w:szCs w:val="28"/>
          <w14:textFill>
            <w14:solidFill>
              <w14:schemeClr w14:val="tx1"/>
            </w14:solidFill>
          </w14:textFill>
        </w:rPr>
      </w:pPr>
      <w:bookmarkStart w:id="418" w:name="_Toc91604699"/>
      <w:bookmarkStart w:id="419" w:name="_Toc91606542"/>
      <w:bookmarkStart w:id="420" w:name="_Toc91605025"/>
      <w:bookmarkStart w:id="421" w:name="_Toc94183467"/>
      <w:bookmarkStart w:id="422" w:name="_Toc94172366"/>
      <w:bookmarkStart w:id="423" w:name="_Toc94172225"/>
      <w:r>
        <w:rPr>
          <w:rFonts w:hint="eastAsia" w:ascii="仿宋_GB2312" w:hAnsi="Times New Roman" w:eastAsia="仿宋_GB2312" w:cs="Times New Roman"/>
          <w:b/>
          <w:bCs/>
          <w:color w:val="000000" w:themeColor="text1"/>
          <w:sz w:val="28"/>
          <w:szCs w:val="28"/>
          <w14:textFill>
            <w14:solidFill>
              <w14:schemeClr w14:val="tx1"/>
            </w14:solidFill>
          </w14:textFill>
        </w:rPr>
        <w:t>4.1.4 国际赛事</w:t>
      </w:r>
      <w:bookmarkEnd w:id="418"/>
      <w:bookmarkEnd w:id="419"/>
      <w:bookmarkEnd w:id="420"/>
      <w:r>
        <w:rPr>
          <w:rFonts w:hint="eastAsia" w:ascii="仿宋_GB2312" w:hAnsi="Times New Roman" w:eastAsia="仿宋_GB2312" w:cs="Times New Roman"/>
          <w:b/>
          <w:bCs/>
          <w:color w:val="000000" w:themeColor="text1"/>
          <w:sz w:val="28"/>
          <w:szCs w:val="28"/>
          <w14:textFill>
            <w14:solidFill>
              <w14:schemeClr w14:val="tx1"/>
            </w14:solidFill>
          </w14:textFill>
        </w:rPr>
        <w:t>表现突出</w:t>
      </w:r>
      <w:bookmarkEnd w:id="421"/>
      <w:bookmarkEnd w:id="422"/>
      <w:bookmarkEnd w:id="423"/>
    </w:p>
    <w:p>
      <w:pPr>
        <w:spacing w:after="156" w:afterLines="50" w:line="520" w:lineRule="exact"/>
        <w:ind w:firstLine="560" w:firstLineChars="200"/>
        <w:outlineLvl w:val="3"/>
        <w:rPr>
          <w:rFonts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t>山东高职</w:t>
      </w:r>
      <w:r>
        <w:rPr>
          <w:rFonts w:hint="eastAsia" w:ascii="仿宋_GB2312" w:eastAsia="仿宋_GB2312"/>
          <w:color w:val="000000" w:themeColor="text1"/>
          <w:sz w:val="28"/>
          <w:szCs w:val="28"/>
          <w14:textFill>
            <w14:solidFill>
              <w14:schemeClr w14:val="tx1"/>
            </w14:solidFill>
          </w14:textFill>
        </w:rPr>
        <w:t>院校积极探索职业教育国际化路径，选派优秀学生参加海外技能竞赛。数据显示，近五年，山东高职院校在国（境）外职业技能赛事活动中获得各类奖项1109项。2017年获奖46项，2018年较2017年激增149项，是上一年度的4.23倍；2019年和2020年继续大幅增加，每年获奖总量都超过300项；2021年，获奖数量虽然锐减，但也与2018年持平。如图4-1所示。这主要是受疫情影响，一方面国际赛事活动明显减少；另一方面，各个国家进出境都受到多方面限制。参加国际赛事是山东职业教育与国际职业教育对话交流，大步迈向世界职业教育舞台中央的重要标志，山东高职院校不断提高学生技能水平，积极开展国际交流与合作，发展势头强劲，在国际大赛上获奖领域不断拓宽，获奖能力进一步增强。</w:t>
      </w:r>
    </w:p>
    <w:p>
      <w:pPr>
        <w:jc w:val="center"/>
        <w:rPr>
          <w:rFonts w:eastAsia="宋体"/>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652135" cy="1424940"/>
            <wp:effectExtent l="0" t="0" r="5715" b="3810"/>
            <wp:docPr id="35" name="图表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424" w:name="_Toc94172226"/>
      <w:bookmarkStart w:id="425" w:name="_Toc91605026"/>
      <w:bookmarkStart w:id="426" w:name="_Toc94172367"/>
      <w:bookmarkStart w:id="427" w:name="_Toc94183468"/>
      <w:r>
        <w:rPr>
          <w:rFonts w:hint="eastAsia" w:ascii="宋体" w:hAnsi="宋体" w:eastAsia="宋体"/>
          <w:color w:val="000000" w:themeColor="text1"/>
          <w:sz w:val="24"/>
          <w:szCs w:val="24"/>
          <w14:textFill>
            <w14:solidFill>
              <w14:schemeClr w14:val="tx1"/>
            </w14:solidFill>
          </w14:textFill>
        </w:rPr>
        <w:t>图4-1  2017-2021年山东高职院校国（境）外职业技能赛事获奖情况（单位：项）</w:t>
      </w:r>
      <w:bookmarkEnd w:id="424"/>
      <w:bookmarkEnd w:id="425"/>
      <w:bookmarkEnd w:id="426"/>
      <w:bookmarkEnd w:id="427"/>
    </w:p>
    <w:p>
      <w:pPr>
        <w:pStyle w:val="10"/>
        <w:spacing w:after="62" w:afterLines="20" w:line="240" w:lineRule="auto"/>
        <w:ind w:left="0" w:leftChars="0"/>
        <w:rPr>
          <w:rFonts w:ascii="宋体" w:hAnsi="宋体" w:cs="楷体_GB2312"/>
          <w:color w:val="000000" w:themeColor="text1"/>
          <w:szCs w:val="21"/>
          <w14:textFill>
            <w14:solidFill>
              <w14:schemeClr w14:val="tx1"/>
            </w14:solidFill>
          </w14:textFill>
        </w:rPr>
      </w:pPr>
      <w:r>
        <w:rPr>
          <w:rFonts w:hint="eastAsia" w:ascii="宋体" w:hAnsi="宋体" w:cs="楷体_GB2312"/>
          <w:b/>
          <w:bCs/>
          <w:color w:val="000000" w:themeColor="text1"/>
          <w:szCs w:val="21"/>
          <w14:textFill>
            <w14:solidFill>
              <w14:schemeClr w14:val="tx1"/>
            </w14:solidFill>
          </w14:textFill>
        </w:rPr>
        <w:t>数据来源：</w:t>
      </w:r>
      <w:r>
        <w:rPr>
          <w:rFonts w:hint="eastAsia" w:ascii="宋体" w:hAnsi="宋体" w:cs="楷体_GB2312"/>
          <w:color w:val="000000" w:themeColor="text1"/>
          <w:szCs w:val="21"/>
          <w14:textFill>
            <w14:solidFill>
              <w14:schemeClr w14:val="tx1"/>
            </w14:solidFill>
          </w14:textFill>
        </w:rPr>
        <w:t>山东高职院校历年“高等职业教育质量年度报告”填报数据，2017年73所院校、2018年74所院校、2019年75所院校、2020年74所院校、2021年83所院校。</w:t>
      </w:r>
    </w:p>
    <w:tbl>
      <w:tblPr>
        <w:tblStyle w:val="21"/>
        <w:tblW w:w="890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90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atLeast"/>
          <w:jc w:val="center"/>
        </w:trPr>
        <w:tc>
          <w:tcPr>
            <w:tcW w:w="8720" w:type="dxa"/>
            <w:tcBorders>
              <w:bottom w:val="single" w:color="FFFFFF" w:sz="4" w:space="0"/>
            </w:tcBorders>
            <w:shd w:val="clear" w:color="auto" w:fill="0070C0"/>
            <w:vAlign w:val="center"/>
          </w:tcPr>
          <w:p>
            <w:pPr>
              <w:spacing w:line="520" w:lineRule="exact"/>
              <w:outlineLvl w:val="1"/>
              <w:rPr>
                <w:rFonts w:ascii="楷体_GB2312" w:hAnsi="Times New Roman" w:eastAsia="楷体_GB2312"/>
                <w:color w:val="000000" w:themeColor="text1"/>
                <w:sz w:val="28"/>
                <w:szCs w:val="28"/>
                <w14:textFill>
                  <w14:solidFill>
                    <w14:schemeClr w14:val="tx1"/>
                  </w14:solidFill>
                </w14:textFill>
              </w:rPr>
            </w:pPr>
            <w:bookmarkStart w:id="428" w:name="_Toc62755747"/>
            <w:bookmarkStart w:id="429" w:name="_Toc94172227"/>
            <w:bookmarkStart w:id="430" w:name="_Toc94172368"/>
            <w:bookmarkStart w:id="431" w:name="_Toc91605027"/>
            <w:bookmarkStart w:id="432" w:name="_Toc94183469"/>
            <w:r>
              <w:rPr>
                <w:rFonts w:hint="eastAsia" w:ascii="楷体_GB2312" w:hAnsi="黑体" w:eastAsia="楷体_GB2312" w:cs="黑体"/>
                <w:b/>
                <w:bCs/>
                <w:color w:val="FFFFFF" w:themeColor="background1"/>
                <w:sz w:val="28"/>
                <w:szCs w:val="28"/>
                <w14:textFill>
                  <w14:solidFill>
                    <w14:schemeClr w14:val="bg1"/>
                  </w14:solidFill>
                </w14:textFill>
              </w:rPr>
              <w:t>专栏4-</w:t>
            </w:r>
            <w:bookmarkStart w:id="433" w:name="_Toc5279"/>
            <w:r>
              <w:rPr>
                <w:rFonts w:ascii="楷体_GB2312" w:hAnsi="黑体" w:eastAsia="楷体_GB2312" w:cs="黑体"/>
                <w:b/>
                <w:bCs/>
                <w:color w:val="FFFFFF" w:themeColor="background1"/>
                <w:sz w:val="28"/>
                <w:szCs w:val="28"/>
                <w14:textFill>
                  <w14:solidFill>
                    <w14:schemeClr w14:val="bg1"/>
                  </w14:solidFill>
                </w14:textFill>
              </w:rPr>
              <w:t>3</w:t>
            </w:r>
            <w:r>
              <w:rPr>
                <w:rFonts w:hint="eastAsia" w:ascii="楷体_GB2312" w:hAnsi="黑体" w:eastAsia="楷体_GB2312" w:cs="黑体"/>
                <w:b/>
                <w:bCs/>
                <w:color w:val="FFFFFF" w:themeColor="background1"/>
                <w:sz w:val="28"/>
                <w:szCs w:val="28"/>
                <w14:textFill>
                  <w14:solidFill>
                    <w14:schemeClr w14:val="bg1"/>
                  </w14:solidFill>
                </w14:textFill>
              </w:rPr>
              <w:t xml:space="preserve"> 技能赛事显身手 技艺传承</w:t>
            </w:r>
            <w:bookmarkEnd w:id="428"/>
            <w:bookmarkEnd w:id="433"/>
            <w:r>
              <w:rPr>
                <w:rFonts w:hint="eastAsia" w:ascii="楷体_GB2312" w:hAnsi="黑体" w:eastAsia="楷体_GB2312" w:cs="黑体"/>
                <w:b/>
                <w:bCs/>
                <w:color w:val="FFFFFF" w:themeColor="background1"/>
                <w:sz w:val="28"/>
                <w:szCs w:val="28"/>
                <w14:textFill>
                  <w14:solidFill>
                    <w14:schemeClr w14:val="bg1"/>
                  </w14:solidFill>
                </w14:textFill>
              </w:rPr>
              <w:t>育人才</w:t>
            </w:r>
            <w:bookmarkEnd w:id="429"/>
            <w:bookmarkEnd w:id="430"/>
            <w:bookmarkEnd w:id="431"/>
            <w:bookmarkEnd w:id="432"/>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720" w:type="dxa"/>
            <w:shd w:val="clear" w:color="auto" w:fill="CDEAFF"/>
          </w:tcPr>
          <w:p>
            <w:pPr>
              <w:spacing w:line="480" w:lineRule="exact"/>
              <w:ind w:firstLine="482" w:firstLineChars="200"/>
              <w:rPr>
                <w:rFonts w:ascii="仿宋_GB2312" w:eastAsia="仿宋_GB2312"/>
                <w:color w:val="000000" w:themeColor="text1"/>
                <w:sz w:val="24"/>
                <w14:textFill>
                  <w14:solidFill>
                    <w14:schemeClr w14:val="tx1"/>
                  </w14:solidFill>
                </w14:textFill>
              </w:rPr>
            </w:pPr>
            <w:r>
              <w:rPr>
                <w:rFonts w:hint="eastAsia" w:ascii="仿宋_GB2312" w:eastAsia="仿宋_GB2312"/>
                <w:b/>
                <w:bCs/>
                <w:color w:val="0070C0"/>
                <w:sz w:val="24"/>
              </w:rPr>
              <w:t>青岛酒店管理职业学院</w:t>
            </w:r>
            <w:r>
              <w:rPr>
                <w:rFonts w:hint="eastAsia" w:ascii="仿宋_GB2312" w:eastAsia="仿宋_GB2312"/>
                <w:color w:val="000000" w:themeColor="text1"/>
                <w:sz w:val="24"/>
                <w14:textFill>
                  <w14:solidFill>
                    <w14:schemeClr w14:val="tx1"/>
                  </w14:solidFill>
                </w14:textFill>
              </w:rPr>
              <w:t>2019年组建中国国家青年厨师队，由专业教师刘立新任总教练，西餐工艺专业韩昊、于广川同学与来自全国7所职业院校和酒店的厨师，刻苦训练，参加了在上海举行的FHC国际青年厨师挑战赛并获金牌。2020年，参加在德国举办的世界奥林匹克烹饪大赛，获两项个人赛冠军，韩昊、于广川2名同学摘得2银1铜，用优异成绩展示了中国青年的精神风貌。</w:t>
            </w:r>
          </w:p>
          <w:p>
            <w:pPr>
              <w:spacing w:line="480" w:lineRule="exact"/>
              <w:ind w:firstLine="482" w:firstLineChars="200"/>
              <w:rPr>
                <w:rFonts w:ascii="仿宋_GB2312" w:eastAsia="仿宋_GB2312"/>
                <w:color w:val="000000" w:themeColor="text1"/>
                <w:sz w:val="24"/>
                <w14:textFill>
                  <w14:solidFill>
                    <w14:schemeClr w14:val="tx1"/>
                  </w14:solidFill>
                </w14:textFill>
              </w:rPr>
            </w:pPr>
            <w:r>
              <w:rPr>
                <w:rFonts w:hint="eastAsia" w:ascii="仿宋_GB2312" w:eastAsia="仿宋_GB2312"/>
                <w:b/>
                <w:bCs/>
                <w:color w:val="0070C0"/>
                <w:sz w:val="24"/>
              </w:rPr>
              <w:t>山东水利职业学院</w:t>
            </w:r>
            <w:r>
              <w:rPr>
                <w:rFonts w:hint="eastAsia" w:ascii="仿宋_GB2312" w:eastAsia="仿宋_GB2312"/>
                <w:color w:val="000000" w:themeColor="text1"/>
                <w:sz w:val="24"/>
                <w14:textFill>
                  <w14:solidFill>
                    <w14:schemeClr w14:val="tx1"/>
                  </w14:solidFill>
                </w14:textFill>
              </w:rPr>
              <w:t>实施技能竞赛引领工程，建立国家、省、校三级技能竞赛体系，以赛促学、以赛促练，赛学练互动，技能大赛与人才培养各个环节深度融合，打造“山水创客”品牌，支持学生广泛参与各级各类技能竞赛。2021年，31名同学在中国国际“互联网+”大学生创新创业大赛、“京津冀-粤港澳”青年创新创业大赛、福特优行大学生创新挑战赛（UCAN）等赛事活动中获奖。</w:t>
            </w:r>
          </w:p>
          <w:p>
            <w:pPr>
              <w:spacing w:line="480" w:lineRule="exact"/>
              <w:ind w:firstLine="482" w:firstLineChars="200"/>
              <w:rPr>
                <w:color w:val="000000" w:themeColor="text1"/>
                <w14:textFill>
                  <w14:solidFill>
                    <w14:schemeClr w14:val="tx1"/>
                  </w14:solidFill>
                </w14:textFill>
              </w:rPr>
            </w:pPr>
            <w:r>
              <w:rPr>
                <w:rFonts w:hint="eastAsia" w:ascii="仿宋_GB2312" w:eastAsia="仿宋_GB2312"/>
                <w:b/>
                <w:bCs/>
                <w:color w:val="0070C0"/>
                <w:sz w:val="24"/>
              </w:rPr>
              <w:t>山东商业职业技术学院</w:t>
            </w:r>
            <w:r>
              <w:rPr>
                <w:rFonts w:hint="eastAsia" w:ascii="仿宋_GB2312" w:eastAsia="仿宋_GB2312"/>
                <w:color w:val="000000" w:themeColor="text1"/>
                <w:sz w:val="24"/>
                <w14:textFill>
                  <w14:solidFill>
                    <w14:schemeClr w14:val="tx1"/>
                  </w14:solidFill>
                </w14:textFill>
              </w:rPr>
              <w:t>建立技能竞赛激励机制，着力提升学生技艺技能，王润欣等4名同学在2021年（新加坡）全球品牌策划大赛中国地区选拔赛中获团体一等奖；马鹏程等4名同学在中国国际“互联网+”大学生创新创业大赛中获银奖；尹蓝锐等5名同学在2021中美青年创客大赛沈阳赛区决赛中获团体二等奖。2021年，学校在国（境）外技能大赛中获奖28项，提升了中国职业教育的国际影响力。</w:t>
            </w:r>
          </w:p>
        </w:tc>
      </w:tr>
    </w:tbl>
    <w:p>
      <w:pPr>
        <w:spacing w:line="520" w:lineRule="exact"/>
        <w:ind w:firstLine="560" w:firstLineChars="200"/>
        <w:outlineLvl w:val="1"/>
        <w:rPr>
          <w:rFonts w:ascii="Times New Roman" w:hAnsi="Times New Roman" w:eastAsia="楷体_GB2312" w:cs="Times New Roman"/>
          <w:bCs/>
          <w:color w:val="000000" w:themeColor="text1"/>
          <w:sz w:val="28"/>
          <w:szCs w:val="28"/>
          <w14:textFill>
            <w14:solidFill>
              <w14:schemeClr w14:val="tx1"/>
            </w14:solidFill>
          </w14:textFill>
        </w:rPr>
      </w:pPr>
      <w:bookmarkStart w:id="434" w:name="_Toc94172228"/>
      <w:bookmarkStart w:id="435" w:name="_Toc94172369"/>
      <w:bookmarkStart w:id="436" w:name="_Toc94183470"/>
      <w:r>
        <w:rPr>
          <w:rFonts w:hint="eastAsia" w:ascii="楷体_GB2312" w:hAnsi="黑体" w:eastAsia="楷体_GB2312" w:cs="黑体"/>
          <w:bCs/>
          <w:color w:val="000000" w:themeColor="text1"/>
          <w:sz w:val="28"/>
          <w:szCs w:val="28"/>
          <w14:textFill>
            <w14:solidFill>
              <w14:schemeClr w14:val="tx1"/>
            </w14:solidFill>
          </w14:textFill>
        </w:rPr>
        <w:t>4.2 就业质量</w:t>
      </w:r>
      <w:bookmarkEnd w:id="434"/>
      <w:bookmarkEnd w:id="435"/>
      <w:bookmarkEnd w:id="436"/>
    </w:p>
    <w:p>
      <w:pPr>
        <w:spacing w:line="520" w:lineRule="exact"/>
        <w:ind w:firstLine="562" w:firstLineChars="200"/>
        <w:outlineLvl w:val="2"/>
        <w:rPr>
          <w:rFonts w:ascii="仿宋_GB2312" w:hAnsi="Times New Roman" w:eastAsia="仿宋_GB2312" w:cs="Times New Roman"/>
          <w:b/>
          <w:bCs/>
          <w:color w:val="000000" w:themeColor="text1"/>
          <w:sz w:val="28"/>
          <w:szCs w:val="28"/>
          <w14:textFill>
            <w14:solidFill>
              <w14:schemeClr w14:val="tx1"/>
            </w14:solidFill>
          </w14:textFill>
        </w:rPr>
      </w:pPr>
      <w:bookmarkStart w:id="437" w:name="_Toc91604702"/>
      <w:bookmarkStart w:id="438" w:name="_Toc91605029"/>
      <w:bookmarkStart w:id="439" w:name="_Toc91606546"/>
      <w:bookmarkStart w:id="440" w:name="_Toc94172229"/>
      <w:bookmarkStart w:id="441" w:name="_Toc94172370"/>
      <w:bookmarkStart w:id="442" w:name="_Toc94183471"/>
      <w:r>
        <w:rPr>
          <w:rFonts w:hint="eastAsia" w:ascii="仿宋_GB2312" w:hAnsi="Times New Roman" w:eastAsia="仿宋_GB2312" w:cs="Times New Roman"/>
          <w:b/>
          <w:bCs/>
          <w:color w:val="000000" w:themeColor="text1"/>
          <w:sz w:val="28"/>
          <w:szCs w:val="28"/>
          <w14:textFill>
            <w14:solidFill>
              <w14:schemeClr w14:val="tx1"/>
            </w14:solidFill>
          </w14:textFill>
        </w:rPr>
        <w:t>4.2.1 毕业生就业落实率</w:t>
      </w:r>
      <w:bookmarkEnd w:id="437"/>
      <w:bookmarkEnd w:id="438"/>
      <w:bookmarkEnd w:id="439"/>
      <w:r>
        <w:rPr>
          <w:rFonts w:hint="eastAsia" w:ascii="仿宋_GB2312" w:hAnsi="Times New Roman" w:eastAsia="仿宋_GB2312" w:cs="Times New Roman"/>
          <w:b/>
          <w:bCs/>
          <w:color w:val="000000" w:themeColor="text1"/>
          <w:sz w:val="28"/>
          <w:szCs w:val="28"/>
          <w14:textFill>
            <w14:solidFill>
              <w14:schemeClr w14:val="tx1"/>
            </w14:solidFill>
          </w14:textFill>
        </w:rPr>
        <w:t>明显回升</w:t>
      </w:r>
      <w:bookmarkEnd w:id="440"/>
      <w:bookmarkEnd w:id="441"/>
      <w:bookmarkEnd w:id="442"/>
    </w:p>
    <w:p>
      <w:pPr>
        <w:spacing w:after="62" w:afterLines="20" w:line="520" w:lineRule="exact"/>
        <w:ind w:firstLine="560" w:firstLineChars="200"/>
        <w:outlineLvl w:val="3"/>
        <w:rPr>
          <w:rFonts w:ascii="仿宋_GB2312"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数据显示，</w:t>
      </w:r>
      <w:r>
        <w:rPr>
          <w:rFonts w:hint="eastAsia" w:ascii="仿宋_GB2312" w:hAnsi="Times New Roman" w:eastAsia="仿宋_GB2312" w:cs="Times New Roman"/>
          <w:color w:val="000000" w:themeColor="text1"/>
          <w:sz w:val="28"/>
          <w:szCs w:val="28"/>
          <w14:textFill>
            <w14:solidFill>
              <w14:schemeClr w14:val="tx1"/>
            </w14:solidFill>
          </w14:textFill>
        </w:rPr>
        <w:t>山东高职2021届毕业生就业率95.31%，较2020届提升2.62个百分点。近五届山东高职毕业生就业落实率高位稳定，2017-2019届毕业生平均就业率97.52%；2020届毕业生因受经济下行和疫情叠加影响，就业率下降；2021年，山东省聚力优服务、拓岗位，加大援企稳岗力度，积极拓宽毕业生就业渠道，就业落实率明显回升，83所高职院校就业落实率最高99.59%。53所院校就业率超过95%，比2020年多13所；56所院校就业率超过90%，比2020年多11所。如图4-2所示。</w:t>
      </w:r>
    </w:p>
    <w:p>
      <w:pPr>
        <w:pStyle w:val="10"/>
        <w:spacing w:after="0" w:line="240" w:lineRule="auto"/>
        <w:ind w:left="0" w:leftChars="0"/>
        <w:jc w:val="center"/>
        <w:rPr>
          <w:rFonts w:eastAsia="仿宋_GB2312"/>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652135" cy="1440180"/>
            <wp:effectExtent l="4445" t="4445" r="10795" b="1270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443" w:name="_Toc91605030"/>
      <w:bookmarkStart w:id="444" w:name="_Toc94172230"/>
      <w:bookmarkStart w:id="445" w:name="_Toc94183472"/>
      <w:bookmarkStart w:id="446" w:name="_Toc94172371"/>
      <w:bookmarkStart w:id="447" w:name="_Toc5070"/>
      <w:r>
        <w:rPr>
          <w:rFonts w:hint="eastAsia" w:ascii="宋体" w:hAnsi="宋体" w:eastAsia="宋体"/>
          <w:color w:val="000000" w:themeColor="text1"/>
          <w:sz w:val="24"/>
          <w:szCs w:val="24"/>
          <w14:textFill>
            <w14:solidFill>
              <w14:schemeClr w14:val="tx1"/>
            </w14:solidFill>
          </w14:textFill>
        </w:rPr>
        <w:t>图</w:t>
      </w:r>
      <w:bookmarkStart w:id="448" w:name="_Toc23956"/>
      <w:r>
        <w:rPr>
          <w:rFonts w:hint="eastAsia" w:ascii="宋体" w:hAnsi="宋体" w:eastAsia="宋体"/>
          <w:color w:val="000000" w:themeColor="text1"/>
          <w:sz w:val="24"/>
          <w:szCs w:val="24"/>
          <w14:textFill>
            <w14:solidFill>
              <w14:schemeClr w14:val="tx1"/>
            </w14:solidFill>
          </w14:textFill>
        </w:rPr>
        <w:t>4-2 近五届山东省高职毕业生就业率</w:t>
      </w:r>
      <w:bookmarkEnd w:id="443"/>
      <w:bookmarkEnd w:id="444"/>
      <w:bookmarkEnd w:id="445"/>
      <w:bookmarkEnd w:id="446"/>
      <w:bookmarkEnd w:id="447"/>
      <w:bookmarkEnd w:id="448"/>
    </w:p>
    <w:p>
      <w:pPr>
        <w:pStyle w:val="10"/>
        <w:spacing w:after="62" w:afterLines="20" w:line="240" w:lineRule="auto"/>
        <w:ind w:left="0" w:leftChars="0"/>
        <w:rPr>
          <w:rFonts w:ascii="宋体" w:hAnsi="宋体" w:cs="楷体_GB2312"/>
          <w:color w:val="000000" w:themeColor="text1"/>
          <w:szCs w:val="21"/>
          <w14:textFill>
            <w14:solidFill>
              <w14:schemeClr w14:val="tx1"/>
            </w14:solidFill>
          </w14:textFill>
        </w:rPr>
      </w:pPr>
      <w:r>
        <w:rPr>
          <w:rFonts w:hint="eastAsia" w:ascii="宋体" w:hAnsi="宋体" w:cs="楷体_GB2312"/>
          <w:b/>
          <w:bCs/>
          <w:color w:val="000000" w:themeColor="text1"/>
          <w:szCs w:val="21"/>
          <w14:textFill>
            <w14:solidFill>
              <w14:schemeClr w14:val="tx1"/>
            </w14:solidFill>
          </w14:textFill>
        </w:rPr>
        <w:t>数据来源：</w:t>
      </w:r>
      <w:r>
        <w:rPr>
          <w:rFonts w:hint="eastAsia" w:ascii="宋体" w:hAnsi="宋体" w:cs="楷体_GB2312"/>
          <w:color w:val="000000" w:themeColor="text1"/>
          <w:szCs w:val="21"/>
          <w14:textFill>
            <w14:solidFill>
              <w14:schemeClr w14:val="tx1"/>
            </w14:solidFill>
          </w14:textFill>
        </w:rPr>
        <w:t>山东高职院校历年“高等职业教育质量年度报告”填报数据，2017届73所院校、2018届74所院校、2019届75所院校、2020届74所院校、2021届83所院校。</w:t>
      </w:r>
    </w:p>
    <w:p>
      <w:pPr>
        <w:spacing w:line="500" w:lineRule="exact"/>
        <w:ind w:firstLine="562" w:firstLineChars="200"/>
        <w:outlineLvl w:val="2"/>
        <w:rPr>
          <w:rFonts w:ascii="仿宋_GB2312" w:hAnsi="Times New Roman" w:eastAsia="仿宋_GB2312" w:cs="Times New Roman"/>
          <w:b/>
          <w:bCs/>
          <w:color w:val="000000" w:themeColor="text1"/>
          <w:sz w:val="28"/>
          <w:szCs w:val="28"/>
          <w14:textFill>
            <w14:solidFill>
              <w14:schemeClr w14:val="tx1"/>
            </w14:solidFill>
          </w14:textFill>
        </w:rPr>
      </w:pPr>
      <w:bookmarkStart w:id="449" w:name="_Toc94172372"/>
      <w:bookmarkStart w:id="450" w:name="_Toc94172231"/>
      <w:bookmarkStart w:id="451" w:name="_Toc91606548"/>
      <w:bookmarkStart w:id="452" w:name="_Toc94183473"/>
      <w:bookmarkStart w:id="453" w:name="_Toc91604703"/>
      <w:bookmarkStart w:id="454" w:name="_Toc91605031"/>
    </w:p>
    <w:p>
      <w:pPr>
        <w:spacing w:line="500" w:lineRule="exact"/>
        <w:ind w:firstLine="562" w:firstLineChars="200"/>
        <w:outlineLvl w:val="2"/>
        <w:rPr>
          <w:rFonts w:ascii="仿宋_GB2312" w:hAnsi="Times New Roman" w:eastAsia="仿宋_GB2312" w:cs="Times New Roman"/>
          <w:b/>
          <w:bCs/>
          <w:color w:val="000000" w:themeColor="text1"/>
          <w:sz w:val="28"/>
          <w:szCs w:val="28"/>
          <w14:textFill>
            <w14:solidFill>
              <w14:schemeClr w14:val="tx1"/>
            </w14:solidFill>
          </w14:textFill>
        </w:rPr>
      </w:pPr>
      <w:r>
        <w:rPr>
          <w:rFonts w:hint="eastAsia" w:ascii="仿宋_GB2312" w:hAnsi="Times New Roman" w:eastAsia="仿宋_GB2312" w:cs="Times New Roman"/>
          <w:b/>
          <w:bCs/>
          <w:color w:val="000000" w:themeColor="text1"/>
          <w:sz w:val="28"/>
          <w:szCs w:val="28"/>
          <w14:textFill>
            <w14:solidFill>
              <w14:schemeClr w14:val="tx1"/>
            </w14:solidFill>
          </w14:textFill>
        </w:rPr>
        <w:t>4.2.2 毕业生月收入持续增长</w:t>
      </w:r>
      <w:bookmarkEnd w:id="449"/>
      <w:bookmarkEnd w:id="450"/>
      <w:bookmarkEnd w:id="451"/>
      <w:bookmarkEnd w:id="452"/>
      <w:bookmarkEnd w:id="453"/>
      <w:bookmarkEnd w:id="454"/>
    </w:p>
    <w:p>
      <w:pPr>
        <w:spacing w:after="62" w:afterLines="20" w:line="500" w:lineRule="exact"/>
        <w:ind w:firstLine="560" w:firstLineChars="200"/>
        <w:outlineLvl w:val="3"/>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数据显示，2021届毕业生平均月收入3798.32元，比2020届增加147.41元，增幅4.04%，虽较2020届6.59%的增幅降低，但与经济发展同步，保持了稳中有升的发展态势，毕业生月收入增幅放缓。近五年来，山东高职毕业生月收入逐年稳步增长，与山东经济高质量发展以及一系列支持政策密不可分。2021届毕业生平均月收入较2017届毕业生增加了702.64元，增幅达22.7%。如图4-3所示。</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652135" cy="1329055"/>
            <wp:effectExtent l="0" t="0" r="5715" b="444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455" w:name="_Toc29942"/>
      <w:bookmarkStart w:id="456" w:name="_Toc94172373"/>
      <w:bookmarkStart w:id="457" w:name="_Toc94172232"/>
      <w:bookmarkStart w:id="458" w:name="_Toc91605032"/>
      <w:bookmarkStart w:id="459" w:name="_Toc94183474"/>
      <w:r>
        <w:rPr>
          <w:rFonts w:hint="eastAsia" w:ascii="宋体" w:hAnsi="宋体" w:eastAsia="宋体"/>
          <w:color w:val="000000" w:themeColor="text1"/>
          <w:sz w:val="24"/>
          <w:szCs w:val="24"/>
          <w14:textFill>
            <w14:solidFill>
              <w14:schemeClr w14:val="tx1"/>
            </w14:solidFill>
          </w14:textFill>
        </w:rPr>
        <w:t>图4-</w:t>
      </w:r>
      <w:bookmarkStart w:id="460" w:name="_Toc21038"/>
      <w:r>
        <w:rPr>
          <w:rFonts w:hint="eastAsia" w:ascii="宋体" w:hAnsi="宋体" w:eastAsia="宋体"/>
          <w:color w:val="000000" w:themeColor="text1"/>
          <w:sz w:val="24"/>
          <w:szCs w:val="24"/>
          <w14:textFill>
            <w14:solidFill>
              <w14:schemeClr w14:val="tx1"/>
            </w14:solidFill>
          </w14:textFill>
        </w:rPr>
        <w:t>3 近五届山东省高职毕业生月收入情况</w:t>
      </w:r>
      <w:bookmarkEnd w:id="455"/>
      <w:bookmarkEnd w:id="460"/>
      <w:r>
        <w:rPr>
          <w:rFonts w:hint="eastAsia" w:ascii="宋体" w:hAnsi="宋体" w:eastAsia="宋体"/>
          <w:color w:val="000000" w:themeColor="text1"/>
          <w:sz w:val="24"/>
          <w:szCs w:val="24"/>
          <w14:textFill>
            <w14:solidFill>
              <w14:schemeClr w14:val="tx1"/>
            </w14:solidFill>
          </w14:textFill>
        </w:rPr>
        <w:t>（单位：元）</w:t>
      </w:r>
      <w:bookmarkEnd w:id="456"/>
      <w:bookmarkEnd w:id="457"/>
      <w:bookmarkEnd w:id="458"/>
      <w:bookmarkEnd w:id="459"/>
    </w:p>
    <w:p>
      <w:pPr>
        <w:pStyle w:val="10"/>
        <w:spacing w:after="62" w:afterLines="20" w:line="240" w:lineRule="auto"/>
        <w:ind w:left="0" w:leftChars="0"/>
        <w:rPr>
          <w:rFonts w:ascii="宋体" w:hAnsi="宋体" w:cs="楷体_GB2312"/>
          <w:color w:val="000000" w:themeColor="text1"/>
          <w:szCs w:val="21"/>
          <w14:textFill>
            <w14:solidFill>
              <w14:schemeClr w14:val="tx1"/>
            </w14:solidFill>
          </w14:textFill>
        </w:rPr>
      </w:pPr>
      <w:r>
        <w:rPr>
          <w:rFonts w:hint="eastAsia" w:ascii="宋体" w:hAnsi="宋体" w:cs="楷体_GB2312"/>
          <w:b/>
          <w:bCs/>
          <w:color w:val="000000" w:themeColor="text1"/>
          <w:szCs w:val="21"/>
          <w14:textFill>
            <w14:solidFill>
              <w14:schemeClr w14:val="tx1"/>
            </w14:solidFill>
          </w14:textFill>
        </w:rPr>
        <w:t>数据来源：</w:t>
      </w:r>
      <w:r>
        <w:rPr>
          <w:rFonts w:hint="eastAsia" w:ascii="宋体" w:hAnsi="宋体" w:cs="楷体_GB2312"/>
          <w:color w:val="000000" w:themeColor="text1"/>
          <w:szCs w:val="21"/>
          <w14:textFill>
            <w14:solidFill>
              <w14:schemeClr w14:val="tx1"/>
            </w14:solidFill>
          </w14:textFill>
        </w:rPr>
        <w:t>山东高职院校历年“高等职业教育质量年度报告”填报数据，2017届73所院校、2018届74所院校、2019届75所院校、2020届74所院校、2021届83所院校。</w:t>
      </w:r>
    </w:p>
    <w:p>
      <w:pPr>
        <w:spacing w:line="520" w:lineRule="exact"/>
        <w:ind w:firstLine="562" w:firstLineChars="200"/>
        <w:outlineLvl w:val="2"/>
        <w:rPr>
          <w:rFonts w:ascii="Times New Roman" w:hAnsi="Times New Roman" w:eastAsia="仿宋_GB2312" w:cs="Times New Roman"/>
          <w:b/>
          <w:bCs/>
          <w:color w:val="000000" w:themeColor="text1"/>
          <w:sz w:val="28"/>
          <w:szCs w:val="28"/>
          <w14:textFill>
            <w14:solidFill>
              <w14:schemeClr w14:val="tx1"/>
            </w14:solidFill>
          </w14:textFill>
        </w:rPr>
      </w:pPr>
      <w:bookmarkStart w:id="461" w:name="_Toc91606550"/>
      <w:bookmarkStart w:id="462" w:name="_Toc91604704"/>
      <w:bookmarkStart w:id="463" w:name="_Toc94183475"/>
      <w:bookmarkStart w:id="464" w:name="_Toc94172233"/>
      <w:bookmarkStart w:id="465" w:name="_Toc91605033"/>
      <w:bookmarkStart w:id="466" w:name="_Toc94172374"/>
      <w:r>
        <w:rPr>
          <w:rFonts w:hint="eastAsia" w:ascii="仿宋_GB2312" w:hAnsi="Times New Roman" w:eastAsia="仿宋_GB2312" w:cs="Times New Roman"/>
          <w:b/>
          <w:bCs/>
          <w:color w:val="000000" w:themeColor="text1"/>
          <w:sz w:val="28"/>
          <w:szCs w:val="28"/>
          <w14:textFill>
            <w14:solidFill>
              <w14:schemeClr w14:val="tx1"/>
            </w14:solidFill>
          </w14:textFill>
        </w:rPr>
        <w:t>4.2.3</w:t>
      </w:r>
      <w:r>
        <w:rPr>
          <w:rFonts w:ascii="仿宋_GB2312" w:hAnsi="Times New Roman" w:eastAsia="仿宋_GB2312" w:cs="Times New Roman"/>
          <w:b/>
          <w:bCs/>
          <w:color w:val="000000" w:themeColor="text1"/>
          <w:sz w:val="28"/>
          <w:szCs w:val="28"/>
          <w14:textFill>
            <w14:solidFill>
              <w14:schemeClr w14:val="tx1"/>
            </w14:solidFill>
          </w14:textFill>
        </w:rPr>
        <w:t>理工农医类</w:t>
      </w:r>
      <w:r>
        <w:rPr>
          <w:rFonts w:hint="eastAsia" w:ascii="仿宋_GB2312" w:hAnsi="Times New Roman" w:eastAsia="仿宋_GB2312" w:cs="Times New Roman"/>
          <w:b/>
          <w:bCs/>
          <w:color w:val="000000" w:themeColor="text1"/>
          <w:sz w:val="28"/>
          <w:szCs w:val="28"/>
          <w14:textFill>
            <w14:solidFill>
              <w14:schemeClr w14:val="tx1"/>
            </w14:solidFill>
          </w14:textFill>
        </w:rPr>
        <w:t>毕业生</w:t>
      </w:r>
      <w:r>
        <w:rPr>
          <w:rFonts w:ascii="仿宋_GB2312" w:hAnsi="Times New Roman" w:eastAsia="仿宋_GB2312" w:cs="Times New Roman"/>
          <w:b/>
          <w:bCs/>
          <w:color w:val="000000" w:themeColor="text1"/>
          <w:sz w:val="28"/>
          <w:szCs w:val="28"/>
          <w14:textFill>
            <w14:solidFill>
              <w14:schemeClr w14:val="tx1"/>
            </w14:solidFill>
          </w14:textFill>
        </w:rPr>
        <w:t>专业相关度</w:t>
      </w:r>
      <w:r>
        <w:rPr>
          <w:rFonts w:hint="eastAsia" w:ascii="仿宋_GB2312" w:hAnsi="Times New Roman" w:eastAsia="仿宋_GB2312" w:cs="Times New Roman"/>
          <w:b/>
          <w:bCs/>
          <w:color w:val="000000" w:themeColor="text1"/>
          <w:sz w:val="28"/>
          <w:szCs w:val="28"/>
          <w14:textFill>
            <w14:solidFill>
              <w14:schemeClr w14:val="tx1"/>
            </w14:solidFill>
          </w14:textFill>
        </w:rPr>
        <w:t>连续三年下降后首次上升</w:t>
      </w:r>
      <w:bookmarkEnd w:id="461"/>
      <w:bookmarkEnd w:id="462"/>
      <w:bookmarkEnd w:id="463"/>
      <w:bookmarkEnd w:id="464"/>
      <w:bookmarkEnd w:id="465"/>
      <w:bookmarkEnd w:id="466"/>
    </w:p>
    <w:p>
      <w:pPr>
        <w:spacing w:line="520" w:lineRule="exact"/>
        <w:ind w:firstLine="560" w:firstLineChars="200"/>
        <w:outlineLvl w:val="3"/>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数据显示，2021届山东高职理工农医类毕业生专业就业岗位相关度71.27%，在连续三年下降后首次上升，较2020届的69.29%上升了1.98个百分点。如图1-5所示。山东高职院校大力调整优化专业结构，不断适应产业发展需求，毕业生就业对口率虽未达到2017-2019年三届毕业生的相关度水平，但回升态势明显，整体上进一步上升的空间仍然很大。</w:t>
      </w:r>
    </w:p>
    <w:p>
      <w:pPr>
        <w:pStyle w:val="31"/>
        <w:ind w:firstLine="0" w:firstLineChars="0"/>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5652135" cy="1440180"/>
            <wp:effectExtent l="4445" t="4445" r="10795" b="1270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467" w:name="_Toc93"/>
      <w:bookmarkStart w:id="468" w:name="_Toc94172375"/>
      <w:bookmarkStart w:id="469" w:name="_Toc91605034"/>
      <w:bookmarkStart w:id="470" w:name="_Toc94172234"/>
      <w:bookmarkStart w:id="471" w:name="_Toc94183476"/>
      <w:r>
        <w:rPr>
          <w:rFonts w:hint="eastAsia" w:ascii="宋体" w:hAnsi="宋体" w:eastAsia="宋体"/>
          <w:color w:val="000000" w:themeColor="text1"/>
          <w:sz w:val="24"/>
          <w:szCs w:val="24"/>
          <w14:textFill>
            <w14:solidFill>
              <w14:schemeClr w14:val="tx1"/>
            </w14:solidFill>
          </w14:textFill>
        </w:rPr>
        <w:t>图4-</w:t>
      </w:r>
      <w:bookmarkStart w:id="472" w:name="_Toc6266"/>
      <w:r>
        <w:rPr>
          <w:rFonts w:hint="eastAsia" w:ascii="宋体" w:hAnsi="宋体" w:eastAsia="宋体"/>
          <w:color w:val="000000" w:themeColor="text1"/>
          <w:sz w:val="24"/>
          <w:szCs w:val="24"/>
          <w14:textFill>
            <w14:solidFill>
              <w14:schemeClr w14:val="tx1"/>
            </w14:solidFill>
          </w14:textFill>
        </w:rPr>
        <w:t>4 近五届山东省高职毕业生理工农医类专业相关度</w:t>
      </w:r>
      <w:bookmarkEnd w:id="467"/>
      <w:bookmarkEnd w:id="468"/>
      <w:bookmarkEnd w:id="469"/>
      <w:bookmarkEnd w:id="470"/>
      <w:bookmarkEnd w:id="471"/>
      <w:bookmarkEnd w:id="472"/>
    </w:p>
    <w:p>
      <w:pPr>
        <w:pStyle w:val="10"/>
        <w:spacing w:after="62" w:afterLines="20" w:line="240" w:lineRule="auto"/>
        <w:ind w:left="0" w:leftChars="0"/>
        <w:rPr>
          <w:rFonts w:ascii="宋体" w:hAnsi="宋体" w:cs="楷体_GB2312"/>
          <w:color w:val="000000" w:themeColor="text1"/>
          <w:szCs w:val="21"/>
          <w14:textFill>
            <w14:solidFill>
              <w14:schemeClr w14:val="tx1"/>
            </w14:solidFill>
          </w14:textFill>
        </w:rPr>
      </w:pPr>
      <w:r>
        <w:rPr>
          <w:rFonts w:hint="eastAsia" w:ascii="宋体" w:hAnsi="宋体" w:cs="楷体_GB2312"/>
          <w:b/>
          <w:bCs/>
          <w:color w:val="000000" w:themeColor="text1"/>
          <w:szCs w:val="21"/>
          <w14:textFill>
            <w14:solidFill>
              <w14:schemeClr w14:val="tx1"/>
            </w14:solidFill>
          </w14:textFill>
        </w:rPr>
        <w:t>数据来源：</w:t>
      </w:r>
      <w:r>
        <w:rPr>
          <w:rFonts w:hint="eastAsia" w:ascii="宋体" w:hAnsi="宋体" w:cs="楷体_GB2312"/>
          <w:color w:val="000000" w:themeColor="text1"/>
          <w:szCs w:val="21"/>
          <w14:textFill>
            <w14:solidFill>
              <w14:schemeClr w14:val="tx1"/>
            </w14:solidFill>
          </w14:textFill>
        </w:rPr>
        <w:t>山东高职院校历年“高等职业教育质量年度报告”填报数据，2017届73所院校、2018届74所院校、2019届75所院校、2020届74所院校、2021届83所院校。</w:t>
      </w:r>
    </w:p>
    <w:p>
      <w:pPr>
        <w:spacing w:line="520" w:lineRule="exact"/>
        <w:ind w:firstLine="562" w:firstLineChars="200"/>
        <w:outlineLvl w:val="2"/>
        <w:rPr>
          <w:rFonts w:ascii="仿宋_GB2312" w:hAnsi="Times New Roman" w:eastAsia="仿宋_GB2312" w:cs="Times New Roman"/>
          <w:b/>
          <w:bCs/>
          <w:color w:val="000000" w:themeColor="text1"/>
          <w:sz w:val="28"/>
          <w:szCs w:val="28"/>
          <w14:textFill>
            <w14:solidFill>
              <w14:schemeClr w14:val="tx1"/>
            </w14:solidFill>
          </w14:textFill>
        </w:rPr>
      </w:pPr>
      <w:bookmarkStart w:id="473" w:name="_Toc91604705"/>
      <w:bookmarkStart w:id="474" w:name="_Toc91606552"/>
      <w:bookmarkStart w:id="475" w:name="_Toc94172235"/>
      <w:bookmarkStart w:id="476" w:name="_Toc94172376"/>
      <w:bookmarkStart w:id="477" w:name="_Toc91605035"/>
      <w:bookmarkStart w:id="478" w:name="_Toc94183477"/>
      <w:r>
        <w:rPr>
          <w:rFonts w:hint="eastAsia" w:ascii="仿宋_GB2312" w:hAnsi="Times New Roman" w:eastAsia="仿宋_GB2312" w:cs="Times New Roman"/>
          <w:b/>
          <w:bCs/>
          <w:color w:val="000000" w:themeColor="text1"/>
          <w:sz w:val="28"/>
          <w:szCs w:val="28"/>
          <w14:textFill>
            <w14:solidFill>
              <w14:schemeClr w14:val="tx1"/>
            </w14:solidFill>
          </w14:textFill>
        </w:rPr>
        <w:t>4.2.4 毕业生母校满意度高</w:t>
      </w:r>
      <w:bookmarkEnd w:id="473"/>
      <w:bookmarkEnd w:id="474"/>
      <w:bookmarkEnd w:id="475"/>
      <w:bookmarkEnd w:id="476"/>
      <w:bookmarkEnd w:id="477"/>
      <w:bookmarkEnd w:id="478"/>
    </w:p>
    <w:p>
      <w:pPr>
        <w:spacing w:line="520" w:lineRule="exact"/>
        <w:ind w:firstLine="560" w:firstLineChars="200"/>
        <w:outlineLvl w:val="3"/>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数据显示，近五年，山东高职毕业生对母校满意度始终保持在95%以上，并稳步提升，2021届达到近五年来的最高点，毕业生母校满意度97.96%，比前四届毕业生分别高出1.43、0.94、1.07和2.6个百分点。这主要得益于近年来山东多措并举，整省推进职业教育创新发展高地建设，促进职业教育高质量发展，增加优质资源供给。如图4-5所示。</w:t>
      </w:r>
    </w:p>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652135" cy="1440180"/>
            <wp:effectExtent l="4445" t="4445" r="10795" b="1270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479" w:name="_Toc91605036"/>
      <w:bookmarkStart w:id="480" w:name="_Toc94172236"/>
      <w:bookmarkStart w:id="481" w:name="_Toc94172377"/>
      <w:bookmarkStart w:id="482" w:name="_Toc94183478"/>
      <w:bookmarkStart w:id="483" w:name="_Toc21952"/>
      <w:r>
        <w:rPr>
          <w:rFonts w:hint="eastAsia" w:ascii="宋体" w:hAnsi="宋体" w:eastAsia="宋体"/>
          <w:color w:val="000000" w:themeColor="text1"/>
          <w:sz w:val="24"/>
          <w:szCs w:val="24"/>
          <w14:textFill>
            <w14:solidFill>
              <w14:schemeClr w14:val="tx1"/>
            </w14:solidFill>
          </w14:textFill>
        </w:rPr>
        <w:t>图4-</w:t>
      </w:r>
      <w:bookmarkStart w:id="484" w:name="_Toc5759"/>
      <w:r>
        <w:rPr>
          <w:rFonts w:hint="eastAsia" w:ascii="宋体" w:hAnsi="宋体" w:eastAsia="宋体"/>
          <w:color w:val="000000" w:themeColor="text1"/>
          <w:sz w:val="24"/>
          <w:szCs w:val="24"/>
          <w14:textFill>
            <w14:solidFill>
              <w14:schemeClr w14:val="tx1"/>
            </w14:solidFill>
          </w14:textFill>
        </w:rPr>
        <w:t>5 近五届山东省高职毕业生母校满意度</w:t>
      </w:r>
      <w:bookmarkEnd w:id="479"/>
      <w:bookmarkEnd w:id="480"/>
      <w:bookmarkEnd w:id="481"/>
      <w:bookmarkEnd w:id="482"/>
      <w:bookmarkEnd w:id="483"/>
      <w:bookmarkEnd w:id="484"/>
    </w:p>
    <w:p>
      <w:pPr>
        <w:pStyle w:val="10"/>
        <w:spacing w:after="62" w:afterLines="20" w:line="240" w:lineRule="auto"/>
        <w:ind w:left="0" w:leftChars="0"/>
        <w:rPr>
          <w:rFonts w:ascii="宋体" w:hAnsi="宋体" w:cs="楷体_GB2312"/>
          <w:color w:val="000000" w:themeColor="text1"/>
          <w:szCs w:val="21"/>
          <w14:textFill>
            <w14:solidFill>
              <w14:schemeClr w14:val="tx1"/>
            </w14:solidFill>
          </w14:textFill>
        </w:rPr>
      </w:pPr>
      <w:r>
        <w:rPr>
          <w:rFonts w:hint="eastAsia" w:ascii="宋体" w:hAnsi="宋体" w:cs="楷体_GB2312"/>
          <w:b/>
          <w:bCs/>
          <w:color w:val="000000" w:themeColor="text1"/>
          <w:szCs w:val="21"/>
          <w14:textFill>
            <w14:solidFill>
              <w14:schemeClr w14:val="tx1"/>
            </w14:solidFill>
          </w14:textFill>
        </w:rPr>
        <w:t>数据来源：</w:t>
      </w:r>
      <w:r>
        <w:rPr>
          <w:rFonts w:hint="eastAsia" w:ascii="宋体" w:hAnsi="宋体" w:cs="楷体_GB2312"/>
          <w:color w:val="000000" w:themeColor="text1"/>
          <w:szCs w:val="21"/>
          <w14:textFill>
            <w14:solidFill>
              <w14:schemeClr w14:val="tx1"/>
            </w14:solidFill>
          </w14:textFill>
        </w:rPr>
        <w:t>山东高职院校历年“高等职业教育质量年度报告”填报数据，2017届73所院校、2018届74所院校、2019届75所院校、2020届74所院校、2021届83所院校。</w:t>
      </w:r>
    </w:p>
    <w:p>
      <w:pPr>
        <w:spacing w:line="520" w:lineRule="exact"/>
        <w:ind w:firstLine="560" w:firstLineChars="200"/>
        <w:outlineLvl w:val="1"/>
        <w:rPr>
          <w:rFonts w:ascii="楷体_GB2312" w:hAnsi="黑体" w:eastAsia="楷体_GB2312" w:cs="黑体"/>
          <w:bCs/>
          <w:color w:val="000000" w:themeColor="text1"/>
          <w:sz w:val="28"/>
          <w:szCs w:val="28"/>
          <w14:textFill>
            <w14:solidFill>
              <w14:schemeClr w14:val="tx1"/>
            </w14:solidFill>
          </w14:textFill>
        </w:rPr>
      </w:pPr>
      <w:bookmarkStart w:id="485" w:name="_Toc94172237"/>
      <w:bookmarkStart w:id="486" w:name="_Toc94183479"/>
      <w:bookmarkStart w:id="487" w:name="_Toc94172378"/>
      <w:r>
        <w:rPr>
          <w:rFonts w:hint="eastAsia" w:ascii="楷体_GB2312" w:hAnsi="黑体" w:eastAsia="楷体_GB2312" w:cs="黑体"/>
          <w:bCs/>
          <w:color w:val="000000" w:themeColor="text1"/>
          <w:sz w:val="28"/>
          <w:szCs w:val="28"/>
          <w14:textFill>
            <w14:solidFill>
              <w14:schemeClr w14:val="tx1"/>
            </w14:solidFill>
          </w14:textFill>
        </w:rPr>
        <w:t>4.3 就业特征</w:t>
      </w:r>
      <w:bookmarkEnd w:id="485"/>
      <w:bookmarkEnd w:id="486"/>
      <w:bookmarkEnd w:id="487"/>
    </w:p>
    <w:p>
      <w:pPr>
        <w:spacing w:line="520" w:lineRule="exact"/>
        <w:ind w:firstLine="562" w:firstLineChars="200"/>
        <w:outlineLvl w:val="2"/>
        <w:rPr>
          <w:rFonts w:ascii="仿宋_GB2312" w:hAnsi="Times New Roman" w:eastAsia="仿宋_GB2312" w:cs="Times New Roman"/>
          <w:b/>
          <w:bCs/>
          <w:color w:val="000000" w:themeColor="text1"/>
          <w:sz w:val="28"/>
          <w:szCs w:val="28"/>
          <w14:textFill>
            <w14:solidFill>
              <w14:schemeClr w14:val="tx1"/>
            </w14:solidFill>
          </w14:textFill>
        </w:rPr>
      </w:pPr>
      <w:bookmarkStart w:id="488" w:name="_Toc91606555"/>
      <w:bookmarkStart w:id="489" w:name="_Toc91605038"/>
      <w:bookmarkStart w:id="490" w:name="_Toc91604707"/>
      <w:bookmarkStart w:id="491" w:name="_Toc94172238"/>
      <w:bookmarkStart w:id="492" w:name="_Toc94172379"/>
      <w:bookmarkStart w:id="493" w:name="_Toc94183480"/>
      <w:r>
        <w:rPr>
          <w:rFonts w:hint="eastAsia" w:ascii="仿宋_GB2312" w:hAnsi="Times New Roman" w:eastAsia="仿宋_GB2312" w:cs="Times New Roman"/>
          <w:b/>
          <w:bCs/>
          <w:color w:val="000000" w:themeColor="text1"/>
          <w:sz w:val="28"/>
          <w:szCs w:val="28"/>
          <w14:textFill>
            <w14:solidFill>
              <w14:schemeClr w14:val="tx1"/>
            </w14:solidFill>
          </w14:textFill>
        </w:rPr>
        <w:t>4.3.1六成以上毕业生选择留在山东就业</w:t>
      </w:r>
      <w:bookmarkEnd w:id="488"/>
      <w:bookmarkEnd w:id="489"/>
      <w:bookmarkEnd w:id="490"/>
      <w:bookmarkEnd w:id="491"/>
      <w:bookmarkEnd w:id="492"/>
      <w:bookmarkEnd w:id="493"/>
    </w:p>
    <w:p>
      <w:pPr>
        <w:spacing w:line="500" w:lineRule="exact"/>
        <w:ind w:firstLine="560" w:firstLineChars="200"/>
        <w:outlineLvl w:val="3"/>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14:textFill>
            <w14:solidFill>
              <w14:schemeClr w14:val="tx1"/>
            </w14:solidFill>
          </w14:textFill>
        </w:rPr>
        <w:t>山东持续开展“就选山东”校园集中招聘、“山东-名校人才直通车”、“青鸟计划”等活动。数据显示，2021届毕业生选择留在当地就业人数为155683人，占毕业生总数的62.67%，较2020届50.45%高出12.22个百分点，人数增加26940人，增幅20.98%。到500强企业就业毕业生19493人，占毕业生总数的7.48%，较2020届的22386人减少2893人。到规模以上企业就业毕业生44540人，占比17.09%。有57.11%的毕业生选择入职规模以下企业就业。如表4-2所示。近年来，山东高职毕业生就业选择更趋多元，到基层去、到中小微企业建功立业已经成为山东高职毕业生的理性选择。</w:t>
      </w:r>
    </w:p>
    <w:p>
      <w:pPr>
        <w:spacing w:line="500" w:lineRule="exact"/>
        <w:ind w:firstLine="560" w:firstLineChars="200"/>
        <w:outlineLvl w:val="3"/>
        <w:rPr>
          <w:rFonts w:ascii="仿宋_GB2312" w:hAnsi="Times New Roman" w:eastAsia="仿宋_GB2312" w:cs="Times New Roman"/>
          <w:color w:val="000000" w:themeColor="text1"/>
          <w:sz w:val="28"/>
          <w:szCs w:val="28"/>
          <w14:textFill>
            <w14:solidFill>
              <w14:schemeClr w14:val="tx1"/>
            </w14:solidFill>
          </w14:textFill>
        </w:rPr>
      </w:pPr>
    </w:p>
    <w:p>
      <w:pPr>
        <w:spacing w:line="500" w:lineRule="exact"/>
        <w:ind w:firstLine="560" w:firstLineChars="200"/>
        <w:outlineLvl w:val="3"/>
        <w:rPr>
          <w:rFonts w:ascii="仿宋_GB2312" w:hAnsi="Times New Roman" w:eastAsia="仿宋_GB2312" w:cs="Times New Roman"/>
          <w:color w:val="000000" w:themeColor="text1"/>
          <w:sz w:val="28"/>
          <w:szCs w:val="28"/>
          <w14:textFill>
            <w14:solidFill>
              <w14:schemeClr w14:val="tx1"/>
            </w14:solidFill>
          </w14:textFill>
        </w:rPr>
      </w:pP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494" w:name="_Toc91606556"/>
      <w:bookmarkStart w:id="495" w:name="_Toc94172239"/>
      <w:bookmarkStart w:id="496" w:name="_Toc94172380"/>
      <w:bookmarkStart w:id="497" w:name="_Toc91605039"/>
      <w:bookmarkStart w:id="498" w:name="_Toc94183481"/>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表4-2  2020-2021届山东高职院校毕业生就业去向</w:t>
      </w:r>
    </w:p>
    <w:p>
      <w:pPr>
        <w:pStyle w:val="4"/>
        <w:widowControl w:val="0"/>
        <w:spacing w:before="93" w:beforeLines="30" w:after="93" w:afterLines="30"/>
        <w:jc w:val="right"/>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单位：人</w:t>
      </w:r>
      <w:bookmarkEnd w:id="494"/>
      <w:bookmarkEnd w:id="495"/>
      <w:bookmarkEnd w:id="496"/>
      <w:bookmarkEnd w:id="497"/>
      <w:bookmarkEnd w:id="498"/>
    </w:p>
    <w:tbl>
      <w:tblPr>
        <w:tblStyle w:val="21"/>
        <w:tblW w:w="8870" w:type="dxa"/>
        <w:tblInd w:w="0" w:type="dxa"/>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shd w:val="clear" w:color="auto" w:fill="FFFFFF"/>
        <w:tblLayout w:type="autofit"/>
        <w:tblCellMar>
          <w:top w:w="0" w:type="dxa"/>
          <w:left w:w="0" w:type="dxa"/>
          <w:bottom w:w="0" w:type="dxa"/>
          <w:right w:w="0" w:type="dxa"/>
        </w:tblCellMar>
      </w:tblPr>
      <w:tblGrid>
        <w:gridCol w:w="1616"/>
        <w:gridCol w:w="1242"/>
        <w:gridCol w:w="1510"/>
        <w:gridCol w:w="1953"/>
        <w:gridCol w:w="1272"/>
        <w:gridCol w:w="1277"/>
      </w:tblGrid>
      <w:tr>
        <w:tblPrEx>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shd w:val="clear" w:color="auto" w:fill="FFFFFF"/>
          <w:tblCellMar>
            <w:top w:w="0" w:type="dxa"/>
            <w:left w:w="0" w:type="dxa"/>
            <w:bottom w:w="0" w:type="dxa"/>
            <w:right w:w="0" w:type="dxa"/>
          </w:tblCellMar>
        </w:tblPrEx>
        <w:trPr>
          <w:trHeight w:val="397" w:hRule="atLeast"/>
          <w:tblHeader/>
        </w:trPr>
        <w:tc>
          <w:tcPr>
            <w:tcW w:w="911" w:type="pct"/>
            <w:tcBorders>
              <w:bottom w:val="single" w:color="0000CC" w:sz="12" w:space="0"/>
              <w:right w:val="nil"/>
            </w:tcBorders>
            <w:shd w:val="clear" w:color="auto" w:fill="0070C0"/>
            <w:tcMar>
              <w:top w:w="15" w:type="dxa"/>
              <w:left w:w="15" w:type="dxa"/>
              <w:right w:w="15" w:type="dxa"/>
            </w:tcMar>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毕业生届别</w:t>
            </w:r>
          </w:p>
        </w:tc>
        <w:tc>
          <w:tcPr>
            <w:tcW w:w="700"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毕业生总数</w:t>
            </w:r>
          </w:p>
        </w:tc>
        <w:tc>
          <w:tcPr>
            <w:tcW w:w="851"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留在当地就业</w:t>
            </w:r>
          </w:p>
        </w:tc>
        <w:tc>
          <w:tcPr>
            <w:tcW w:w="1101" w:type="pct"/>
            <w:tcBorders>
              <w:left w:val="nil"/>
              <w:bottom w:val="single" w:color="0000CC" w:sz="12" w:space="0"/>
              <w:right w:val="nil"/>
            </w:tcBorders>
            <w:shd w:val="clear" w:color="auto" w:fill="0070C0"/>
            <w:tcMar>
              <w:top w:w="15" w:type="dxa"/>
              <w:left w:w="15" w:type="dxa"/>
              <w:right w:w="15" w:type="dxa"/>
            </w:tcMar>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到500强企业就业</w:t>
            </w:r>
          </w:p>
        </w:tc>
        <w:tc>
          <w:tcPr>
            <w:tcW w:w="717" w:type="pct"/>
            <w:tcBorders>
              <w:left w:val="nil"/>
              <w:bottom w:val="single" w:color="0000CC" w:sz="12" w:space="0"/>
            </w:tcBorders>
            <w:shd w:val="clear" w:color="auto" w:fill="0070C0"/>
            <w:tcMar>
              <w:top w:w="15" w:type="dxa"/>
              <w:left w:w="15" w:type="dxa"/>
              <w:right w:w="15" w:type="dxa"/>
            </w:tcMar>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规上企业</w:t>
            </w:r>
          </w:p>
        </w:tc>
        <w:tc>
          <w:tcPr>
            <w:tcW w:w="1273" w:type="dxa"/>
            <w:tcBorders>
              <w:left w:val="nil"/>
              <w:bottom w:val="single" w:color="0000CC" w:sz="12" w:space="0"/>
            </w:tcBorders>
            <w:shd w:val="clear" w:color="auto" w:fill="0070C0"/>
            <w:tcMar>
              <w:top w:w="15" w:type="dxa"/>
              <w:left w:w="15" w:type="dxa"/>
              <w:right w:w="15" w:type="dxa"/>
            </w:tcMar>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规下企业</w:t>
            </w:r>
          </w:p>
        </w:tc>
      </w:tr>
      <w:tr>
        <w:tblPrEx>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tblCellMar>
            <w:top w:w="0" w:type="dxa"/>
            <w:left w:w="0" w:type="dxa"/>
            <w:bottom w:w="0" w:type="dxa"/>
            <w:right w:w="0" w:type="dxa"/>
          </w:tblCellMar>
        </w:tblPrEx>
        <w:trPr>
          <w:trHeight w:val="397" w:hRule="atLeast"/>
        </w:trPr>
        <w:tc>
          <w:tcPr>
            <w:tcW w:w="911" w:type="pct"/>
            <w:tcBorders>
              <w:top w:val="single" w:color="0000CC" w:sz="12" w:space="0"/>
              <w:tl2br w:val="nil"/>
              <w:tr2bl w:val="nil"/>
            </w:tcBorders>
            <w:shd w:val="clear" w:color="auto" w:fill="FFFFFF"/>
            <w:noWrap/>
            <w:tcMar>
              <w:top w:w="15" w:type="dxa"/>
              <w:left w:w="15" w:type="dxa"/>
              <w:right w:w="15" w:type="dxa"/>
            </w:tcMar>
            <w:vAlign w:val="center"/>
          </w:tcPr>
          <w:p>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2020届</w:t>
            </w:r>
          </w:p>
        </w:tc>
        <w:tc>
          <w:tcPr>
            <w:tcW w:w="700" w:type="pct"/>
            <w:tcBorders>
              <w:top w:val="single" w:color="0000CC" w:sz="12" w:space="0"/>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255172</w:t>
            </w:r>
          </w:p>
        </w:tc>
        <w:tc>
          <w:tcPr>
            <w:tcW w:w="851" w:type="pct"/>
            <w:tcBorders>
              <w:top w:val="single" w:color="0000CC" w:sz="12" w:space="0"/>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128743</w:t>
            </w:r>
          </w:p>
        </w:tc>
        <w:tc>
          <w:tcPr>
            <w:tcW w:w="1101" w:type="pct"/>
            <w:tcBorders>
              <w:top w:val="single" w:color="0000CC" w:sz="12" w:space="0"/>
              <w:tl2br w:val="nil"/>
              <w:tr2bl w:val="nil"/>
            </w:tcBorders>
            <w:shd w:val="clear" w:color="auto" w:fill="FFFFFF"/>
            <w:noWrap/>
            <w:tcMar>
              <w:top w:w="15" w:type="dxa"/>
              <w:left w:w="15" w:type="dxa"/>
              <w:right w:w="15" w:type="dxa"/>
            </w:tcMar>
            <w:vAlign w:val="center"/>
          </w:tcPr>
          <w:p>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22386</w:t>
            </w:r>
          </w:p>
        </w:tc>
        <w:tc>
          <w:tcPr>
            <w:tcW w:w="717" w:type="pct"/>
            <w:tcBorders>
              <w:top w:val="single" w:color="0000CC" w:sz="12" w:space="0"/>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273" w:type="dxa"/>
            <w:tcBorders>
              <w:top w:val="single" w:color="0000CC" w:sz="12" w:space="0"/>
              <w:tl2br w:val="nil"/>
              <w:tr2bl w:val="nil"/>
            </w:tcBorders>
            <w:shd w:val="clear" w:color="auto" w:fill="FFFFFF"/>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143433</w:t>
            </w:r>
          </w:p>
        </w:tc>
      </w:tr>
      <w:tr>
        <w:tblPrEx>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tblCellMar>
            <w:top w:w="0" w:type="dxa"/>
            <w:left w:w="0" w:type="dxa"/>
            <w:bottom w:w="0" w:type="dxa"/>
            <w:right w:w="0" w:type="dxa"/>
          </w:tblCellMar>
        </w:tblPrEx>
        <w:trPr>
          <w:trHeight w:val="397" w:hRule="atLeast"/>
        </w:trPr>
        <w:tc>
          <w:tcPr>
            <w:tcW w:w="911" w:type="pct"/>
            <w:tcBorders>
              <w:tl2br w:val="nil"/>
              <w:tr2bl w:val="nil"/>
            </w:tcBorders>
            <w:shd w:val="clear" w:color="auto" w:fill="DAEEF6"/>
            <w:noWrap/>
            <w:tcMar>
              <w:top w:w="15" w:type="dxa"/>
              <w:left w:w="15" w:type="dxa"/>
              <w:right w:w="15" w:type="dxa"/>
            </w:tcMar>
            <w:vAlign w:val="center"/>
          </w:tcPr>
          <w:p>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2021届</w:t>
            </w:r>
          </w:p>
        </w:tc>
        <w:tc>
          <w:tcPr>
            <w:tcW w:w="700" w:type="pct"/>
            <w:tcBorders>
              <w:tl2br w:val="nil"/>
              <w:tr2bl w:val="nil"/>
            </w:tcBorders>
            <w:shd w:val="clear" w:color="auto" w:fill="DAEEF6"/>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260612</w:t>
            </w:r>
          </w:p>
        </w:tc>
        <w:tc>
          <w:tcPr>
            <w:tcW w:w="851" w:type="pct"/>
            <w:tcBorders>
              <w:tl2br w:val="nil"/>
              <w:tr2bl w:val="nil"/>
            </w:tcBorders>
            <w:shd w:val="clear" w:color="auto" w:fill="DAEEF6"/>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155683</w:t>
            </w:r>
          </w:p>
        </w:tc>
        <w:tc>
          <w:tcPr>
            <w:tcW w:w="1101" w:type="pct"/>
            <w:tcBorders>
              <w:tl2br w:val="nil"/>
              <w:tr2bl w:val="nil"/>
            </w:tcBorders>
            <w:shd w:val="clear" w:color="auto" w:fill="DAEEF6"/>
            <w:noWrap/>
            <w:tcMar>
              <w:top w:w="15" w:type="dxa"/>
              <w:left w:w="15" w:type="dxa"/>
              <w:right w:w="15" w:type="dxa"/>
            </w:tcMar>
            <w:vAlign w:val="center"/>
          </w:tcPr>
          <w:p>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19493</w:t>
            </w:r>
          </w:p>
        </w:tc>
        <w:tc>
          <w:tcPr>
            <w:tcW w:w="717" w:type="pct"/>
            <w:tcBorders>
              <w:tl2br w:val="nil"/>
              <w:tr2bl w:val="nil"/>
            </w:tcBorders>
            <w:shd w:val="clear" w:color="auto" w:fill="DAEEF6"/>
            <w:noWrap/>
            <w:tcMar>
              <w:top w:w="15" w:type="dxa"/>
              <w:left w:w="15" w:type="dxa"/>
              <w:right w:w="15" w:type="dxa"/>
            </w:tcMar>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44540</w:t>
            </w:r>
          </w:p>
        </w:tc>
        <w:tc>
          <w:tcPr>
            <w:tcW w:w="1273" w:type="dxa"/>
            <w:tcBorders>
              <w:tl2br w:val="nil"/>
              <w:tr2bl w:val="nil"/>
            </w:tcBorders>
            <w:shd w:val="clear" w:color="auto" w:fill="DAEEF6"/>
            <w:noWrap/>
            <w:tcMar>
              <w:top w:w="15" w:type="dxa"/>
              <w:left w:w="15" w:type="dxa"/>
              <w:right w:w="15" w:type="dxa"/>
            </w:tcMar>
            <w:vAlign w:val="center"/>
          </w:tcPr>
          <w:p>
            <w:pPr>
              <w:widowControl/>
              <w:jc w:val="center"/>
              <w:textAlignment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148836</w:t>
            </w:r>
          </w:p>
        </w:tc>
      </w:tr>
      <w:tr>
        <w:tblPrEx>
          <w:tblBorders>
            <w:top w:val="single" w:color="0000CC" w:sz="12" w:space="0"/>
            <w:left w:val="single" w:color="FFFFFF" w:sz="12" w:space="0"/>
            <w:bottom w:val="single" w:color="0000CC" w:sz="12" w:space="0"/>
            <w:right w:val="single" w:color="FFFFFF" w:sz="12" w:space="0"/>
            <w:insideH w:val="single" w:color="FFFFFF" w:sz="12" w:space="0"/>
            <w:insideV w:val="single" w:color="FFFFFF" w:sz="12" w:space="0"/>
          </w:tblBorders>
          <w:tblCellMar>
            <w:top w:w="0" w:type="dxa"/>
            <w:left w:w="0" w:type="dxa"/>
            <w:bottom w:w="0" w:type="dxa"/>
            <w:right w:w="0" w:type="dxa"/>
          </w:tblCellMar>
        </w:tblPrEx>
        <w:trPr>
          <w:trHeight w:val="397" w:hRule="atLeast"/>
        </w:trPr>
        <w:tc>
          <w:tcPr>
            <w:tcW w:w="911" w:type="pct"/>
            <w:tcBorders>
              <w:tl2br w:val="nil"/>
              <w:tr2bl w:val="nil"/>
            </w:tcBorders>
            <w:shd w:val="clear" w:color="auto" w:fill="CDEAFF"/>
            <w:noWrap/>
            <w:tcMar>
              <w:top w:w="15" w:type="dxa"/>
              <w:left w:w="15" w:type="dxa"/>
              <w:right w:w="15" w:type="dxa"/>
            </w:tcMar>
            <w:vAlign w:val="center"/>
          </w:tcPr>
          <w:p>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增（减）幅%</w:t>
            </w:r>
          </w:p>
        </w:tc>
        <w:tc>
          <w:tcPr>
            <w:tcW w:w="700" w:type="pct"/>
            <w:tcBorders>
              <w:tl2br w:val="nil"/>
              <w:tr2bl w:val="nil"/>
            </w:tcBorders>
            <w:shd w:val="clear" w:color="auto" w:fill="CDEA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629285</wp:posOffset>
                      </wp:positionH>
                      <wp:positionV relativeFrom="paragraph">
                        <wp:posOffset>39370</wp:posOffset>
                      </wp:positionV>
                      <wp:extent cx="57785" cy="144145"/>
                      <wp:effectExtent l="10160" t="7620" r="17780" b="10160"/>
                      <wp:wrapNone/>
                      <wp:docPr id="40" name="箭头: 上 40"/>
                      <wp:cNvGraphicFramePr/>
                      <a:graphic xmlns:a="http://schemas.openxmlformats.org/drawingml/2006/main">
                        <a:graphicData uri="http://schemas.microsoft.com/office/word/2010/wordprocessingShape">
                          <wps:wsp>
                            <wps:cNvSpPr>
                              <a:spLocks noChangeArrowheads="1"/>
                            </wps:cNvSpPr>
                            <wps:spPr bwMode="auto">
                              <a:xfrm flipH="1">
                                <a:off x="0" y="0"/>
                                <a:ext cx="57785" cy="144145"/>
                              </a:xfrm>
                              <a:prstGeom prst="upArrow">
                                <a:avLst>
                                  <a:gd name="adj1" fmla="val 50000"/>
                                  <a:gd name="adj2" fmla="val 62363"/>
                                </a:avLst>
                              </a:prstGeom>
                              <a:solidFill>
                                <a:srgbClr val="0070C0"/>
                              </a:solidFill>
                              <a:ln w="9525" cmpd="sng">
                                <a:solidFill>
                                  <a:srgbClr val="0070C0"/>
                                </a:solidFill>
                                <a:miter lim="800000"/>
                              </a:ln>
                            </wps:spPr>
                            <wps:bodyPr rot="0" vert="horz" wrap="square" lIns="91440" tIns="45720" rIns="91440" bIns="45720" anchor="t" anchorCtr="0" upright="1">
                              <a:noAutofit/>
                            </wps:bodyPr>
                          </wps:wsp>
                        </a:graphicData>
                      </a:graphic>
                    </wp:anchor>
                  </w:drawing>
                </mc:Choice>
                <mc:Fallback>
                  <w:pict>
                    <v:shape id="箭头: 上 40" o:spid="_x0000_s1026" o:spt="68" type="#_x0000_t68" style="position:absolute;left:0pt;flip:x;margin-left:49.55pt;margin-top:3.1pt;height:11.35pt;width:4.55pt;z-index:251694080;mso-width-relative:page;mso-height-relative:page;" fillcolor="#0070C0" filled="t" stroked="t" coordsize="21600,21600" o:gfxdata="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2sbLbWAAAABwEAAA8AAAAAAAAAAQAg&#10;AAAAIgAAAGRycy9kb3ducmV2LnhtbFBLAQIUABQAAAAIAIdO4kBNJQ1lSQIAAI8EAAAOAAAAAAAA&#10;AAEAIAAAACUBAABkcnMvZTJvRG9jLnhtbFBLBQYAAAAABgAGAFkBAADgBQAAAAA=&#10;" adj="5400,5400">
                      <v:fill on="t" focussize="0,0"/>
                      <v:stroke color="#0070C0" miterlimit="8" joinstyle="miter"/>
                      <v:imagedata o:title=""/>
                      <o:lock v:ext="edit" aspectratio="f"/>
                    </v:shape>
                  </w:pict>
                </mc:Fallback>
              </mc:AlternateContent>
            </w:r>
            <w:r>
              <w:rPr>
                <w:rFonts w:hint="eastAsia" w:ascii="宋体" w:hAnsi="宋体" w:eastAsia="宋体"/>
                <w:color w:val="000000" w:themeColor="text1"/>
                <w:szCs w:val="21"/>
                <w:lang w:bidi="ar"/>
                <w14:textFill>
                  <w14:solidFill>
                    <w14:schemeClr w14:val="tx1"/>
                  </w14:solidFill>
                </w14:textFill>
              </w:rPr>
              <w:t>0.21%</w:t>
            </w:r>
          </w:p>
        </w:tc>
        <w:tc>
          <w:tcPr>
            <w:tcW w:w="851" w:type="pct"/>
            <w:tcBorders>
              <w:tl2br w:val="nil"/>
              <w:tr2bl w:val="nil"/>
            </w:tcBorders>
            <w:shd w:val="clear" w:color="auto" w:fill="CDEA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753745</wp:posOffset>
                      </wp:positionH>
                      <wp:positionV relativeFrom="paragraph">
                        <wp:posOffset>36830</wp:posOffset>
                      </wp:positionV>
                      <wp:extent cx="57785" cy="144145"/>
                      <wp:effectExtent l="10160" t="7620" r="17780" b="10160"/>
                      <wp:wrapNone/>
                      <wp:docPr id="39" name="箭头: 上 39"/>
                      <wp:cNvGraphicFramePr/>
                      <a:graphic xmlns:a="http://schemas.openxmlformats.org/drawingml/2006/main">
                        <a:graphicData uri="http://schemas.microsoft.com/office/word/2010/wordprocessingShape">
                          <wps:wsp>
                            <wps:cNvSpPr>
                              <a:spLocks noChangeArrowheads="1"/>
                            </wps:cNvSpPr>
                            <wps:spPr bwMode="auto">
                              <a:xfrm flipH="1">
                                <a:off x="0" y="0"/>
                                <a:ext cx="57785" cy="144145"/>
                              </a:xfrm>
                              <a:prstGeom prst="upArrow">
                                <a:avLst>
                                  <a:gd name="adj1" fmla="val 50000"/>
                                  <a:gd name="adj2" fmla="val 62363"/>
                                </a:avLst>
                              </a:prstGeom>
                              <a:solidFill>
                                <a:srgbClr val="0070C0"/>
                              </a:solidFill>
                              <a:ln w="9525" cmpd="sng">
                                <a:solidFill>
                                  <a:srgbClr val="0070C0"/>
                                </a:solidFill>
                                <a:miter lim="800000"/>
                              </a:ln>
                            </wps:spPr>
                            <wps:bodyPr rot="0" vert="horz" wrap="square" lIns="91440" tIns="45720" rIns="91440" bIns="45720" anchor="t" anchorCtr="0" upright="1">
                              <a:noAutofit/>
                            </wps:bodyPr>
                          </wps:wsp>
                        </a:graphicData>
                      </a:graphic>
                    </wp:anchor>
                  </w:drawing>
                </mc:Choice>
                <mc:Fallback>
                  <w:pict>
                    <v:shape id="箭头: 上 39" o:spid="_x0000_s1026" o:spt="68" type="#_x0000_t68" style="position:absolute;left:0pt;flip:x;margin-left:59.35pt;margin-top:2.9pt;height:11.35pt;width:4.55pt;z-index:251693056;mso-width-relative:page;mso-height-relative:page;" fillcolor="#0070C0" filled="t" stroked="t" coordsize="21600,21600" o:gfxdata="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sL+oXXAAAACAEAAA8AAAAAAAAAAQAg&#10;AAAAIgAAAGRycy9kb3ducmV2LnhtbFBLAQIUABQAAAAIAIdO4kCyJ2mUSAIAAI8EAAAOAAAAAAAA&#10;AAEAIAAAACYBAABkcnMvZTJvRG9jLnhtbFBLBQYAAAAABgAGAFkBAADgBQAAAAA=&#10;" adj="5400,5400">
                      <v:fill on="t" focussize="0,0"/>
                      <v:stroke color="#0070C0" miterlimit="8" joinstyle="miter"/>
                      <v:imagedata o:title=""/>
                      <o:lock v:ext="edit" aspectratio="f"/>
                    </v:shape>
                  </w:pict>
                </mc:Fallback>
              </mc:AlternateContent>
            </w:r>
            <w:r>
              <w:rPr>
                <w:rFonts w:hint="eastAsia" w:ascii="宋体" w:hAnsi="宋体" w:eastAsia="宋体"/>
                <w:color w:val="000000" w:themeColor="text1"/>
                <w:szCs w:val="21"/>
                <w:lang w:bidi="ar"/>
                <w14:textFill>
                  <w14:solidFill>
                    <w14:schemeClr w14:val="tx1"/>
                  </w14:solidFill>
                </w14:textFill>
              </w:rPr>
              <w:t>20.98%</w:t>
            </w:r>
          </w:p>
        </w:tc>
        <w:tc>
          <w:tcPr>
            <w:tcW w:w="1101" w:type="pct"/>
            <w:tcBorders>
              <w:tl2br w:val="nil"/>
              <w:tr2bl w:val="nil"/>
            </w:tcBorders>
            <w:shd w:val="clear" w:color="auto" w:fill="CDEA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892175</wp:posOffset>
                      </wp:positionH>
                      <wp:positionV relativeFrom="paragraph">
                        <wp:posOffset>43180</wp:posOffset>
                      </wp:positionV>
                      <wp:extent cx="57785" cy="144145"/>
                      <wp:effectExtent l="10160" t="5080" r="17780" b="12700"/>
                      <wp:wrapNone/>
                      <wp:docPr id="38" name="箭头: 下 38"/>
                      <wp:cNvGraphicFramePr/>
                      <a:graphic xmlns:a="http://schemas.openxmlformats.org/drawingml/2006/main">
                        <a:graphicData uri="http://schemas.microsoft.com/office/word/2010/wordprocessingShape">
                          <wps:wsp>
                            <wps:cNvSpPr>
                              <a:spLocks noChangeArrowheads="1"/>
                            </wps:cNvSpPr>
                            <wps:spPr bwMode="auto">
                              <a:xfrm flipH="1">
                                <a:off x="0" y="0"/>
                                <a:ext cx="57785" cy="144145"/>
                              </a:xfrm>
                              <a:prstGeom prst="downArrow">
                                <a:avLst>
                                  <a:gd name="adj1" fmla="val 50000"/>
                                  <a:gd name="adj2" fmla="val 62363"/>
                                </a:avLst>
                              </a:prstGeom>
                              <a:solidFill>
                                <a:srgbClr val="FF0000"/>
                              </a:solidFill>
                              <a:ln w="9525" cmpd="sng">
                                <a:solidFill>
                                  <a:srgbClr val="FF0000"/>
                                </a:solidFill>
                                <a:miter lim="800000"/>
                              </a:ln>
                            </wps:spPr>
                            <wps:bodyPr rot="0" vert="horz" wrap="square" lIns="91440" tIns="45720" rIns="91440" bIns="45720" anchor="t" anchorCtr="0" upright="1">
                              <a:noAutofit/>
                            </wps:bodyPr>
                          </wps:wsp>
                        </a:graphicData>
                      </a:graphic>
                    </wp:anchor>
                  </w:drawing>
                </mc:Choice>
                <mc:Fallback>
                  <w:pict>
                    <v:shape id="箭头: 下 38" o:spid="_x0000_s1026" o:spt="67" type="#_x0000_t67" style="position:absolute;left:0pt;flip:x;margin-left:70.25pt;margin-top:3.4pt;height:11.35pt;width:4.55pt;z-index:251692032;mso-width-relative:page;mso-height-relative:page;" fillcolor="#FF0000" filled="t" stroked="t" coordsize="21600,21600" o:gfxdata="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675kNQAAAAIAQAADwAAAAAAAAABACAA&#10;AAAiAAAAZHJzL2Rvd25yZXYueG1sUEsBAhQAFAAAAAgAh07iQKKJa05KAgAAkQQAAA4AAAAAAAAA&#10;AQAgAAAAIwEAAGRycy9lMm9Eb2MueG1sUEsFBgAAAAAGAAYAWQEAAN8FAAAAAA==&#10;" adj="16200,5400">
                      <v:fill on="t" focussize="0,0"/>
                      <v:stroke color="#FF0000" miterlimit="8" joinstyle="miter"/>
                      <v:imagedata o:title=""/>
                      <o:lock v:ext="edit" aspectratio="f"/>
                    </v:shape>
                  </w:pict>
                </mc:Fallback>
              </mc:AlternateContent>
            </w:r>
            <w:r>
              <w:rPr>
                <w:rFonts w:hint="eastAsia" w:ascii="宋体" w:hAnsi="宋体" w:eastAsia="宋体"/>
                <w:color w:val="000000" w:themeColor="text1"/>
                <w:szCs w:val="21"/>
                <w:lang w:bidi="ar"/>
                <w14:textFill>
                  <w14:solidFill>
                    <w14:schemeClr w14:val="tx1"/>
                  </w14:solidFill>
                </w14:textFill>
              </w:rPr>
              <w:t>1.29%</w:t>
            </w:r>
          </w:p>
        </w:tc>
        <w:tc>
          <w:tcPr>
            <w:tcW w:w="717" w:type="pct"/>
            <w:tcBorders>
              <w:tl2br w:val="nil"/>
              <w:tr2bl w:val="nil"/>
            </w:tcBorders>
            <w:shd w:val="clear" w:color="auto" w:fill="CDEA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hint="eastAsia" w:ascii="宋体" w:hAnsi="宋体" w:eastAsia="宋体"/>
                <w:color w:val="000000" w:themeColor="text1"/>
                <w:szCs w:val="21"/>
                <w:lang w:bidi="ar"/>
                <w14:textFill>
                  <w14:solidFill>
                    <w14:schemeClr w14:val="tx1"/>
                  </w14:solidFill>
                </w14:textFill>
              </w:rPr>
              <w:t>——</w:t>
            </w:r>
          </w:p>
        </w:tc>
        <w:tc>
          <w:tcPr>
            <w:tcW w:w="1273" w:type="dxa"/>
            <w:tcBorders>
              <w:tl2br w:val="nil"/>
              <w:tr2bl w:val="nil"/>
            </w:tcBorders>
            <w:shd w:val="clear" w:color="auto" w:fill="CDEAFF"/>
            <w:noWrap/>
            <w:tcMar>
              <w:top w:w="15" w:type="dxa"/>
              <w:left w:w="15" w:type="dxa"/>
              <w:right w:w="15" w:type="dxa"/>
            </w:tcMar>
            <w:vAlign w:val="center"/>
          </w:tcPr>
          <w:p>
            <w:pPr>
              <w:widowControl/>
              <w:jc w:val="center"/>
              <w:textAlignment w:val="center"/>
              <w:rPr>
                <w:rFonts w:ascii="宋体" w:hAnsi="宋体" w:eastAsia="宋体"/>
                <w:color w:val="000000" w:themeColor="text1"/>
                <w:szCs w:val="21"/>
                <w:lang w:bidi="ar"/>
                <w14:textFill>
                  <w14:solidFill>
                    <w14:schemeClr w14:val="tx1"/>
                  </w14:solidFill>
                </w14:textFill>
              </w:rPr>
            </w:pPr>
            <w:r>
              <w:rPr>
                <w:rFonts w:ascii="宋体" w:hAnsi="宋体" w:eastAsia="宋体"/>
                <w:color w:val="000000" w:themeColor="text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631190</wp:posOffset>
                      </wp:positionH>
                      <wp:positionV relativeFrom="paragraph">
                        <wp:posOffset>25400</wp:posOffset>
                      </wp:positionV>
                      <wp:extent cx="57785" cy="144145"/>
                      <wp:effectExtent l="10160" t="7620" r="17780" b="10160"/>
                      <wp:wrapNone/>
                      <wp:docPr id="2" name="箭头: 上 37"/>
                      <wp:cNvGraphicFramePr/>
                      <a:graphic xmlns:a="http://schemas.openxmlformats.org/drawingml/2006/main">
                        <a:graphicData uri="http://schemas.microsoft.com/office/word/2010/wordprocessingShape">
                          <wps:wsp>
                            <wps:cNvSpPr>
                              <a:spLocks noChangeArrowheads="1"/>
                            </wps:cNvSpPr>
                            <wps:spPr bwMode="auto">
                              <a:xfrm flipH="1">
                                <a:off x="0" y="0"/>
                                <a:ext cx="57785" cy="144145"/>
                              </a:xfrm>
                              <a:prstGeom prst="upArrow">
                                <a:avLst>
                                  <a:gd name="adj1" fmla="val 50000"/>
                                  <a:gd name="adj2" fmla="val 62363"/>
                                </a:avLst>
                              </a:prstGeom>
                              <a:solidFill>
                                <a:srgbClr val="0070C0"/>
                              </a:solidFill>
                              <a:ln w="9525" cmpd="sng">
                                <a:solidFill>
                                  <a:srgbClr val="0070C0"/>
                                </a:solidFill>
                                <a:miter lim="800000"/>
                              </a:ln>
                            </wps:spPr>
                            <wps:bodyPr rot="0" vert="horz" wrap="square" lIns="91440" tIns="45720" rIns="91440" bIns="45720" anchor="t" anchorCtr="0" upright="1">
                              <a:noAutofit/>
                            </wps:bodyPr>
                          </wps:wsp>
                        </a:graphicData>
                      </a:graphic>
                    </wp:anchor>
                  </w:drawing>
                </mc:Choice>
                <mc:Fallback>
                  <w:pict>
                    <v:shape id="箭头: 上 37" o:spid="_x0000_s1026" o:spt="68" type="#_x0000_t68" style="position:absolute;left:0pt;flip:x;margin-left:49.7pt;margin-top:2pt;height:11.35pt;width:4.55pt;z-index:251696128;mso-width-relative:page;mso-height-relative:page;" fillcolor="#0070C0" filled="t" stroked="t" coordsize="21600,21600" o:gfxdata="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BsQQtgAAAAHAQAADwAAAAAAAAAB&#10;ACAAAAAiAAAAZHJzL2Rvd25yZXYueG1sUEsBAhQAFAAAAAgAh07iQB0Yp8xJAgAAjgQAAA4AAAAA&#10;AAAAAQAgAAAAJwEAAGRycy9lMm9Eb2MueG1sUEsFBgAAAAAGAAYAWQEAAOIFAAAAAA==&#10;" adj="5400,5400">
                      <v:fill on="t" focussize="0,0"/>
                      <v:stroke color="#0070C0" miterlimit="8" joinstyle="miter"/>
                      <v:imagedata o:title=""/>
                      <o:lock v:ext="edit" aspectratio="f"/>
                    </v:shape>
                  </w:pict>
                </mc:Fallback>
              </mc:AlternateContent>
            </w:r>
            <w:r>
              <w:rPr>
                <w:rFonts w:hint="eastAsia" w:ascii="宋体" w:hAnsi="宋体" w:eastAsia="宋体"/>
                <w:color w:val="000000" w:themeColor="text1"/>
                <w:szCs w:val="21"/>
                <w:lang w:bidi="ar"/>
                <w14:textFill>
                  <w14:solidFill>
                    <w14:schemeClr w14:val="tx1"/>
                  </w14:solidFill>
                </w14:textFill>
              </w:rPr>
              <w:t>0.38%</w:t>
            </w:r>
          </w:p>
        </w:tc>
      </w:tr>
    </w:tbl>
    <w:p>
      <w:pPr>
        <w:pStyle w:val="10"/>
        <w:spacing w:after="62" w:afterLines="20" w:line="240" w:lineRule="auto"/>
        <w:ind w:left="0" w:leftChars="0"/>
        <w:rPr>
          <w:rFonts w:ascii="宋体" w:hAnsi="宋体" w:cs="楷体_GB2312"/>
          <w:color w:val="000000" w:themeColor="text1"/>
          <w:szCs w:val="21"/>
          <w14:textFill>
            <w14:solidFill>
              <w14:schemeClr w14:val="tx1"/>
            </w14:solidFill>
          </w14:textFill>
        </w:rPr>
      </w:pPr>
      <w:r>
        <w:rPr>
          <w:rFonts w:hint="eastAsia" w:ascii="宋体" w:hAnsi="宋体" w:cs="楷体_GB2312"/>
          <w:b/>
          <w:bCs/>
          <w:color w:val="000000" w:themeColor="text1"/>
          <w:szCs w:val="21"/>
          <w14:textFill>
            <w14:solidFill>
              <w14:schemeClr w14:val="tx1"/>
            </w14:solidFill>
          </w14:textFill>
        </w:rPr>
        <w:t>数据来源：</w:t>
      </w:r>
      <w:r>
        <w:rPr>
          <w:rFonts w:hint="eastAsia" w:ascii="宋体" w:hAnsi="宋体" w:cs="楷体_GB2312"/>
          <w:color w:val="000000" w:themeColor="text1"/>
          <w:szCs w:val="21"/>
          <w14:textFill>
            <w14:solidFill>
              <w14:schemeClr w14:val="tx1"/>
            </w14:solidFill>
          </w14:textFill>
        </w:rPr>
        <w:t>2020届74所、2021届83所山东高职院校“高等职业教育质量年度报告”填报数据。</w:t>
      </w:r>
    </w:p>
    <w:p>
      <w:pPr>
        <w:spacing w:line="500" w:lineRule="exact"/>
        <w:ind w:firstLine="567"/>
        <w:outlineLvl w:val="2"/>
        <w:rPr>
          <w:rFonts w:ascii="仿宋_GB2312" w:hAnsi="Times New Roman" w:eastAsia="仿宋_GB2312" w:cs="Times New Roman"/>
          <w:b/>
          <w:bCs/>
          <w:color w:val="000000" w:themeColor="text1"/>
          <w:sz w:val="28"/>
          <w:szCs w:val="28"/>
          <w14:textFill>
            <w14:solidFill>
              <w14:schemeClr w14:val="tx1"/>
            </w14:solidFill>
          </w14:textFill>
        </w:rPr>
      </w:pPr>
      <w:bookmarkStart w:id="499" w:name="_Toc91604708"/>
      <w:bookmarkStart w:id="500" w:name="_Toc91605040"/>
      <w:bookmarkStart w:id="501" w:name="_Toc91606557"/>
      <w:bookmarkStart w:id="502" w:name="_Toc94172240"/>
      <w:bookmarkStart w:id="503" w:name="_Toc94172381"/>
      <w:bookmarkStart w:id="504" w:name="_Toc94183482"/>
      <w:r>
        <w:rPr>
          <w:rFonts w:hint="eastAsia" w:ascii="仿宋_GB2312" w:hAnsi="Times New Roman" w:eastAsia="仿宋_GB2312" w:cs="Times New Roman"/>
          <w:b/>
          <w:bCs/>
          <w:color w:val="000000" w:themeColor="text1"/>
          <w:sz w:val="28"/>
          <w:szCs w:val="28"/>
          <w14:textFill>
            <w14:solidFill>
              <w14:schemeClr w14:val="tx1"/>
            </w14:solidFill>
          </w14:textFill>
        </w:rPr>
        <w:t>4.3.2六成以上毕业生毕业三年后职位晋升</w:t>
      </w:r>
      <w:bookmarkEnd w:id="499"/>
      <w:bookmarkEnd w:id="500"/>
      <w:bookmarkEnd w:id="501"/>
      <w:bookmarkEnd w:id="502"/>
      <w:bookmarkEnd w:id="503"/>
      <w:bookmarkEnd w:id="504"/>
    </w:p>
    <w:p>
      <w:pPr>
        <w:spacing w:line="500" w:lineRule="exact"/>
        <w:ind w:firstLine="560" w:firstLineChars="200"/>
        <w:outlineLvl w:val="3"/>
        <w:rPr>
          <w:rFonts w:ascii="仿宋_GB2312" w:eastAsia="仿宋_GB2312"/>
          <w:color w:val="000000" w:themeColor="text1"/>
          <w:sz w:val="28"/>
          <w:szCs w:val="28"/>
          <w:highlight w:val="yellow"/>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数据显示，2018届山东高职毕业生毕业三年后平均职位晋升率65.56%，较2017届高4.77个百分点，连续四年上升。其中，行业举办高职院校毕业生毕业三年后职位晋升率最高，达到70.11%，地方政府举办高职院校和民办高职院校分别为64.56%和53.55%。行业和地方政府举办高职院校2014-2018届毕业生毕业三年后职位晋升率持续上升，2018届较2014届分别高出25.31和15.76个百分点。民办高职院毕业生毕业三年后职位晋升率与行业和地方政府举办高职院校仍有一定差距，2018届较2017届又出现明显回落，但整体上呈现上升态势，民办高等职业教育需要进一步加快优质特色发展步伐。如图4-7所示。加强高职毕业生可持续发展能力培养仍是高等职业教育高质量发展的题中之义。</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652135" cy="2453640"/>
            <wp:effectExtent l="0" t="0" r="5715" b="381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4"/>
        <w:widowControl w:val="0"/>
        <w:spacing w:before="93" w:beforeLines="30" w:after="93" w:afterLines="30"/>
        <w:jc w:val="center"/>
        <w:outlineLvl w:val="2"/>
        <w:rPr>
          <w:rFonts w:ascii="宋体" w:hAnsi="宋体" w:eastAsia="宋体" w:cs="宋体"/>
          <w:color w:val="000000" w:themeColor="text1"/>
          <w:sz w:val="24"/>
          <w:szCs w:val="24"/>
          <w14:textFill>
            <w14:solidFill>
              <w14:schemeClr w14:val="tx1"/>
            </w14:solidFill>
          </w14:textFill>
        </w:rPr>
      </w:pPr>
      <w:bookmarkStart w:id="505" w:name="_图1-11__2013-2016届山东高职毕业生毕业三年后职位晋升情况"/>
      <w:bookmarkEnd w:id="505"/>
      <w:bookmarkStart w:id="506" w:name="_Toc536463814"/>
      <w:bookmarkStart w:id="507" w:name="_Toc19413"/>
      <w:bookmarkStart w:id="508" w:name="_Toc536387515"/>
      <w:bookmarkStart w:id="509" w:name="_Toc94172241"/>
      <w:bookmarkStart w:id="510" w:name="_Toc94172382"/>
      <w:bookmarkStart w:id="511" w:name="_Toc30368936"/>
      <w:bookmarkStart w:id="512" w:name="_Toc31995849"/>
      <w:bookmarkStart w:id="513" w:name="_Toc94183483"/>
      <w:bookmarkStart w:id="514" w:name="_Toc536522039"/>
      <w:bookmarkStart w:id="515" w:name="_Toc91605041"/>
      <w:bookmarkStart w:id="516" w:name="_Toc28071"/>
      <w:bookmarkStart w:id="517" w:name="_Toc8892"/>
      <w:bookmarkStart w:id="518" w:name="_Toc13529"/>
      <w:bookmarkStart w:id="519" w:name="_Toc536436327"/>
      <w:bookmarkStart w:id="520" w:name="_Toc536463737"/>
      <w:bookmarkStart w:id="521" w:name="_Toc31551652"/>
      <w:bookmarkStart w:id="522" w:name="_Toc20039"/>
      <w:bookmarkStart w:id="523" w:name="_Toc536460908"/>
      <w:bookmarkStart w:id="524" w:name="_Toc536386134"/>
      <w:bookmarkStart w:id="525" w:name="_Toc536436407"/>
      <w:r>
        <w:rPr>
          <w:rFonts w:hint="eastAsia" w:ascii="宋体" w:hAnsi="宋体" w:eastAsia="宋体" w:cs="宋体"/>
          <w:color w:val="000000" w:themeColor="text1"/>
          <w:sz w:val="24"/>
          <w:szCs w:val="24"/>
          <w14:textFill>
            <w14:solidFill>
              <w14:schemeClr w14:val="tx1"/>
            </w14:solidFill>
          </w14:textFill>
        </w:rPr>
        <w:t>图4-</w:t>
      </w:r>
      <w:bookmarkStart w:id="526" w:name="_Toc31529"/>
      <w:r>
        <w:rPr>
          <w:rFonts w:hint="eastAsia" w:ascii="宋体" w:hAnsi="宋体" w:eastAsia="宋体" w:cs="宋体"/>
          <w:color w:val="000000" w:themeColor="text1"/>
          <w:sz w:val="24"/>
          <w:szCs w:val="24"/>
          <w14:textFill>
            <w14:solidFill>
              <w14:schemeClr w14:val="tx1"/>
            </w14:solidFill>
          </w14:textFill>
        </w:rPr>
        <w:t>6 山东高职2014-2018届毕业生毕业三年后职位晋升情况</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pPr>
        <w:pStyle w:val="10"/>
        <w:spacing w:after="62" w:afterLines="20" w:line="240" w:lineRule="auto"/>
        <w:ind w:left="0" w:leftChars="0"/>
        <w:rPr>
          <w:rFonts w:ascii="宋体" w:hAnsi="宋体" w:cs="楷体_GB2312"/>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数据来源：</w:t>
      </w:r>
      <w:r>
        <w:rPr>
          <w:rFonts w:hint="eastAsia" w:ascii="宋体" w:hAnsi="宋体" w:cs="楷体_GB2312"/>
          <w:color w:val="000000" w:themeColor="text1"/>
          <w:szCs w:val="21"/>
          <w14:textFill>
            <w14:solidFill>
              <w14:schemeClr w14:val="tx1"/>
            </w14:solidFill>
          </w14:textFill>
        </w:rPr>
        <w:t>山东高职院校历年“高等职业教育质量年度报告”填报数据，</w:t>
      </w:r>
      <w:r>
        <w:rPr>
          <w:rFonts w:hint="eastAsia" w:ascii="宋体" w:hAnsi="宋体" w:cs="宋体"/>
          <w:color w:val="000000" w:themeColor="text1"/>
          <w:szCs w:val="21"/>
          <w14:textFill>
            <w14:solidFill>
              <w14:schemeClr w14:val="tx1"/>
            </w14:solidFill>
          </w14:textFill>
        </w:rPr>
        <w:t>2014届73所院校、2015届74所院校、2016届75所院校、2017届74所院校、2018届83所院校</w:t>
      </w:r>
      <w:r>
        <w:rPr>
          <w:rFonts w:hint="eastAsia" w:ascii="宋体" w:hAnsi="宋体" w:cs="楷体_GB2312"/>
          <w:color w:val="000000" w:themeColor="text1"/>
          <w:szCs w:val="21"/>
          <w14:textFill>
            <w14:solidFill>
              <w14:schemeClr w14:val="tx1"/>
            </w14:solidFill>
          </w14:textFill>
        </w:rPr>
        <w:t>。</w:t>
      </w:r>
    </w:p>
    <w:p>
      <w:pPr>
        <w:spacing w:line="520" w:lineRule="exact"/>
        <w:ind w:firstLine="562" w:firstLineChars="200"/>
        <w:outlineLvl w:val="2"/>
        <w:rPr>
          <w:rFonts w:ascii="仿宋_GB2312" w:hAnsi="Times New Roman" w:eastAsia="仿宋_GB2312" w:cs="Times New Roman"/>
          <w:b/>
          <w:bCs/>
          <w:color w:val="000000" w:themeColor="text1"/>
          <w:sz w:val="28"/>
          <w:szCs w:val="28"/>
          <w14:textFill>
            <w14:solidFill>
              <w14:schemeClr w14:val="tx1"/>
            </w14:solidFill>
          </w14:textFill>
        </w:rPr>
      </w:pPr>
      <w:bookmarkStart w:id="527" w:name="_Toc91605042"/>
      <w:bookmarkStart w:id="528" w:name="_Toc91606559"/>
      <w:bookmarkStart w:id="529" w:name="_Toc94172242"/>
      <w:bookmarkStart w:id="530" w:name="_Toc94183484"/>
      <w:bookmarkStart w:id="531" w:name="_Toc91604709"/>
      <w:bookmarkStart w:id="532" w:name="_Toc94172383"/>
      <w:r>
        <w:rPr>
          <w:rFonts w:hint="eastAsia" w:ascii="仿宋_GB2312" w:hAnsi="Times New Roman" w:eastAsia="仿宋_GB2312" w:cs="Times New Roman"/>
          <w:b/>
          <w:bCs/>
          <w:color w:val="000000" w:themeColor="text1"/>
          <w:sz w:val="28"/>
          <w:szCs w:val="28"/>
          <w14:textFill>
            <w14:solidFill>
              <w14:schemeClr w14:val="tx1"/>
            </w14:solidFill>
          </w14:textFill>
        </w:rPr>
        <w:t>4.3.3毕业生自主创业更加谨慎</w:t>
      </w:r>
      <w:bookmarkEnd w:id="527"/>
      <w:bookmarkEnd w:id="528"/>
      <w:bookmarkEnd w:id="529"/>
      <w:bookmarkEnd w:id="530"/>
      <w:bookmarkEnd w:id="531"/>
      <w:bookmarkEnd w:id="532"/>
    </w:p>
    <w:p>
      <w:pPr>
        <w:spacing w:after="62" w:afterLines="20" w:line="520" w:lineRule="exact"/>
        <w:ind w:firstLine="560" w:firstLineChars="200"/>
        <w:outlineLvl w:val="3"/>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14:textFill>
            <w14:solidFill>
              <w14:schemeClr w14:val="tx1"/>
            </w14:solidFill>
          </w14:textFill>
        </w:rPr>
        <w:t>数据显示，2021届山东高职毕业生自主创业率1.77%，比2020届的1.89%下降0.12个百分点，是五年来的最低点。</w:t>
      </w:r>
      <w:r>
        <w:rPr>
          <w:rFonts w:hint="eastAsia" w:ascii="Times New Roman" w:hAnsi="Times New Roman" w:eastAsia="仿宋_GB2312" w:cs="Times New Roman"/>
          <w:color w:val="000000" w:themeColor="text1"/>
          <w:sz w:val="28"/>
          <w14:textFill>
            <w14:solidFill>
              <w14:schemeClr w14:val="tx1"/>
            </w14:solidFill>
          </w14:textFill>
        </w:rPr>
        <w:t>近年来，山东省大力支持毕业生</w:t>
      </w:r>
      <w:r>
        <w:rPr>
          <w:rFonts w:ascii="Times New Roman" w:hAnsi="Times New Roman" w:eastAsia="仿宋_GB2312" w:cs="Times New Roman"/>
          <w:color w:val="000000" w:themeColor="text1"/>
          <w:sz w:val="28"/>
          <w14:textFill>
            <w14:solidFill>
              <w14:schemeClr w14:val="tx1"/>
            </w14:solidFill>
          </w14:textFill>
        </w:rPr>
        <w:t>自主创业</w:t>
      </w:r>
      <w:r>
        <w:rPr>
          <w:rFonts w:hint="eastAsia" w:ascii="Times New Roman" w:hAnsi="Times New Roman" w:eastAsia="仿宋_GB2312" w:cs="Times New Roman"/>
          <w:color w:val="000000" w:themeColor="text1"/>
          <w:sz w:val="28"/>
          <w14:textFill>
            <w14:solidFill>
              <w14:schemeClr w14:val="tx1"/>
            </w14:solidFill>
          </w14:textFill>
        </w:rPr>
        <w:t>，深入落实促进灵活就业20条政策措施，加大对毕业生就业创业的政策扶持和权益保障，但</w:t>
      </w:r>
      <w:r>
        <w:rPr>
          <w:rFonts w:ascii="Times New Roman" w:hAnsi="Times New Roman" w:eastAsia="仿宋_GB2312" w:cs="Times New Roman"/>
          <w:color w:val="000000" w:themeColor="text1"/>
          <w:sz w:val="28"/>
          <w14:textFill>
            <w14:solidFill>
              <w14:schemeClr w14:val="tx1"/>
            </w14:solidFill>
          </w14:textFill>
        </w:rPr>
        <w:t>自2018届开始，山东高职毕业生自主创业率</w:t>
      </w:r>
      <w:r>
        <w:rPr>
          <w:rFonts w:hint="eastAsia" w:ascii="Times New Roman" w:hAnsi="Times New Roman" w:eastAsia="仿宋_GB2312" w:cs="Times New Roman"/>
          <w:color w:val="000000" w:themeColor="text1"/>
          <w:sz w:val="28"/>
          <w14:textFill>
            <w14:solidFill>
              <w14:schemeClr w14:val="tx1"/>
            </w14:solidFill>
          </w14:textFill>
        </w:rPr>
        <w:t>仍</w:t>
      </w:r>
      <w:r>
        <w:rPr>
          <w:rFonts w:ascii="Times New Roman" w:hAnsi="Times New Roman" w:eastAsia="仿宋_GB2312" w:cs="Times New Roman"/>
          <w:color w:val="000000" w:themeColor="text1"/>
          <w:sz w:val="28"/>
          <w14:textFill>
            <w14:solidFill>
              <w14:schemeClr w14:val="tx1"/>
            </w14:solidFill>
          </w14:textFill>
        </w:rPr>
        <w:t>连续四年下降，2021届毕业生自主创业率较2017届毕业生</w:t>
      </w:r>
      <w:r>
        <w:rPr>
          <w:rFonts w:hint="eastAsia" w:ascii="Times New Roman" w:hAnsi="Times New Roman" w:eastAsia="仿宋_GB2312" w:cs="Times New Roman"/>
          <w:color w:val="000000" w:themeColor="text1"/>
          <w:sz w:val="28"/>
          <w14:textFill>
            <w14:solidFill>
              <w14:schemeClr w14:val="tx1"/>
            </w14:solidFill>
          </w14:textFill>
        </w:rPr>
        <w:t>的</w:t>
      </w:r>
      <w:r>
        <w:rPr>
          <w:rFonts w:ascii="Times New Roman" w:hAnsi="Times New Roman" w:eastAsia="仿宋_GB2312" w:cs="Times New Roman"/>
          <w:color w:val="000000" w:themeColor="text1"/>
          <w:sz w:val="28"/>
          <w14:textFill>
            <w14:solidFill>
              <w14:schemeClr w14:val="tx1"/>
            </w14:solidFill>
          </w14:textFill>
        </w:rPr>
        <w:t>3.83%下降幅度高达53.79%</w:t>
      </w:r>
      <w:r>
        <w:rPr>
          <w:rFonts w:hint="eastAsia" w:ascii="Times New Roman" w:hAnsi="Times New Roman" w:eastAsia="仿宋_GB2312" w:cs="Times New Roman"/>
          <w:color w:val="000000" w:themeColor="text1"/>
          <w:sz w:val="28"/>
          <w14:textFill>
            <w14:solidFill>
              <w14:schemeClr w14:val="tx1"/>
            </w14:solidFill>
          </w14:textFill>
        </w:rPr>
        <w:t>，这一方面与山东经济高质量发展，企业用工缺口大、毕业生就业落实率高、起薪高密切相关；另一方面可能也与自主创业风险大、成功率不高有关，</w:t>
      </w:r>
      <w:r>
        <w:rPr>
          <w:rFonts w:hint="eastAsia" w:ascii="仿宋_GB2312" w:hAnsi="宋体" w:eastAsia="仿宋_GB2312"/>
          <w:color w:val="000000" w:themeColor="text1"/>
          <w:sz w:val="28"/>
          <w14:textFill>
            <w14:solidFill>
              <w14:schemeClr w14:val="tx1"/>
            </w14:solidFill>
          </w14:textFill>
        </w:rPr>
        <w:t>毕业生自主创业更加谨慎</w:t>
      </w:r>
      <w:r>
        <w:rPr>
          <w:rFonts w:ascii="Times New Roman" w:hAnsi="Times New Roman" w:eastAsia="仿宋_GB2312" w:cs="Times New Roman"/>
          <w:color w:val="000000" w:themeColor="text1"/>
          <w:sz w:val="28"/>
          <w14:textFill>
            <w14:solidFill>
              <w14:schemeClr w14:val="tx1"/>
            </w14:solidFill>
          </w14:textFill>
        </w:rPr>
        <w:t>。如图4-8所示。</w:t>
      </w:r>
      <w:r>
        <w:rPr>
          <w:rFonts w:hint="eastAsia" w:ascii="Times New Roman" w:hAnsi="Times New Roman" w:eastAsia="仿宋_GB2312" w:cs="Times New Roman"/>
          <w:color w:val="000000" w:themeColor="text1"/>
          <w:sz w:val="28"/>
          <w14:textFill>
            <w14:solidFill>
              <w14:schemeClr w14:val="tx1"/>
            </w14:solidFill>
          </w14:textFill>
        </w:rPr>
        <w:t>高职毕业生正直青春年华，富有想象力和创造力，是创新创业的重要力量，高职院校要大力推进职业教育综合改革，加强创新创业教育，推动毕业生创业就业，服务区域经济高质量发展。</w:t>
      </w:r>
    </w:p>
    <w:p>
      <w:pPr>
        <w:pStyle w:val="4"/>
        <w:spacing w:after="0"/>
        <w:jc w:val="both"/>
        <w:rPr>
          <w:rFonts w:ascii="Times New Roman" w:hAnsi="Times New Roman" w:eastAsia="仿宋_GB2312"/>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5652135" cy="1440180"/>
            <wp:effectExtent l="4445" t="4445" r="10795" b="1270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533" w:name="_Toc14840"/>
      <w:bookmarkStart w:id="534" w:name="_Toc91605043"/>
      <w:bookmarkStart w:id="535" w:name="_Toc94172243"/>
      <w:bookmarkStart w:id="536" w:name="_Toc94172384"/>
      <w:bookmarkStart w:id="537" w:name="_Toc94183485"/>
      <w:r>
        <w:rPr>
          <w:rFonts w:hint="eastAsia" w:ascii="宋体" w:hAnsi="宋体" w:eastAsia="宋体"/>
          <w:color w:val="000000" w:themeColor="text1"/>
          <w:sz w:val="24"/>
          <w:szCs w:val="24"/>
          <w14:textFill>
            <w14:solidFill>
              <w14:schemeClr w14:val="tx1"/>
            </w14:solidFill>
          </w14:textFill>
        </w:rPr>
        <w:t>图4-</w:t>
      </w:r>
      <w:bookmarkStart w:id="538" w:name="_Toc12591"/>
      <w:r>
        <w:rPr>
          <w:rFonts w:ascii="宋体" w:hAnsi="宋体" w:eastAsia="宋体"/>
          <w:color w:val="000000" w:themeColor="text1"/>
          <w:sz w:val="24"/>
          <w:szCs w:val="24"/>
          <w14:textFill>
            <w14:solidFill>
              <w14:schemeClr w14:val="tx1"/>
            </w14:solidFill>
          </w14:textFill>
        </w:rPr>
        <w:t xml:space="preserve">7 </w:t>
      </w:r>
      <w:r>
        <w:rPr>
          <w:rFonts w:hint="eastAsia" w:ascii="宋体" w:hAnsi="宋体" w:eastAsia="宋体"/>
          <w:color w:val="000000" w:themeColor="text1"/>
          <w:sz w:val="24"/>
          <w:szCs w:val="24"/>
          <w14:textFill>
            <w14:solidFill>
              <w14:schemeClr w14:val="tx1"/>
            </w14:solidFill>
          </w14:textFill>
        </w:rPr>
        <w:t xml:space="preserve"> 近五届山东高职毕业生自主创业比例</w:t>
      </w:r>
      <w:bookmarkEnd w:id="533"/>
      <w:bookmarkEnd w:id="534"/>
      <w:bookmarkEnd w:id="535"/>
      <w:bookmarkEnd w:id="536"/>
      <w:bookmarkEnd w:id="537"/>
      <w:bookmarkEnd w:id="538"/>
    </w:p>
    <w:p>
      <w:pPr>
        <w:pStyle w:val="10"/>
        <w:spacing w:after="62" w:afterLines="20" w:line="240" w:lineRule="auto"/>
        <w:ind w:left="0" w:leftChars="0"/>
        <w:rPr>
          <w:rFonts w:ascii="宋体" w:hAnsi="宋体" w:cs="楷体_GB2312"/>
          <w:color w:val="000000" w:themeColor="text1"/>
          <w:szCs w:val="21"/>
          <w14:textFill>
            <w14:solidFill>
              <w14:schemeClr w14:val="tx1"/>
            </w14:solidFill>
          </w14:textFill>
        </w:rPr>
      </w:pPr>
      <w:r>
        <w:rPr>
          <w:rFonts w:hint="eastAsia" w:ascii="宋体" w:hAnsi="宋体" w:cs="楷体_GB2312"/>
          <w:b/>
          <w:bCs/>
          <w:color w:val="000000" w:themeColor="text1"/>
          <w:szCs w:val="21"/>
          <w14:textFill>
            <w14:solidFill>
              <w14:schemeClr w14:val="tx1"/>
            </w14:solidFill>
          </w14:textFill>
        </w:rPr>
        <w:t>数据来源：</w:t>
      </w:r>
      <w:r>
        <w:rPr>
          <w:rFonts w:hint="eastAsia" w:ascii="宋体" w:hAnsi="宋体" w:cs="楷体_GB2312"/>
          <w:color w:val="000000" w:themeColor="text1"/>
          <w:szCs w:val="21"/>
          <w14:textFill>
            <w14:solidFill>
              <w14:schemeClr w14:val="tx1"/>
            </w14:solidFill>
          </w14:textFill>
        </w:rPr>
        <w:t>山东高职院校历年“高等职业教育质量年度报告”填报数据，2017届73所院校、2018届74所院校、2019届75所院校、2020届74所院校、2021届83所院校。</w:t>
      </w:r>
    </w:p>
    <w:p>
      <w:pPr>
        <w:pStyle w:val="10"/>
        <w:spacing w:after="62" w:afterLines="20" w:line="240" w:lineRule="auto"/>
        <w:ind w:left="0" w:leftChars="0"/>
        <w:rPr>
          <w:rFonts w:ascii="宋体" w:hAnsi="宋体" w:cs="楷体_GB2312"/>
          <w:color w:val="000000" w:themeColor="text1"/>
          <w:szCs w:val="21"/>
          <w14:textFill>
            <w14:solidFill>
              <w14:schemeClr w14:val="tx1"/>
            </w14:solidFill>
          </w14:textFill>
        </w:rPr>
      </w:pPr>
    </w:p>
    <w:tbl>
      <w:tblPr>
        <w:tblStyle w:val="21"/>
        <w:tblW w:w="890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90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3" w:hRule="atLeast"/>
          <w:jc w:val="center"/>
        </w:trPr>
        <w:tc>
          <w:tcPr>
            <w:tcW w:w="8720" w:type="dxa"/>
            <w:tcBorders>
              <w:bottom w:val="single" w:color="FFFFFF" w:sz="4" w:space="0"/>
            </w:tcBorders>
            <w:shd w:val="clear" w:color="auto" w:fill="0070C0"/>
            <w:vAlign w:val="center"/>
          </w:tcPr>
          <w:p>
            <w:pPr>
              <w:spacing w:line="520" w:lineRule="exact"/>
              <w:outlineLvl w:val="1"/>
              <w:rPr>
                <w:rFonts w:ascii="楷体_GB2312" w:hAnsi="Times New Roman" w:eastAsia="楷体_GB2312"/>
                <w:color w:val="000000" w:themeColor="text1"/>
                <w:sz w:val="28"/>
                <w:szCs w:val="28"/>
                <w14:textFill>
                  <w14:solidFill>
                    <w14:schemeClr w14:val="tx1"/>
                  </w14:solidFill>
                </w14:textFill>
              </w:rPr>
            </w:pPr>
            <w:bookmarkStart w:id="539" w:name="_Toc94172244"/>
            <w:bookmarkStart w:id="540" w:name="_Toc91605044"/>
            <w:bookmarkStart w:id="541" w:name="_Toc94172385"/>
            <w:bookmarkStart w:id="542" w:name="_Toc94183486"/>
            <w:r>
              <w:rPr>
                <w:rFonts w:hint="eastAsia" w:ascii="楷体_GB2312" w:hAnsi="黑体" w:eastAsia="楷体_GB2312" w:cs="黑体"/>
                <w:b/>
                <w:bCs/>
                <w:color w:val="FFFFFF" w:themeColor="background1"/>
                <w:sz w:val="28"/>
                <w:szCs w:val="28"/>
                <w14:textFill>
                  <w14:solidFill>
                    <w14:schemeClr w14:val="bg1"/>
                  </w14:solidFill>
                </w14:textFill>
              </w:rPr>
              <w:t>专栏4-</w:t>
            </w:r>
            <w:r>
              <w:rPr>
                <w:rFonts w:ascii="楷体_GB2312" w:hAnsi="黑体" w:eastAsia="楷体_GB2312" w:cs="黑体"/>
                <w:b/>
                <w:bCs/>
                <w:color w:val="FFFFFF" w:themeColor="background1"/>
                <w:sz w:val="28"/>
                <w:szCs w:val="28"/>
                <w14:textFill>
                  <w14:solidFill>
                    <w14:schemeClr w14:val="bg1"/>
                  </w14:solidFill>
                </w14:textFill>
              </w:rPr>
              <w:t>4</w:t>
            </w:r>
            <w:r>
              <w:rPr>
                <w:rFonts w:hint="eastAsia" w:ascii="楷体_GB2312" w:hAnsi="黑体" w:eastAsia="楷体_GB2312" w:cs="黑体"/>
                <w:b/>
                <w:bCs/>
                <w:color w:val="FFFFFF" w:themeColor="background1"/>
                <w:sz w:val="28"/>
                <w:szCs w:val="28"/>
                <w14:textFill>
                  <w14:solidFill>
                    <w14:schemeClr w14:val="bg1"/>
                  </w14:solidFill>
                </w14:textFill>
              </w:rPr>
              <w:t xml:space="preserve"> 做好就业创业服务 助力学生成就梦想</w:t>
            </w:r>
            <w:bookmarkEnd w:id="539"/>
            <w:bookmarkEnd w:id="540"/>
            <w:bookmarkEnd w:id="541"/>
            <w:bookmarkEnd w:id="542"/>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3" w:hRule="atLeast"/>
          <w:jc w:val="center"/>
        </w:trPr>
        <w:tc>
          <w:tcPr>
            <w:tcW w:w="8720" w:type="dxa"/>
            <w:shd w:val="clear" w:color="auto" w:fill="CDEAFF"/>
          </w:tcPr>
          <w:p>
            <w:pPr>
              <w:spacing w:line="480" w:lineRule="exact"/>
              <w:ind w:firstLine="561"/>
              <w:rPr>
                <w:rFonts w:ascii="仿宋_GB2312" w:eastAsia="仿宋_GB2312"/>
                <w:color w:val="000000" w:themeColor="text1"/>
                <w:sz w:val="24"/>
                <w14:textFill>
                  <w14:solidFill>
                    <w14:schemeClr w14:val="tx1"/>
                  </w14:solidFill>
                </w14:textFill>
              </w:rPr>
            </w:pPr>
            <w:r>
              <w:rPr>
                <w:rFonts w:hint="eastAsia" w:ascii="仿宋_GB2312" w:eastAsia="仿宋_GB2312"/>
                <w:b/>
                <w:bCs/>
                <w:color w:val="0070C0"/>
                <w:sz w:val="24"/>
              </w:rPr>
              <w:t>莱芜职业技术学院</w:t>
            </w:r>
            <w:r>
              <w:rPr>
                <w:rFonts w:hint="eastAsia" w:ascii="仿宋_GB2312" w:eastAsia="仿宋_GB2312"/>
                <w:color w:val="000000" w:themeColor="text1"/>
                <w:sz w:val="24"/>
                <w14:textFill>
                  <w14:solidFill>
                    <w14:schemeClr w14:val="tx1"/>
                  </w14:solidFill>
                </w14:textFill>
              </w:rPr>
              <w:t>构建“成长目标+理论课程引导+实战项目”三步创业教育课程体系，开发17门创新创业课程，建立“课堂绩效+素质拓展+实践成果”三维评价体系，建设大学生创业服务中心，与企业共建8个孵化基地，搭建创新创业平台，孵化输出30个学生成熟创新创业项目，“学训赛创”一体，帮助学生实践创新创业梦想。15%的学生在校期间拥有创新创业经历。</w:t>
            </w:r>
          </w:p>
          <w:p>
            <w:pPr>
              <w:spacing w:line="480" w:lineRule="exact"/>
              <w:ind w:firstLine="561"/>
              <w:rPr>
                <w:rFonts w:ascii="仿宋_GB2312" w:eastAsia="仿宋_GB2312"/>
                <w:color w:val="000000" w:themeColor="text1"/>
                <w:sz w:val="24"/>
                <w14:textFill>
                  <w14:solidFill>
                    <w14:schemeClr w14:val="tx1"/>
                  </w14:solidFill>
                </w14:textFill>
              </w:rPr>
            </w:pPr>
            <w:r>
              <w:rPr>
                <w:rFonts w:hint="eastAsia" w:ascii="仿宋_GB2312" w:eastAsia="仿宋_GB2312"/>
                <w:b/>
                <w:bCs/>
                <w:color w:val="0070C0"/>
                <w:sz w:val="24"/>
              </w:rPr>
              <w:t>潍坊职业学院</w:t>
            </w:r>
            <w:r>
              <w:rPr>
                <w:rFonts w:hint="eastAsia" w:ascii="仿宋_GB2312" w:eastAsia="仿宋_GB2312"/>
                <w:color w:val="000000" w:themeColor="text1"/>
                <w:sz w:val="24"/>
                <w14:textFill>
                  <w14:solidFill>
                    <w14:schemeClr w14:val="tx1"/>
                  </w14:solidFill>
                </w14:textFill>
              </w:rPr>
              <w:t>“双创”教育建立“分层递进、双线并行”课程体系，构建“分段递进、创新驱动”实训体系，搭建“产教融合、递进培育”孵化平台，创新“协同融合、目标导向”评价体系，取得显著成效，学生获第十二届“挑战杯”和第六、第七届中国国际大学生“互联网+”创新创业大赛金奖2项、银奖5项、铜奖4项，学校被认定为中国创新创业典型示范高校和典型示范基地。</w:t>
            </w:r>
          </w:p>
          <w:p>
            <w:pPr>
              <w:spacing w:line="480" w:lineRule="exact"/>
              <w:ind w:firstLine="561"/>
              <w:rPr>
                <w:color w:val="000000" w:themeColor="text1"/>
                <w14:textFill>
                  <w14:solidFill>
                    <w14:schemeClr w14:val="tx1"/>
                  </w14:solidFill>
                </w14:textFill>
              </w:rPr>
            </w:pPr>
            <w:r>
              <w:rPr>
                <w:rFonts w:hint="eastAsia" w:ascii="仿宋_GB2312" w:eastAsia="仿宋_GB2312"/>
                <w:b/>
                <w:bCs/>
                <w:color w:val="0070C0"/>
                <w:sz w:val="24"/>
              </w:rPr>
              <w:t>山东畜牧兽医职业学院</w:t>
            </w:r>
            <w:r>
              <w:rPr>
                <w:rFonts w:hint="eastAsia" w:ascii="仿宋_GB2312" w:eastAsia="仿宋_GB2312"/>
                <w:color w:val="000000" w:themeColor="text1"/>
                <w:sz w:val="24"/>
                <w14:textFill>
                  <w14:solidFill>
                    <w14:schemeClr w14:val="tx1"/>
                  </w14:solidFill>
                </w14:textFill>
              </w:rPr>
              <w:t>2021年有48名应届毕业生选择自主创业，自主创业率1.62%，该校毕业生毕业一年后自主创业率超过2.51%，毕业三年后自主创业率增高到9.33%。2015届毕业生李勇立志回乡当“猪倌”，用五年时间打造了“生态养殖-屠宰-加工-生产-运输-销售”一体化现代农业企业，创造“公司+农户”“互联网+养猪”“种养一体三物循环农场”专创融合新型养殖生产模式，使当地500余名农民成为产业工人，年创产值2500余万元。</w:t>
            </w:r>
          </w:p>
        </w:tc>
      </w:tr>
    </w:tbl>
    <w:p>
      <w:pPr>
        <w:pStyle w:val="10"/>
        <w:spacing w:after="62" w:afterLines="20" w:line="240" w:lineRule="auto"/>
        <w:ind w:left="0" w:leftChars="0"/>
        <w:rPr>
          <w:rFonts w:ascii="楷体_GB2312" w:hAnsi="楷体_GB2312" w:eastAsia="楷体_GB2312" w:cs="楷体_GB2312"/>
          <w:color w:val="000000" w:themeColor="text1"/>
          <w:szCs w:val="21"/>
          <w14:textFill>
            <w14:solidFill>
              <w14:schemeClr w14:val="tx1"/>
            </w14:solidFill>
          </w14:textFill>
        </w:rPr>
      </w:pPr>
    </w:p>
    <w:p>
      <w:pPr>
        <w:pStyle w:val="10"/>
        <w:spacing w:after="62" w:afterLines="20" w:line="240" w:lineRule="auto"/>
        <w:ind w:left="0" w:leftChars="0"/>
        <w:rPr>
          <w:rFonts w:ascii="楷体_GB2312" w:hAnsi="楷体_GB2312" w:eastAsia="楷体_GB2312" w:cs="楷体_GB2312"/>
          <w:color w:val="000000" w:themeColor="text1"/>
          <w:szCs w:val="21"/>
          <w14:textFill>
            <w14:solidFill>
              <w14:schemeClr w14:val="tx1"/>
            </w14:solidFill>
          </w14:textFill>
        </w:rPr>
      </w:pPr>
    </w:p>
    <w:p>
      <w:pPr>
        <w:spacing w:line="520" w:lineRule="exact"/>
        <w:rPr>
          <w:rFonts w:ascii="仿宋_GB2312" w:hAnsi="仿宋_GB2312" w:eastAsia="仿宋_GB2312" w:cs="仿宋_GB2312"/>
          <w:color w:val="000000" w:themeColor="text1"/>
          <w:sz w:val="28"/>
          <w:szCs w:val="28"/>
          <w14:textFill>
            <w14:solidFill>
              <w14:schemeClr w14:val="tx1"/>
            </w14:solidFill>
          </w14:textFill>
        </w:rPr>
      </w:pPr>
    </w:p>
    <w:p>
      <w:pPr>
        <w:widowControl/>
        <w:jc w:val="left"/>
        <w:rPr>
          <w:rFonts w:ascii="楷体_GB2312" w:hAnsi="楷体_GB2312" w:eastAsia="楷体_GB2312" w:cs="楷体_GB2312"/>
          <w:color w:val="000000" w:themeColor="text1"/>
          <w:szCs w:val="21"/>
          <w14:textFill>
            <w14:solidFill>
              <w14:schemeClr w14:val="tx1"/>
            </w14:solidFill>
          </w14:textFill>
        </w:rPr>
      </w:pPr>
      <w:r>
        <w:rPr>
          <w:rFonts w:ascii="楷体_GB2312" w:hAnsi="楷体_GB2312" w:eastAsia="楷体_GB2312" w:cs="楷体_GB2312"/>
          <w:color w:val="000000" w:themeColor="text1"/>
          <w:szCs w:val="21"/>
          <w14:textFill>
            <w14:solidFill>
              <w14:schemeClr w14:val="tx1"/>
            </w14:solidFill>
          </w14:textFill>
        </w:rPr>
        <w:br w:type="page"/>
      </w:r>
    </w:p>
    <w:p>
      <w:pPr>
        <w:spacing w:line="520" w:lineRule="exact"/>
        <w:ind w:firstLine="560" w:firstLineChars="200"/>
        <w:outlineLvl w:val="0"/>
        <w:rPr>
          <w:rFonts w:ascii="黑体" w:hAnsi="黑体" w:eastAsia="黑体" w:cs="黑体"/>
          <w:color w:val="000000" w:themeColor="text1"/>
          <w:sz w:val="28"/>
          <w:szCs w:val="28"/>
          <w14:textFill>
            <w14:solidFill>
              <w14:schemeClr w14:val="tx1"/>
            </w14:solidFill>
          </w14:textFill>
        </w:rPr>
      </w:pPr>
      <w:bookmarkStart w:id="543" w:name="_Toc94172245"/>
      <w:bookmarkStart w:id="544" w:name="_Toc94183487"/>
      <w:bookmarkStart w:id="545" w:name="_Toc94172386"/>
      <w:r>
        <w:rPr>
          <w:rFonts w:hint="eastAsia" w:ascii="黑体" w:hAnsi="黑体" w:eastAsia="黑体" w:cs="黑体"/>
          <w:color w:val="000000" w:themeColor="text1"/>
          <w:sz w:val="28"/>
          <w:szCs w:val="28"/>
          <w14:textFill>
            <w14:solidFill>
              <w14:schemeClr w14:val="tx1"/>
            </w14:solidFill>
          </w14:textFill>
        </w:rPr>
        <w:t>5</w:t>
      </w:r>
      <w:r>
        <w:rPr>
          <w:rFonts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14:textFill>
            <w14:solidFill>
              <w14:schemeClr w14:val="tx1"/>
            </w14:solidFill>
          </w14:textFill>
        </w:rPr>
        <w:t>服务贡献</w:t>
      </w:r>
      <w:bookmarkEnd w:id="543"/>
      <w:bookmarkEnd w:id="544"/>
      <w:bookmarkEnd w:id="545"/>
    </w:p>
    <w:p>
      <w:pPr>
        <w:spacing w:line="520" w:lineRule="exact"/>
        <w:ind w:firstLine="567"/>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2021年，山东省高职院校立足新发展阶段，贯彻新发展理念，主动服务和融入经济社会新发展格局，紧紧围绕新旧动能转换等区域发展战略，对接山东省“十强”产业、行业地方需求和技术变革趋势，在人才输送、科技服务、社会培训等方面助力区域经济转型高质量发展，为山东省区域经济发展、对口支援提供智力支持和人才支撑，社会服务能力显著提升。</w:t>
      </w:r>
    </w:p>
    <w:p>
      <w:pPr>
        <w:spacing w:line="520" w:lineRule="exact"/>
        <w:ind w:firstLine="567"/>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全省高职院校毕业生就业率上升了2.6个百分点，达到95.3%，向社会输送了24.84万名高素质技术技能人才，其中本省就业人数比例提升了8.2个百分点，达62.67%。高职院校依托科技创新平台，开展科技服务，研发科技成果，横向技术服务到款额达3.9亿元，产生经济效益46.8亿元。服务乡村振兴、军民融合、东西协作等战略，广泛开展社会培训，非学历培训到款额87408万元。2020年山东高职院校服务贡献情况如表5-1所示。</w:t>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546" w:name="_Toc91605046"/>
      <w:bookmarkStart w:id="547" w:name="_Toc91606563"/>
      <w:bookmarkStart w:id="548" w:name="_Toc94172246"/>
      <w:bookmarkStart w:id="549" w:name="_Toc94172387"/>
      <w:bookmarkStart w:id="550" w:name="_Toc94183488"/>
      <w:r>
        <w:rPr>
          <w:rFonts w:ascii="宋体" w:hAnsi="宋体" w:eastAsia="宋体"/>
          <w:color w:val="000000" w:themeColor="text1"/>
          <w:sz w:val="24"/>
          <w:szCs w:val="24"/>
          <w14:textFill>
            <w14:solidFill>
              <w14:schemeClr w14:val="tx1"/>
            </w14:solidFill>
          </w14:textFill>
        </w:rPr>
        <w:t>表</w:t>
      </w:r>
      <w:bookmarkStart w:id="551" w:name="_Toc11705"/>
      <w:r>
        <w:rPr>
          <w:rFonts w:hint="eastAsia" w:ascii="宋体" w:hAnsi="宋体" w:eastAsia="宋体"/>
          <w:color w:val="000000" w:themeColor="text1"/>
          <w:sz w:val="24"/>
          <w:szCs w:val="24"/>
          <w14:textFill>
            <w14:solidFill>
              <w14:schemeClr w14:val="tx1"/>
            </w14:solidFill>
          </w14:textFill>
        </w:rPr>
        <w:t xml:space="preserve">5-1 </w:t>
      </w:r>
      <w:r>
        <w:rPr>
          <w:rFonts w:ascii="宋体" w:hAnsi="宋体" w:eastAsia="宋体"/>
          <w:color w:val="000000" w:themeColor="text1"/>
          <w:sz w:val="24"/>
          <w:szCs w:val="24"/>
          <w14:textFill>
            <w14:solidFill>
              <w14:schemeClr w14:val="tx1"/>
            </w14:solidFill>
          </w14:textFill>
        </w:rPr>
        <w:t>山东省高职院校服务贡献表</w:t>
      </w:r>
      <w:bookmarkEnd w:id="546"/>
      <w:bookmarkEnd w:id="547"/>
      <w:bookmarkEnd w:id="548"/>
      <w:bookmarkEnd w:id="549"/>
      <w:bookmarkEnd w:id="550"/>
      <w:bookmarkEnd w:id="551"/>
    </w:p>
    <w:tbl>
      <w:tblPr>
        <w:tblStyle w:val="21"/>
        <w:tblW w:w="5000" w:type="pct"/>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97"/>
        <w:gridCol w:w="3855"/>
        <w:gridCol w:w="1129"/>
        <w:gridCol w:w="1559"/>
        <w:gridCol w:w="172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440" w:type="pct"/>
            <w:tcBorders>
              <w:top w:val="single" w:color="auto" w:sz="12" w:space="0"/>
              <w:bottom w:val="single" w:color="auto" w:sz="12" w:space="0"/>
            </w:tcBorders>
            <w:shd w:val="clear" w:color="auto" w:fill="4472C4"/>
            <w:vAlign w:val="center"/>
          </w:tcPr>
          <w:p>
            <w:pPr>
              <w:jc w:val="center"/>
              <w:rPr>
                <w:rFonts w:ascii="楷体_GB2312" w:hAnsi="宋体" w:eastAsia="楷体_GB2312" w:cs="Times New Roman"/>
                <w:b/>
                <w:bCs/>
                <w:caps/>
                <w:color w:val="FFFFFF" w:themeColor="background1"/>
                <w:szCs w:val="21"/>
                <w14:textFill>
                  <w14:solidFill>
                    <w14:schemeClr w14:val="bg1"/>
                  </w14:solidFill>
                </w14:textFill>
              </w:rPr>
            </w:pPr>
            <w:bookmarkStart w:id="552" w:name="_Toc20768"/>
            <w:bookmarkStart w:id="553" w:name="_Toc25816"/>
            <w:bookmarkStart w:id="554" w:name="_Toc30368967"/>
            <w:bookmarkStart w:id="555" w:name="_Toc26797"/>
            <w:bookmarkStart w:id="556" w:name="_Toc9783"/>
            <w:bookmarkStart w:id="557" w:name="_Toc17206"/>
            <w:bookmarkStart w:id="558" w:name="_Toc31995887"/>
            <w:bookmarkStart w:id="559" w:name="_Toc62718677"/>
            <w:bookmarkStart w:id="560" w:name="_Hlk62308059"/>
            <w:bookmarkStart w:id="561" w:name="_Toc31551690"/>
            <w:r>
              <w:rPr>
                <w:rFonts w:hint="eastAsia" w:ascii="楷体_GB2312" w:hAnsi="宋体" w:eastAsia="楷体_GB2312" w:cs="Times New Roman"/>
                <w:b/>
                <w:bCs/>
                <w:caps/>
                <w:color w:val="FFFFFF" w:themeColor="background1"/>
                <w:szCs w:val="21"/>
                <w14:textFill>
                  <w14:solidFill>
                    <w14:schemeClr w14:val="bg1"/>
                  </w14:solidFill>
                </w14:textFill>
              </w:rPr>
              <w:t>序号</w:t>
            </w:r>
          </w:p>
        </w:tc>
        <w:tc>
          <w:tcPr>
            <w:tcW w:w="2127" w:type="pct"/>
            <w:tcBorders>
              <w:top w:val="single" w:color="auto" w:sz="12" w:space="0"/>
              <w:bottom w:val="single" w:color="auto" w:sz="12" w:space="0"/>
            </w:tcBorders>
            <w:shd w:val="clear" w:color="auto" w:fill="4472C4"/>
            <w:vAlign w:val="center"/>
          </w:tcPr>
          <w:p>
            <w:pPr>
              <w:jc w:val="center"/>
              <w:rPr>
                <w:rFonts w:ascii="楷体_GB2312" w:hAnsi="宋体" w:eastAsia="楷体_GB2312" w:cs="Times New Roman"/>
                <w:b/>
                <w:bCs/>
                <w:caps/>
                <w:color w:val="FFFFFF" w:themeColor="background1"/>
                <w:szCs w:val="21"/>
                <w14:textFill>
                  <w14:solidFill>
                    <w14:schemeClr w14:val="bg1"/>
                  </w14:solidFill>
                </w14:textFill>
              </w:rPr>
            </w:pPr>
            <w:r>
              <w:rPr>
                <w:rFonts w:hint="eastAsia" w:ascii="楷体_GB2312" w:hAnsi="宋体" w:eastAsia="楷体_GB2312" w:cs="Times New Roman"/>
                <w:b/>
                <w:bCs/>
                <w:caps/>
                <w:color w:val="FFFFFF" w:themeColor="background1"/>
                <w:szCs w:val="21"/>
                <w14:textFill>
                  <w14:solidFill>
                    <w14:schemeClr w14:val="bg1"/>
                  </w14:solidFill>
                </w14:textFill>
              </w:rPr>
              <w:t>指标</w:t>
            </w:r>
          </w:p>
        </w:tc>
        <w:tc>
          <w:tcPr>
            <w:tcW w:w="623" w:type="pct"/>
            <w:tcBorders>
              <w:top w:val="single" w:color="auto" w:sz="12" w:space="0"/>
              <w:bottom w:val="single" w:color="auto" w:sz="12" w:space="0"/>
            </w:tcBorders>
            <w:shd w:val="clear" w:color="auto" w:fill="4472C4"/>
            <w:noWrap/>
            <w:vAlign w:val="center"/>
          </w:tcPr>
          <w:p>
            <w:pPr>
              <w:jc w:val="center"/>
              <w:rPr>
                <w:rFonts w:ascii="楷体_GB2312" w:hAnsi="宋体" w:eastAsia="楷体_GB2312" w:cs="Times New Roman"/>
                <w:b/>
                <w:bCs/>
                <w:caps/>
                <w:color w:val="FFFFFF" w:themeColor="background1"/>
                <w:szCs w:val="21"/>
                <w14:textFill>
                  <w14:solidFill>
                    <w14:schemeClr w14:val="bg1"/>
                  </w14:solidFill>
                </w14:textFill>
              </w:rPr>
            </w:pPr>
            <w:r>
              <w:rPr>
                <w:rFonts w:hint="eastAsia" w:ascii="楷体_GB2312" w:hAnsi="宋体" w:eastAsia="楷体_GB2312" w:cs="Times New Roman"/>
                <w:b/>
                <w:bCs/>
                <w:caps/>
                <w:color w:val="FFFFFF" w:themeColor="background1"/>
                <w:szCs w:val="21"/>
                <w14:textFill>
                  <w14:solidFill>
                    <w14:schemeClr w14:val="bg1"/>
                  </w14:solidFill>
                </w14:textFill>
              </w:rPr>
              <w:t>单位</w:t>
            </w:r>
          </w:p>
        </w:tc>
        <w:tc>
          <w:tcPr>
            <w:tcW w:w="860" w:type="pct"/>
            <w:tcBorders>
              <w:top w:val="single" w:color="auto" w:sz="12" w:space="0"/>
              <w:bottom w:val="single" w:color="auto" w:sz="12" w:space="0"/>
            </w:tcBorders>
            <w:shd w:val="clear" w:color="auto" w:fill="4472C4"/>
            <w:noWrap/>
            <w:vAlign w:val="center"/>
          </w:tcPr>
          <w:p>
            <w:pPr>
              <w:jc w:val="center"/>
              <w:rPr>
                <w:rFonts w:ascii="楷体_GB2312" w:hAnsi="宋体" w:eastAsia="楷体_GB2312" w:cs="Times New Roman"/>
                <w:b/>
                <w:bCs/>
                <w:caps/>
                <w:color w:val="FFFFFF" w:themeColor="background1"/>
                <w:szCs w:val="21"/>
                <w14:textFill>
                  <w14:solidFill>
                    <w14:schemeClr w14:val="bg1"/>
                  </w14:solidFill>
                </w14:textFill>
              </w:rPr>
            </w:pPr>
            <w:r>
              <w:rPr>
                <w:rFonts w:hint="eastAsia" w:ascii="楷体_GB2312" w:hAnsi="宋体" w:eastAsia="楷体_GB2312" w:cs="Times New Roman"/>
                <w:b/>
                <w:bCs/>
                <w:caps/>
                <w:color w:val="FFFFFF" w:themeColor="background1"/>
                <w:szCs w:val="21"/>
                <w14:textFill>
                  <w14:solidFill>
                    <w14:schemeClr w14:val="bg1"/>
                  </w14:solidFill>
                </w14:textFill>
              </w:rPr>
              <w:t>2020年</w:t>
            </w:r>
          </w:p>
        </w:tc>
        <w:tc>
          <w:tcPr>
            <w:tcW w:w="949" w:type="pct"/>
            <w:tcBorders>
              <w:top w:val="single" w:color="auto" w:sz="12" w:space="0"/>
              <w:bottom w:val="single" w:color="auto" w:sz="12" w:space="0"/>
            </w:tcBorders>
            <w:shd w:val="clear" w:color="auto" w:fill="4472C4"/>
            <w:noWrap/>
            <w:vAlign w:val="center"/>
          </w:tcPr>
          <w:p>
            <w:pPr>
              <w:jc w:val="center"/>
              <w:rPr>
                <w:rFonts w:ascii="楷体_GB2312" w:hAnsi="宋体" w:eastAsia="楷体_GB2312" w:cs="Times New Roman"/>
                <w:b/>
                <w:bCs/>
                <w:caps/>
                <w:color w:val="FFFFFF" w:themeColor="background1"/>
                <w:szCs w:val="21"/>
                <w14:textFill>
                  <w14:solidFill>
                    <w14:schemeClr w14:val="bg1"/>
                  </w14:solidFill>
                </w14:textFill>
              </w:rPr>
            </w:pPr>
            <w:r>
              <w:rPr>
                <w:rFonts w:hint="eastAsia" w:ascii="楷体_GB2312" w:hAnsi="宋体" w:eastAsia="楷体_GB2312" w:cs="Times New Roman"/>
                <w:b/>
                <w:bCs/>
                <w:caps/>
                <w:color w:val="FFFFFF" w:themeColor="background1"/>
                <w:szCs w:val="21"/>
                <w14:textFill>
                  <w14:solidFill>
                    <w14:schemeClr w14:val="bg1"/>
                  </w14:solidFill>
                </w14:textFill>
              </w:rPr>
              <w:t>2021年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5" w:hRule="atLeast"/>
        </w:trPr>
        <w:tc>
          <w:tcPr>
            <w:tcW w:w="440" w:type="pct"/>
            <w:vMerge w:val="restart"/>
            <w:tcBorders>
              <w:top w:val="single" w:color="auto" w:sz="12" w:space="0"/>
            </w:tcBorders>
            <w:shd w:val="clear" w:color="auto" w:fill="FFFFFF" w:themeFill="background1"/>
            <w:vAlign w:val="center"/>
          </w:tcPr>
          <w:p>
            <w:pPr>
              <w:jc w:val="center"/>
              <w:rPr>
                <w:rFonts w:ascii="宋体" w:hAnsi="宋体" w:eastAsia="宋体"/>
                <w:color w:val="000000" w:themeColor="text1"/>
                <w:kern w:val="0"/>
                <w:szCs w:val="21"/>
                <w14:textFill>
                  <w14:solidFill>
                    <w14:schemeClr w14:val="tx1"/>
                  </w14:solidFill>
                </w14:textFill>
              </w:rPr>
            </w:pPr>
            <w:r>
              <w:rPr>
                <w:rFonts w:ascii="宋体" w:hAnsi="宋体" w:eastAsia="宋体"/>
                <w:color w:val="000000" w:themeColor="text1"/>
                <w:kern w:val="0"/>
                <w:szCs w:val="21"/>
                <w14:textFill>
                  <w14:solidFill>
                    <w14:schemeClr w14:val="tx1"/>
                  </w14:solidFill>
                </w14:textFill>
              </w:rPr>
              <w:t>1</w:t>
            </w:r>
          </w:p>
        </w:tc>
        <w:tc>
          <w:tcPr>
            <w:tcW w:w="2127" w:type="pct"/>
            <w:tcBorders>
              <w:top w:val="single" w:color="auto" w:sz="12" w:space="0"/>
            </w:tcBorders>
            <w:shd w:val="clear" w:color="auto" w:fill="FFFFFF" w:themeFill="background1"/>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全日制在校生人数</w:t>
            </w:r>
          </w:p>
        </w:tc>
        <w:tc>
          <w:tcPr>
            <w:tcW w:w="623" w:type="pct"/>
            <w:tcBorders>
              <w:top w:val="single" w:color="auto" w:sz="12" w:space="0"/>
            </w:tcBorders>
            <w:shd w:val="clear" w:color="auto" w:fill="FFFFFF" w:themeFill="background1"/>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人</w:t>
            </w:r>
          </w:p>
        </w:tc>
        <w:tc>
          <w:tcPr>
            <w:tcW w:w="860" w:type="pct"/>
            <w:tcBorders>
              <w:top w:val="single" w:color="auto" w:sz="12" w:space="0"/>
            </w:tcBorders>
            <w:shd w:val="clear" w:color="auto" w:fill="FFFFFF" w:themeFill="background1"/>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802147</w:t>
            </w:r>
          </w:p>
        </w:tc>
        <w:tc>
          <w:tcPr>
            <w:tcW w:w="949" w:type="pct"/>
            <w:tcBorders>
              <w:top w:val="single" w:color="auto" w:sz="12" w:space="0"/>
            </w:tcBorders>
            <w:shd w:val="clear" w:color="auto" w:fill="FFFFFF" w:themeFill="background1"/>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8</w:t>
            </w:r>
            <w:r>
              <w:rPr>
                <w:rFonts w:ascii="宋体" w:hAnsi="宋体" w:eastAsia="宋体" w:cs="Times New Roman"/>
                <w:bCs/>
                <w:color w:val="000000" w:themeColor="text1"/>
                <w:szCs w:val="21"/>
                <w14:textFill>
                  <w14:solidFill>
                    <w14:schemeClr w14:val="tx1"/>
                  </w14:solidFill>
                </w14:textFill>
              </w:rPr>
              <w:t>95366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0" w:hRule="atLeast"/>
        </w:trPr>
        <w:tc>
          <w:tcPr>
            <w:tcW w:w="440" w:type="pct"/>
            <w:vMerge w:val="continue"/>
            <w:shd w:val="clear" w:color="auto" w:fill="FFFFFF" w:themeFill="background1"/>
            <w:vAlign w:val="center"/>
          </w:tcPr>
          <w:p>
            <w:pPr>
              <w:widowControl/>
              <w:jc w:val="center"/>
              <w:rPr>
                <w:rFonts w:ascii="宋体" w:hAnsi="宋体" w:eastAsia="宋体"/>
                <w:color w:val="000000" w:themeColor="text1"/>
                <w:kern w:val="0"/>
                <w:szCs w:val="21"/>
                <w14:textFill>
                  <w14:solidFill>
                    <w14:schemeClr w14:val="tx1"/>
                  </w14:solidFill>
                </w14:textFill>
              </w:rPr>
            </w:pPr>
          </w:p>
        </w:tc>
        <w:tc>
          <w:tcPr>
            <w:tcW w:w="2127" w:type="pct"/>
            <w:shd w:val="clear" w:color="auto" w:fill="FFFFFF" w:themeFill="background1"/>
            <w:noWrap/>
            <w:vAlign w:val="center"/>
          </w:tcPr>
          <w:p>
            <w:pPr>
              <w:jc w:val="center"/>
              <w:rPr>
                <w:rFonts w:ascii="宋体" w:hAnsi="宋体" w:eastAsia="宋体"/>
                <w:color w:val="000000" w:themeColor="text1"/>
                <w:kern w:val="0"/>
                <w:szCs w:val="21"/>
                <w14:textFill>
                  <w14:solidFill>
                    <w14:schemeClr w14:val="tx1"/>
                  </w14:solidFill>
                </w14:textFill>
              </w:rPr>
            </w:pPr>
            <w:r>
              <w:rPr>
                <w:rFonts w:ascii="宋体" w:hAnsi="宋体" w:eastAsia="宋体"/>
                <w:color w:val="000000" w:themeColor="text1"/>
                <w:kern w:val="0"/>
                <w:szCs w:val="21"/>
                <w14:textFill>
                  <w14:solidFill>
                    <w14:schemeClr w14:val="tx1"/>
                  </w14:solidFill>
                </w14:textFill>
              </w:rPr>
              <w:t>毕业生人数</w:t>
            </w:r>
          </w:p>
        </w:tc>
        <w:tc>
          <w:tcPr>
            <w:tcW w:w="623" w:type="pct"/>
            <w:shd w:val="clear" w:color="auto" w:fill="FFFFFF" w:themeFill="background1"/>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人</w:t>
            </w:r>
          </w:p>
        </w:tc>
        <w:tc>
          <w:tcPr>
            <w:tcW w:w="860" w:type="pct"/>
            <w:shd w:val="clear" w:color="auto" w:fill="FFFFFF" w:themeFill="background1"/>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255172</w:t>
            </w:r>
          </w:p>
        </w:tc>
        <w:tc>
          <w:tcPr>
            <w:tcW w:w="949" w:type="pct"/>
            <w:shd w:val="clear" w:color="auto" w:fill="FFFFFF" w:themeFill="background1"/>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2</w:t>
            </w:r>
            <w:r>
              <w:rPr>
                <w:rFonts w:ascii="宋体" w:hAnsi="宋体" w:eastAsia="宋体" w:cs="Times New Roman"/>
                <w:bCs/>
                <w:color w:val="000000" w:themeColor="text1"/>
                <w:szCs w:val="21"/>
                <w14:textFill>
                  <w14:solidFill>
                    <w14:schemeClr w14:val="tx1"/>
                  </w14:solidFill>
                </w14:textFill>
              </w:rPr>
              <w:t>60612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8" w:hRule="atLeast"/>
        </w:trPr>
        <w:tc>
          <w:tcPr>
            <w:tcW w:w="440" w:type="pct"/>
            <w:vMerge w:val="continue"/>
            <w:shd w:val="clear" w:color="auto" w:fill="FFFFFF" w:themeFill="background1"/>
            <w:vAlign w:val="center"/>
          </w:tcPr>
          <w:p>
            <w:pPr>
              <w:widowControl/>
              <w:jc w:val="center"/>
              <w:rPr>
                <w:rFonts w:ascii="宋体" w:hAnsi="宋体" w:eastAsia="宋体"/>
                <w:color w:val="000000" w:themeColor="text1"/>
                <w:kern w:val="0"/>
                <w:szCs w:val="21"/>
                <w14:textFill>
                  <w14:solidFill>
                    <w14:schemeClr w14:val="tx1"/>
                  </w14:solidFill>
                </w14:textFill>
              </w:rPr>
            </w:pPr>
          </w:p>
        </w:tc>
        <w:tc>
          <w:tcPr>
            <w:tcW w:w="2127"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其中：就业人数</w:t>
            </w:r>
          </w:p>
        </w:tc>
        <w:tc>
          <w:tcPr>
            <w:tcW w:w="623"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人</w:t>
            </w:r>
          </w:p>
        </w:tc>
        <w:tc>
          <w:tcPr>
            <w:tcW w:w="860"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236519</w:t>
            </w:r>
          </w:p>
        </w:tc>
        <w:tc>
          <w:tcPr>
            <w:tcW w:w="949"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2</w:t>
            </w:r>
            <w:r>
              <w:rPr>
                <w:rFonts w:ascii="宋体" w:hAnsi="宋体" w:eastAsia="宋体" w:cs="Times New Roman"/>
                <w:bCs/>
                <w:color w:val="000000" w:themeColor="text1"/>
                <w:szCs w:val="21"/>
                <w14:textFill>
                  <w14:solidFill>
                    <w14:schemeClr w14:val="tx1"/>
                  </w14:solidFill>
                </w14:textFill>
              </w:rPr>
              <w:t>48400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0" w:hRule="atLeast"/>
        </w:trPr>
        <w:tc>
          <w:tcPr>
            <w:tcW w:w="440" w:type="pct"/>
            <w:vMerge w:val="continue"/>
            <w:shd w:val="clear" w:color="auto" w:fill="FFFFFF" w:themeFill="background1"/>
            <w:vAlign w:val="center"/>
          </w:tcPr>
          <w:p>
            <w:pPr>
              <w:widowControl/>
              <w:jc w:val="center"/>
              <w:rPr>
                <w:rFonts w:ascii="宋体" w:hAnsi="宋体" w:eastAsia="宋体"/>
                <w:color w:val="000000" w:themeColor="text1"/>
                <w:kern w:val="0"/>
                <w:szCs w:val="21"/>
                <w14:textFill>
                  <w14:solidFill>
                    <w14:schemeClr w14:val="tx1"/>
                  </w14:solidFill>
                </w14:textFill>
              </w:rPr>
            </w:pPr>
          </w:p>
        </w:tc>
        <w:tc>
          <w:tcPr>
            <w:tcW w:w="2127"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A类:留在当地就业人数</w:t>
            </w:r>
          </w:p>
        </w:tc>
        <w:tc>
          <w:tcPr>
            <w:tcW w:w="623"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人</w:t>
            </w:r>
          </w:p>
        </w:tc>
        <w:tc>
          <w:tcPr>
            <w:tcW w:w="860"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128743</w:t>
            </w:r>
          </w:p>
        </w:tc>
        <w:tc>
          <w:tcPr>
            <w:tcW w:w="949"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1</w:t>
            </w:r>
            <w:r>
              <w:rPr>
                <w:rFonts w:ascii="宋体" w:hAnsi="宋体" w:eastAsia="宋体" w:cs="Times New Roman"/>
                <w:bCs/>
                <w:color w:val="000000" w:themeColor="text1"/>
                <w:szCs w:val="21"/>
                <w14:textFill>
                  <w14:solidFill>
                    <w14:schemeClr w14:val="tx1"/>
                  </w14:solidFill>
                </w14:textFill>
              </w:rPr>
              <w:t>55683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0" w:hRule="atLeast"/>
        </w:trPr>
        <w:tc>
          <w:tcPr>
            <w:tcW w:w="440" w:type="pct"/>
            <w:vMerge w:val="continue"/>
            <w:shd w:val="clear" w:color="auto" w:fill="FFFFFF" w:themeFill="background1"/>
            <w:vAlign w:val="center"/>
          </w:tcPr>
          <w:p>
            <w:pPr>
              <w:widowControl/>
              <w:jc w:val="center"/>
              <w:rPr>
                <w:rFonts w:ascii="宋体" w:hAnsi="宋体" w:eastAsia="宋体"/>
                <w:color w:val="000000" w:themeColor="text1"/>
                <w:kern w:val="0"/>
                <w:szCs w:val="21"/>
                <w14:textFill>
                  <w14:solidFill>
                    <w14:schemeClr w14:val="tx1"/>
                  </w14:solidFill>
                </w14:textFill>
              </w:rPr>
            </w:pPr>
          </w:p>
        </w:tc>
        <w:tc>
          <w:tcPr>
            <w:tcW w:w="2127"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B类:到西部地区和东北地区就业人数</w:t>
            </w:r>
          </w:p>
        </w:tc>
        <w:tc>
          <w:tcPr>
            <w:tcW w:w="623"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人</w:t>
            </w:r>
          </w:p>
        </w:tc>
        <w:tc>
          <w:tcPr>
            <w:tcW w:w="860"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5879</w:t>
            </w:r>
          </w:p>
        </w:tc>
        <w:tc>
          <w:tcPr>
            <w:tcW w:w="949"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5</w:t>
            </w:r>
            <w:r>
              <w:rPr>
                <w:rFonts w:ascii="宋体" w:hAnsi="宋体" w:eastAsia="宋体" w:cs="Times New Roman"/>
                <w:bCs/>
                <w:color w:val="000000" w:themeColor="text1"/>
                <w:szCs w:val="21"/>
                <w14:textFill>
                  <w14:solidFill>
                    <w14:schemeClr w14:val="tx1"/>
                  </w14:solidFill>
                </w14:textFill>
              </w:rPr>
              <w:t>142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8" w:hRule="atLeast"/>
        </w:trPr>
        <w:tc>
          <w:tcPr>
            <w:tcW w:w="440" w:type="pct"/>
            <w:vMerge w:val="continue"/>
            <w:shd w:val="clear" w:color="auto" w:fill="FFFFFF" w:themeFill="background1"/>
            <w:vAlign w:val="center"/>
          </w:tcPr>
          <w:p>
            <w:pPr>
              <w:widowControl/>
              <w:jc w:val="center"/>
              <w:rPr>
                <w:rFonts w:ascii="宋体" w:hAnsi="宋体" w:eastAsia="宋体"/>
                <w:color w:val="000000" w:themeColor="text1"/>
                <w:kern w:val="0"/>
                <w:szCs w:val="21"/>
                <w14:textFill>
                  <w14:solidFill>
                    <w14:schemeClr w14:val="tx1"/>
                  </w14:solidFill>
                </w14:textFill>
              </w:rPr>
            </w:pPr>
          </w:p>
        </w:tc>
        <w:tc>
          <w:tcPr>
            <w:tcW w:w="2127"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C类:到规模以下企业等基层服务人数</w:t>
            </w:r>
          </w:p>
        </w:tc>
        <w:tc>
          <w:tcPr>
            <w:tcW w:w="623"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人</w:t>
            </w:r>
          </w:p>
        </w:tc>
        <w:tc>
          <w:tcPr>
            <w:tcW w:w="860"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143433</w:t>
            </w:r>
          </w:p>
        </w:tc>
        <w:tc>
          <w:tcPr>
            <w:tcW w:w="949"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1</w:t>
            </w:r>
            <w:r>
              <w:rPr>
                <w:rFonts w:ascii="宋体" w:hAnsi="宋体" w:eastAsia="宋体" w:cs="Times New Roman"/>
                <w:bCs/>
                <w:color w:val="000000" w:themeColor="text1"/>
                <w:szCs w:val="21"/>
                <w14:textFill>
                  <w14:solidFill>
                    <w14:schemeClr w14:val="tx1"/>
                  </w14:solidFill>
                </w14:textFill>
              </w:rPr>
              <w:t>48836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0" w:hRule="atLeast"/>
        </w:trPr>
        <w:tc>
          <w:tcPr>
            <w:tcW w:w="440" w:type="pct"/>
            <w:vMerge w:val="continue"/>
            <w:shd w:val="clear" w:color="auto" w:fill="FFFFFF" w:themeFill="background1"/>
            <w:vAlign w:val="center"/>
          </w:tcPr>
          <w:p>
            <w:pPr>
              <w:widowControl/>
              <w:jc w:val="center"/>
              <w:rPr>
                <w:rFonts w:ascii="宋体" w:hAnsi="宋体" w:eastAsia="宋体"/>
                <w:color w:val="000000" w:themeColor="text1"/>
                <w:kern w:val="0"/>
                <w:szCs w:val="21"/>
                <w14:textFill>
                  <w14:solidFill>
                    <w14:schemeClr w14:val="tx1"/>
                  </w14:solidFill>
                </w14:textFill>
              </w:rPr>
            </w:pPr>
          </w:p>
        </w:tc>
        <w:tc>
          <w:tcPr>
            <w:tcW w:w="2127"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D类:到规模以上企业就业人数</w:t>
            </w:r>
          </w:p>
        </w:tc>
        <w:tc>
          <w:tcPr>
            <w:tcW w:w="623"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人</w:t>
            </w:r>
          </w:p>
        </w:tc>
        <w:tc>
          <w:tcPr>
            <w:tcW w:w="860"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w:t>
            </w:r>
          </w:p>
        </w:tc>
        <w:tc>
          <w:tcPr>
            <w:tcW w:w="949"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4</w:t>
            </w:r>
            <w:r>
              <w:rPr>
                <w:rFonts w:ascii="宋体" w:hAnsi="宋体" w:eastAsia="宋体" w:cs="Times New Roman"/>
                <w:bCs/>
                <w:color w:val="000000" w:themeColor="text1"/>
                <w:szCs w:val="21"/>
                <w14:textFill>
                  <w14:solidFill>
                    <w14:schemeClr w14:val="tx1"/>
                  </w14:solidFill>
                </w14:textFill>
              </w:rPr>
              <w:t>4540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0" w:hRule="atLeast"/>
        </w:trPr>
        <w:tc>
          <w:tcPr>
            <w:tcW w:w="440" w:type="pct"/>
            <w:vMerge w:val="continue"/>
            <w:shd w:val="clear" w:color="auto" w:fill="FFFFFF" w:themeFill="background1"/>
            <w:vAlign w:val="center"/>
          </w:tcPr>
          <w:p>
            <w:pPr>
              <w:widowControl/>
              <w:jc w:val="center"/>
              <w:rPr>
                <w:rFonts w:ascii="宋体" w:hAnsi="宋体" w:eastAsia="宋体"/>
                <w:color w:val="000000" w:themeColor="text1"/>
                <w:kern w:val="0"/>
                <w:szCs w:val="21"/>
                <w14:textFill>
                  <w14:solidFill>
                    <w14:schemeClr w14:val="tx1"/>
                  </w14:solidFill>
                </w14:textFill>
              </w:rPr>
            </w:pPr>
          </w:p>
        </w:tc>
        <w:tc>
          <w:tcPr>
            <w:tcW w:w="2127"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其中:到500强企业就业人数</w:t>
            </w:r>
          </w:p>
        </w:tc>
        <w:tc>
          <w:tcPr>
            <w:tcW w:w="623"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人</w:t>
            </w:r>
          </w:p>
        </w:tc>
        <w:tc>
          <w:tcPr>
            <w:tcW w:w="860"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22386</w:t>
            </w:r>
          </w:p>
        </w:tc>
        <w:tc>
          <w:tcPr>
            <w:tcW w:w="949" w:type="pct"/>
            <w:shd w:val="clear" w:color="auto" w:fill="FFFFFF" w:themeFill="background1"/>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19493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3" w:hRule="atLeast"/>
        </w:trPr>
        <w:tc>
          <w:tcPr>
            <w:tcW w:w="440" w:type="pct"/>
            <w:vMerge w:val="restart"/>
            <w:shd w:val="clear" w:color="auto" w:fill="DAEEF6"/>
            <w:vAlign w:val="center"/>
          </w:tcPr>
          <w:p>
            <w:pPr>
              <w:widowControl/>
              <w:jc w:val="center"/>
              <w:rPr>
                <w:rFonts w:ascii="宋体" w:hAnsi="宋体" w:eastAsia="宋体"/>
                <w:color w:val="000000" w:themeColor="text1"/>
                <w:kern w:val="0"/>
                <w:szCs w:val="21"/>
                <w14:textFill>
                  <w14:solidFill>
                    <w14:schemeClr w14:val="tx1"/>
                  </w14:solidFill>
                </w14:textFill>
              </w:rPr>
            </w:pPr>
            <w:r>
              <w:rPr>
                <w:rFonts w:ascii="宋体" w:hAnsi="宋体" w:eastAsia="宋体"/>
                <w:color w:val="000000" w:themeColor="text1"/>
                <w:kern w:val="0"/>
                <w:szCs w:val="21"/>
                <w14:textFill>
                  <w14:solidFill>
                    <w14:schemeClr w14:val="tx1"/>
                  </w14:solidFill>
                </w14:textFill>
              </w:rPr>
              <w:t>2</w:t>
            </w:r>
          </w:p>
        </w:tc>
        <w:tc>
          <w:tcPr>
            <w:tcW w:w="2127" w:type="pct"/>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横向技术服务到款额</w:t>
            </w:r>
          </w:p>
        </w:tc>
        <w:tc>
          <w:tcPr>
            <w:tcW w:w="623" w:type="pct"/>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万元</w:t>
            </w:r>
          </w:p>
        </w:tc>
        <w:tc>
          <w:tcPr>
            <w:tcW w:w="860" w:type="pct"/>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w:t>
            </w:r>
          </w:p>
        </w:tc>
        <w:tc>
          <w:tcPr>
            <w:tcW w:w="949" w:type="pct"/>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39450.81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0" w:hRule="atLeast"/>
        </w:trPr>
        <w:tc>
          <w:tcPr>
            <w:tcW w:w="440" w:type="pct"/>
            <w:vMerge w:val="continue"/>
            <w:tcBorders>
              <w:bottom w:val="single" w:color="auto" w:sz="8" w:space="0"/>
            </w:tcBorders>
            <w:shd w:val="clear" w:color="auto" w:fill="DAEEF6"/>
            <w:vAlign w:val="center"/>
          </w:tcPr>
          <w:p>
            <w:pPr>
              <w:widowControl/>
              <w:jc w:val="center"/>
              <w:rPr>
                <w:rFonts w:ascii="宋体" w:hAnsi="宋体" w:eastAsia="宋体"/>
                <w:color w:val="000000" w:themeColor="text1"/>
                <w:kern w:val="0"/>
                <w:szCs w:val="21"/>
                <w14:textFill>
                  <w14:solidFill>
                    <w14:schemeClr w14:val="tx1"/>
                  </w14:solidFill>
                </w14:textFill>
              </w:rPr>
            </w:pPr>
          </w:p>
        </w:tc>
        <w:tc>
          <w:tcPr>
            <w:tcW w:w="2127"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横向技术服务产生的经济效益</w:t>
            </w:r>
          </w:p>
        </w:tc>
        <w:tc>
          <w:tcPr>
            <w:tcW w:w="623"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万元</w:t>
            </w:r>
          </w:p>
        </w:tc>
        <w:tc>
          <w:tcPr>
            <w:tcW w:w="860"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w:t>
            </w:r>
          </w:p>
        </w:tc>
        <w:tc>
          <w:tcPr>
            <w:tcW w:w="949"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468397.67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5" w:hRule="atLeast"/>
        </w:trPr>
        <w:tc>
          <w:tcPr>
            <w:tcW w:w="440" w:type="pct"/>
            <w:shd w:val="clear" w:color="auto" w:fill="auto"/>
            <w:vAlign w:val="center"/>
          </w:tcPr>
          <w:p>
            <w:pPr>
              <w:widowControl/>
              <w:jc w:val="center"/>
              <w:rPr>
                <w:rFonts w:ascii="宋体" w:hAnsi="宋体" w:eastAsia="宋体"/>
                <w:color w:val="000000" w:themeColor="text1"/>
                <w:kern w:val="0"/>
                <w:szCs w:val="21"/>
                <w14:textFill>
                  <w14:solidFill>
                    <w14:schemeClr w14:val="tx1"/>
                  </w14:solidFill>
                </w14:textFill>
              </w:rPr>
            </w:pPr>
            <w:r>
              <w:rPr>
                <w:rFonts w:ascii="宋体" w:hAnsi="宋体" w:eastAsia="宋体"/>
                <w:color w:val="000000" w:themeColor="text1"/>
                <w:kern w:val="0"/>
                <w:szCs w:val="21"/>
                <w14:textFill>
                  <w14:solidFill>
                    <w14:schemeClr w14:val="tx1"/>
                  </w14:solidFill>
                </w14:textFill>
              </w:rPr>
              <w:t>3</w:t>
            </w:r>
          </w:p>
        </w:tc>
        <w:tc>
          <w:tcPr>
            <w:tcW w:w="2127"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纵向科研经费到款额</w:t>
            </w:r>
          </w:p>
        </w:tc>
        <w:tc>
          <w:tcPr>
            <w:tcW w:w="623"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万元</w:t>
            </w:r>
          </w:p>
        </w:tc>
        <w:tc>
          <w:tcPr>
            <w:tcW w:w="860"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13755.8</w:t>
            </w:r>
          </w:p>
        </w:tc>
        <w:tc>
          <w:tcPr>
            <w:tcW w:w="949"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1</w:t>
            </w:r>
            <w:r>
              <w:rPr>
                <w:rFonts w:ascii="宋体" w:hAnsi="宋体" w:eastAsia="宋体" w:cs="Times New Roman"/>
                <w:bCs/>
                <w:color w:val="000000" w:themeColor="text1"/>
                <w:szCs w:val="21"/>
                <w14:textFill>
                  <w14:solidFill>
                    <w14:schemeClr w14:val="tx1"/>
                  </w14:solidFill>
                </w14:textFill>
              </w:rPr>
              <w:t>2624.1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3" w:hRule="atLeast"/>
        </w:trPr>
        <w:tc>
          <w:tcPr>
            <w:tcW w:w="440" w:type="pct"/>
            <w:tcBorders>
              <w:bottom w:val="single" w:color="auto" w:sz="8" w:space="0"/>
            </w:tcBorders>
            <w:shd w:val="clear" w:color="auto" w:fill="DAEEF6"/>
            <w:vAlign w:val="center"/>
          </w:tcPr>
          <w:p>
            <w:pPr>
              <w:widowControl/>
              <w:jc w:val="center"/>
              <w:rPr>
                <w:rFonts w:ascii="宋体" w:hAnsi="宋体" w:eastAsia="宋体"/>
                <w:color w:val="000000" w:themeColor="text1"/>
                <w:kern w:val="0"/>
                <w:szCs w:val="21"/>
                <w14:textFill>
                  <w14:solidFill>
                    <w14:schemeClr w14:val="tx1"/>
                  </w14:solidFill>
                </w14:textFill>
              </w:rPr>
            </w:pPr>
            <w:r>
              <w:rPr>
                <w:rFonts w:ascii="宋体" w:hAnsi="宋体" w:eastAsia="宋体"/>
                <w:color w:val="000000" w:themeColor="text1"/>
                <w:kern w:val="0"/>
                <w:szCs w:val="21"/>
                <w14:textFill>
                  <w14:solidFill>
                    <w14:schemeClr w14:val="tx1"/>
                  </w14:solidFill>
                </w14:textFill>
              </w:rPr>
              <w:t>4</w:t>
            </w:r>
          </w:p>
        </w:tc>
        <w:tc>
          <w:tcPr>
            <w:tcW w:w="2127"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技术交易到款额</w:t>
            </w:r>
          </w:p>
        </w:tc>
        <w:tc>
          <w:tcPr>
            <w:tcW w:w="623"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万元</w:t>
            </w:r>
          </w:p>
        </w:tc>
        <w:tc>
          <w:tcPr>
            <w:tcW w:w="860"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10250.11</w:t>
            </w:r>
          </w:p>
        </w:tc>
        <w:tc>
          <w:tcPr>
            <w:tcW w:w="949"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12404.57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5" w:hRule="atLeast"/>
        </w:trPr>
        <w:tc>
          <w:tcPr>
            <w:tcW w:w="440" w:type="pct"/>
            <w:vMerge w:val="restart"/>
            <w:shd w:val="clear" w:color="auto" w:fill="auto"/>
            <w:vAlign w:val="center"/>
          </w:tcPr>
          <w:p>
            <w:pPr>
              <w:widowControl/>
              <w:jc w:val="center"/>
              <w:rPr>
                <w:rFonts w:ascii="宋体" w:hAnsi="宋体" w:eastAsia="宋体"/>
                <w:color w:val="000000" w:themeColor="text1"/>
                <w:kern w:val="0"/>
                <w:szCs w:val="21"/>
                <w14:textFill>
                  <w14:solidFill>
                    <w14:schemeClr w14:val="tx1"/>
                  </w14:solidFill>
                </w14:textFill>
              </w:rPr>
            </w:pPr>
            <w:r>
              <w:rPr>
                <w:rFonts w:ascii="宋体" w:hAnsi="宋体" w:eastAsia="宋体"/>
                <w:color w:val="000000" w:themeColor="text1"/>
                <w:kern w:val="0"/>
                <w:szCs w:val="21"/>
                <w14:textFill>
                  <w14:solidFill>
                    <w14:schemeClr w14:val="tx1"/>
                  </w14:solidFill>
                </w14:textFill>
              </w:rPr>
              <w:t>5</w:t>
            </w:r>
          </w:p>
        </w:tc>
        <w:tc>
          <w:tcPr>
            <w:tcW w:w="2127" w:type="pct"/>
            <w:tcBorders>
              <w:bottom w:val="single" w:color="auto" w:sz="8"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专利申请/授权数量</w:t>
            </w:r>
          </w:p>
        </w:tc>
        <w:tc>
          <w:tcPr>
            <w:tcW w:w="623" w:type="pct"/>
            <w:tcBorders>
              <w:bottom w:val="single" w:color="auto" w:sz="8"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项/项</w:t>
            </w:r>
          </w:p>
        </w:tc>
        <w:tc>
          <w:tcPr>
            <w:tcW w:w="860" w:type="pct"/>
            <w:tcBorders>
              <w:bottom w:val="single" w:color="auto" w:sz="8"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w:t>
            </w:r>
          </w:p>
        </w:tc>
        <w:tc>
          <w:tcPr>
            <w:tcW w:w="949" w:type="pct"/>
            <w:tcBorders>
              <w:bottom w:val="single" w:color="auto" w:sz="8"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4</w:t>
            </w:r>
            <w:r>
              <w:rPr>
                <w:rFonts w:ascii="宋体" w:hAnsi="宋体" w:eastAsia="宋体" w:cs="Times New Roman"/>
                <w:bCs/>
                <w:color w:val="000000" w:themeColor="text1"/>
                <w:szCs w:val="21"/>
                <w14:textFill>
                  <w14:solidFill>
                    <w14:schemeClr w14:val="tx1"/>
                  </w14:solidFill>
                </w14:textFill>
              </w:rPr>
              <w:t>579</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3130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0" w:hRule="atLeast"/>
        </w:trPr>
        <w:tc>
          <w:tcPr>
            <w:tcW w:w="440" w:type="pct"/>
            <w:vMerge w:val="continue"/>
            <w:tcBorders>
              <w:bottom w:val="single" w:color="auto" w:sz="8" w:space="0"/>
            </w:tcBorders>
            <w:shd w:val="clear" w:color="auto" w:fill="auto"/>
            <w:vAlign w:val="center"/>
          </w:tcPr>
          <w:p>
            <w:pPr>
              <w:widowControl/>
              <w:jc w:val="center"/>
              <w:rPr>
                <w:rFonts w:ascii="宋体" w:hAnsi="宋体" w:eastAsia="宋体"/>
                <w:color w:val="000000" w:themeColor="text1"/>
                <w:kern w:val="0"/>
                <w:szCs w:val="21"/>
                <w14:textFill>
                  <w14:solidFill>
                    <w14:schemeClr w14:val="tx1"/>
                  </w14:solidFill>
                </w14:textFill>
              </w:rPr>
            </w:pPr>
          </w:p>
        </w:tc>
        <w:tc>
          <w:tcPr>
            <w:tcW w:w="2127" w:type="pct"/>
            <w:tcBorders>
              <w:bottom w:val="single" w:color="auto" w:sz="8"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其中：发明专利申请/授权数量</w:t>
            </w:r>
          </w:p>
        </w:tc>
        <w:tc>
          <w:tcPr>
            <w:tcW w:w="623" w:type="pct"/>
            <w:tcBorders>
              <w:bottom w:val="single" w:color="auto" w:sz="8"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项/项</w:t>
            </w:r>
          </w:p>
        </w:tc>
        <w:tc>
          <w:tcPr>
            <w:tcW w:w="860" w:type="pct"/>
            <w:tcBorders>
              <w:bottom w:val="single" w:color="auto" w:sz="8"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484</w:t>
            </w:r>
          </w:p>
        </w:tc>
        <w:tc>
          <w:tcPr>
            <w:tcW w:w="949" w:type="pct"/>
            <w:tcBorders>
              <w:bottom w:val="single" w:color="auto" w:sz="8"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2</w:t>
            </w:r>
            <w:r>
              <w:rPr>
                <w:rFonts w:ascii="宋体" w:hAnsi="宋体" w:eastAsia="宋体" w:cs="Times New Roman"/>
                <w:bCs/>
                <w:color w:val="000000" w:themeColor="text1"/>
                <w:szCs w:val="21"/>
                <w14:textFill>
                  <w14:solidFill>
                    <w14:schemeClr w14:val="tx1"/>
                  </w14:solidFill>
                </w14:textFill>
              </w:rPr>
              <w:t>022</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666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13" w:hRule="atLeast"/>
        </w:trPr>
        <w:tc>
          <w:tcPr>
            <w:tcW w:w="440" w:type="pct"/>
            <w:tcBorders>
              <w:bottom w:val="single" w:color="auto" w:sz="8" w:space="0"/>
            </w:tcBorders>
            <w:shd w:val="clear" w:color="000000" w:fill="DAEEF6"/>
            <w:vAlign w:val="center"/>
          </w:tcPr>
          <w:p>
            <w:pPr>
              <w:widowControl/>
              <w:jc w:val="center"/>
              <w:rPr>
                <w:rFonts w:ascii="宋体" w:hAnsi="宋体" w:eastAsia="宋体"/>
                <w:color w:val="000000" w:themeColor="text1"/>
                <w:kern w:val="0"/>
                <w:szCs w:val="21"/>
                <w14:textFill>
                  <w14:solidFill>
                    <w14:schemeClr w14:val="tx1"/>
                  </w14:solidFill>
                </w14:textFill>
              </w:rPr>
            </w:pPr>
            <w:r>
              <w:rPr>
                <w:rFonts w:ascii="宋体" w:hAnsi="宋体" w:eastAsia="宋体"/>
                <w:color w:val="000000" w:themeColor="text1"/>
                <w:kern w:val="0"/>
                <w:szCs w:val="21"/>
                <w14:textFill>
                  <w14:solidFill>
                    <w14:schemeClr w14:val="tx1"/>
                  </w14:solidFill>
                </w14:textFill>
              </w:rPr>
              <w:t>6</w:t>
            </w:r>
          </w:p>
        </w:tc>
        <w:tc>
          <w:tcPr>
            <w:tcW w:w="2127" w:type="pct"/>
            <w:tcBorders>
              <w:bottom w:val="single" w:color="auto" w:sz="8" w:space="0"/>
            </w:tcBorders>
            <w:shd w:val="clear" w:color="000000"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专利成果转化数量</w:t>
            </w:r>
          </w:p>
        </w:tc>
        <w:tc>
          <w:tcPr>
            <w:tcW w:w="623" w:type="pct"/>
            <w:tcBorders>
              <w:bottom w:val="single" w:color="auto" w:sz="8" w:space="0"/>
            </w:tcBorders>
            <w:shd w:val="clear" w:color="000000"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项</w:t>
            </w:r>
          </w:p>
        </w:tc>
        <w:tc>
          <w:tcPr>
            <w:tcW w:w="860" w:type="pct"/>
            <w:tcBorders>
              <w:bottom w:val="single" w:color="auto" w:sz="8" w:space="0"/>
            </w:tcBorders>
            <w:shd w:val="clear" w:color="000000"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w:t>
            </w:r>
          </w:p>
        </w:tc>
        <w:tc>
          <w:tcPr>
            <w:tcW w:w="949" w:type="pct"/>
            <w:tcBorders>
              <w:bottom w:val="single" w:color="auto" w:sz="8" w:space="0"/>
            </w:tcBorders>
            <w:shd w:val="clear" w:color="000000"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2</w:t>
            </w:r>
            <w:r>
              <w:rPr>
                <w:rFonts w:ascii="宋体" w:hAnsi="宋体" w:eastAsia="宋体" w:cs="Times New Roman"/>
                <w:bCs/>
                <w:color w:val="000000" w:themeColor="text1"/>
                <w:szCs w:val="21"/>
                <w14:textFill>
                  <w14:solidFill>
                    <w14:schemeClr w14:val="tx1"/>
                  </w14:solidFill>
                </w14:textFill>
              </w:rPr>
              <w:t>57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5" w:hRule="atLeast"/>
        </w:trPr>
        <w:tc>
          <w:tcPr>
            <w:tcW w:w="440" w:type="pct"/>
            <w:shd w:val="clear" w:color="auto" w:fill="auto"/>
            <w:vAlign w:val="center"/>
          </w:tcPr>
          <w:p>
            <w:pPr>
              <w:widowControl/>
              <w:jc w:val="center"/>
              <w:rPr>
                <w:rFonts w:ascii="宋体" w:hAnsi="宋体" w:eastAsia="宋体"/>
                <w:color w:val="000000" w:themeColor="text1"/>
                <w:kern w:val="0"/>
                <w:szCs w:val="21"/>
                <w14:textFill>
                  <w14:solidFill>
                    <w14:schemeClr w14:val="tx1"/>
                  </w14:solidFill>
                </w14:textFill>
              </w:rPr>
            </w:pPr>
            <w:r>
              <w:rPr>
                <w:rFonts w:ascii="宋体" w:hAnsi="宋体" w:eastAsia="宋体"/>
                <w:color w:val="000000" w:themeColor="text1"/>
                <w:kern w:val="0"/>
                <w:szCs w:val="21"/>
                <w14:textFill>
                  <w14:solidFill>
                    <w14:schemeClr w14:val="tx1"/>
                  </w14:solidFill>
                </w14:textFill>
              </w:rPr>
              <w:t>7</w:t>
            </w:r>
          </w:p>
        </w:tc>
        <w:tc>
          <w:tcPr>
            <w:tcW w:w="2127"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专利成果转化到款额</w:t>
            </w:r>
          </w:p>
        </w:tc>
        <w:tc>
          <w:tcPr>
            <w:tcW w:w="623"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万元</w:t>
            </w:r>
          </w:p>
        </w:tc>
        <w:tc>
          <w:tcPr>
            <w:tcW w:w="860"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w:t>
            </w:r>
          </w:p>
        </w:tc>
        <w:tc>
          <w:tcPr>
            <w:tcW w:w="949"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1</w:t>
            </w:r>
            <w:r>
              <w:rPr>
                <w:rFonts w:ascii="宋体" w:hAnsi="宋体" w:eastAsia="宋体" w:cs="Times New Roman"/>
                <w:bCs/>
                <w:color w:val="000000" w:themeColor="text1"/>
                <w:szCs w:val="21"/>
                <w14:textFill>
                  <w14:solidFill>
                    <w14:schemeClr w14:val="tx1"/>
                  </w14:solidFill>
                </w14:textFill>
              </w:rPr>
              <w:t>867.67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3" w:hRule="atLeast"/>
        </w:trPr>
        <w:tc>
          <w:tcPr>
            <w:tcW w:w="440" w:type="pct"/>
            <w:tcBorders>
              <w:bottom w:val="single" w:color="auto" w:sz="8" w:space="0"/>
            </w:tcBorders>
            <w:shd w:val="clear" w:color="auto" w:fill="DAEEF6"/>
            <w:vAlign w:val="center"/>
          </w:tcPr>
          <w:p>
            <w:pPr>
              <w:widowControl/>
              <w:jc w:val="center"/>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8</w:t>
            </w:r>
          </w:p>
        </w:tc>
        <w:tc>
          <w:tcPr>
            <w:tcW w:w="2127"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非学历培训项目数</w:t>
            </w:r>
          </w:p>
        </w:tc>
        <w:tc>
          <w:tcPr>
            <w:tcW w:w="623"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项</w:t>
            </w:r>
          </w:p>
        </w:tc>
        <w:tc>
          <w:tcPr>
            <w:tcW w:w="860"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w:t>
            </w:r>
          </w:p>
        </w:tc>
        <w:tc>
          <w:tcPr>
            <w:tcW w:w="949"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4</w:t>
            </w:r>
            <w:r>
              <w:rPr>
                <w:rFonts w:ascii="宋体" w:hAnsi="宋体" w:eastAsia="宋体" w:cs="Times New Roman"/>
                <w:bCs/>
                <w:color w:val="000000" w:themeColor="text1"/>
                <w:szCs w:val="21"/>
                <w14:textFill>
                  <w14:solidFill>
                    <w14:schemeClr w14:val="tx1"/>
                  </w14:solidFill>
                </w14:textFill>
              </w:rPr>
              <w:t>790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51" w:hRule="atLeast"/>
        </w:trPr>
        <w:tc>
          <w:tcPr>
            <w:tcW w:w="440" w:type="pct"/>
            <w:shd w:val="clear" w:color="auto" w:fill="auto"/>
            <w:vAlign w:val="center"/>
          </w:tcPr>
          <w:p>
            <w:pPr>
              <w:widowControl/>
              <w:jc w:val="center"/>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9</w:t>
            </w:r>
          </w:p>
        </w:tc>
        <w:tc>
          <w:tcPr>
            <w:tcW w:w="2127"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非学历培训</w:t>
            </w:r>
            <w:r>
              <w:rPr>
                <w:rFonts w:hint="eastAsia" w:ascii="宋体" w:hAnsi="宋体" w:eastAsia="宋体" w:cs="Times New Roman"/>
                <w:bCs/>
                <w:color w:val="000000" w:themeColor="text1"/>
                <w:szCs w:val="21"/>
                <w14:textFill>
                  <w14:solidFill>
                    <w14:schemeClr w14:val="tx1"/>
                  </w14:solidFill>
                </w14:textFill>
              </w:rPr>
              <w:t>时间</w:t>
            </w:r>
          </w:p>
        </w:tc>
        <w:tc>
          <w:tcPr>
            <w:tcW w:w="623"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学时</w:t>
            </w:r>
          </w:p>
        </w:tc>
        <w:tc>
          <w:tcPr>
            <w:tcW w:w="860"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9,491,440.5</w:t>
            </w:r>
          </w:p>
        </w:tc>
        <w:tc>
          <w:tcPr>
            <w:tcW w:w="949" w:type="pct"/>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3</w:t>
            </w:r>
            <w:r>
              <w:rPr>
                <w:rFonts w:ascii="宋体" w:hAnsi="宋体" w:eastAsia="宋体" w:cs="Times New Roman"/>
                <w:bCs/>
                <w:color w:val="000000" w:themeColor="text1"/>
                <w:szCs w:val="21"/>
                <w14:textFill>
                  <w14:solidFill>
                    <w14:schemeClr w14:val="tx1"/>
                  </w14:solidFill>
                </w14:textFill>
              </w:rPr>
              <w:t>7976982.5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3" w:hRule="atLeast"/>
        </w:trPr>
        <w:tc>
          <w:tcPr>
            <w:tcW w:w="440" w:type="pct"/>
            <w:tcBorders>
              <w:bottom w:val="single" w:color="auto" w:sz="8" w:space="0"/>
            </w:tcBorders>
            <w:shd w:val="clear" w:color="auto" w:fill="DAEEF6"/>
            <w:vAlign w:val="center"/>
          </w:tcPr>
          <w:p>
            <w:pPr>
              <w:widowControl/>
              <w:jc w:val="center"/>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10</w:t>
            </w:r>
          </w:p>
        </w:tc>
        <w:tc>
          <w:tcPr>
            <w:tcW w:w="2127"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非学历培训</w:t>
            </w:r>
            <w:r>
              <w:rPr>
                <w:rFonts w:hint="eastAsia" w:ascii="宋体" w:hAnsi="宋体" w:eastAsia="宋体" w:cs="Times New Roman"/>
                <w:bCs/>
                <w:color w:val="000000" w:themeColor="text1"/>
                <w:szCs w:val="21"/>
                <w14:textFill>
                  <w14:solidFill>
                    <w14:schemeClr w14:val="tx1"/>
                  </w14:solidFill>
                </w14:textFill>
              </w:rPr>
              <w:t>到账经费</w:t>
            </w:r>
          </w:p>
        </w:tc>
        <w:tc>
          <w:tcPr>
            <w:tcW w:w="623"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万元</w:t>
            </w:r>
          </w:p>
        </w:tc>
        <w:tc>
          <w:tcPr>
            <w:tcW w:w="860"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98152.13</w:t>
            </w:r>
          </w:p>
        </w:tc>
        <w:tc>
          <w:tcPr>
            <w:tcW w:w="949" w:type="pct"/>
            <w:tcBorders>
              <w:bottom w:val="single" w:color="auto" w:sz="8" w:space="0"/>
            </w:tcBorders>
            <w:shd w:val="clear" w:color="auto" w:fill="DAEEF6"/>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8</w:t>
            </w:r>
            <w:r>
              <w:rPr>
                <w:rFonts w:ascii="宋体" w:hAnsi="宋体" w:eastAsia="宋体" w:cs="Times New Roman"/>
                <w:bCs/>
                <w:color w:val="000000" w:themeColor="text1"/>
                <w:szCs w:val="21"/>
                <w14:textFill>
                  <w14:solidFill>
                    <w14:schemeClr w14:val="tx1"/>
                  </w14:solidFill>
                </w14:textFill>
              </w:rPr>
              <w:t>7580.75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3" w:hRule="atLeast"/>
        </w:trPr>
        <w:tc>
          <w:tcPr>
            <w:tcW w:w="440" w:type="pct"/>
            <w:tcBorders>
              <w:bottom w:val="single" w:color="auto" w:sz="12" w:space="0"/>
            </w:tcBorders>
            <w:shd w:val="clear" w:color="auto" w:fill="auto"/>
            <w:vAlign w:val="center"/>
          </w:tcPr>
          <w:p>
            <w:pPr>
              <w:widowControl/>
              <w:jc w:val="center"/>
              <w:rPr>
                <w:rFonts w:ascii="宋体" w:hAnsi="宋体" w:eastAsia="宋体"/>
                <w:color w:val="000000" w:themeColor="text1"/>
                <w:kern w:val="0"/>
                <w:szCs w:val="21"/>
                <w14:textFill>
                  <w14:solidFill>
                    <w14:schemeClr w14:val="tx1"/>
                  </w14:solidFill>
                </w14:textFill>
              </w:rPr>
            </w:pPr>
            <w:r>
              <w:rPr>
                <w:rFonts w:ascii="宋体" w:hAnsi="宋体" w:eastAsia="宋体"/>
                <w:color w:val="000000" w:themeColor="text1"/>
                <w:kern w:val="0"/>
                <w:szCs w:val="21"/>
                <w14:textFill>
                  <w14:solidFill>
                    <w14:schemeClr w14:val="tx1"/>
                  </w14:solidFill>
                </w14:textFill>
              </w:rPr>
              <w:t>1</w:t>
            </w:r>
            <w:r>
              <w:rPr>
                <w:rFonts w:hint="eastAsia" w:ascii="宋体" w:hAnsi="宋体" w:eastAsia="宋体"/>
                <w:color w:val="000000" w:themeColor="text1"/>
                <w:kern w:val="0"/>
                <w:szCs w:val="21"/>
                <w14:textFill>
                  <w14:solidFill>
                    <w14:schemeClr w14:val="tx1"/>
                  </w14:solidFill>
                </w14:textFill>
              </w:rPr>
              <w:t>1</w:t>
            </w:r>
          </w:p>
        </w:tc>
        <w:tc>
          <w:tcPr>
            <w:tcW w:w="2127" w:type="pct"/>
            <w:tcBorders>
              <w:bottom w:val="single" w:color="auto" w:sz="12"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公益性培训服务</w:t>
            </w:r>
          </w:p>
        </w:tc>
        <w:tc>
          <w:tcPr>
            <w:tcW w:w="623" w:type="pct"/>
            <w:tcBorders>
              <w:bottom w:val="single" w:color="auto" w:sz="12"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学时</w:t>
            </w:r>
          </w:p>
        </w:tc>
        <w:tc>
          <w:tcPr>
            <w:tcW w:w="860" w:type="pct"/>
            <w:tcBorders>
              <w:bottom w:val="single" w:color="auto" w:sz="12"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w:t>
            </w:r>
          </w:p>
        </w:tc>
        <w:tc>
          <w:tcPr>
            <w:tcW w:w="949" w:type="pct"/>
            <w:tcBorders>
              <w:bottom w:val="single" w:color="auto" w:sz="12" w:space="0"/>
            </w:tcBorders>
            <w:shd w:val="clear" w:color="auto" w:fill="auto"/>
            <w:vAlign w:val="center"/>
          </w:tcPr>
          <w:p>
            <w:pPr>
              <w:jc w:val="center"/>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4</w:t>
            </w:r>
            <w:r>
              <w:rPr>
                <w:rFonts w:ascii="宋体" w:hAnsi="宋体" w:eastAsia="宋体" w:cs="Times New Roman"/>
                <w:bCs/>
                <w:color w:val="000000" w:themeColor="text1"/>
                <w:szCs w:val="21"/>
                <w14:textFill>
                  <w14:solidFill>
                    <w14:schemeClr w14:val="tx1"/>
                  </w14:solidFill>
                </w14:textFill>
              </w:rPr>
              <w:t>374588</w:t>
            </w:r>
          </w:p>
        </w:tc>
      </w:tr>
      <w:bookmarkEnd w:id="552"/>
      <w:bookmarkEnd w:id="553"/>
      <w:bookmarkEnd w:id="554"/>
      <w:bookmarkEnd w:id="555"/>
      <w:bookmarkEnd w:id="556"/>
      <w:bookmarkEnd w:id="557"/>
      <w:bookmarkEnd w:id="558"/>
      <w:bookmarkEnd w:id="559"/>
      <w:bookmarkEnd w:id="560"/>
      <w:bookmarkEnd w:id="561"/>
    </w:tbl>
    <w:p>
      <w:pPr>
        <w:pStyle w:val="4"/>
        <w:spacing w:before="62" w:beforeLines="20" w:after="0"/>
        <w:jc w:val="both"/>
        <w:rPr>
          <w:rFonts w:ascii="宋体" w:hAnsi="宋体" w:eastAsia="宋体"/>
          <w:b/>
          <w:bCs/>
          <w:color w:val="000000" w:themeColor="text1"/>
          <w:sz w:val="28"/>
          <w:szCs w:val="28"/>
          <w14:textFill>
            <w14:solidFill>
              <w14:schemeClr w14:val="tx1"/>
            </w14:solidFill>
          </w14:textFill>
        </w:rPr>
      </w:pPr>
      <w:r>
        <w:rPr>
          <w:rFonts w:ascii="宋体" w:hAnsi="宋体" w:eastAsia="宋体"/>
          <w:b/>
          <w:bCs/>
          <w:color w:val="000000" w:themeColor="text1"/>
          <w:sz w:val="21"/>
          <w:szCs w:val="21"/>
          <w14:textFill>
            <w14:solidFill>
              <w14:schemeClr w14:val="tx1"/>
            </w14:solidFill>
          </w14:textFill>
        </w:rPr>
        <w:t>数据来源：</w:t>
      </w:r>
      <w:r>
        <w:rPr>
          <w:rFonts w:ascii="宋体" w:hAnsi="宋体" w:eastAsia="宋体"/>
          <w:color w:val="000000" w:themeColor="text1"/>
          <w:sz w:val="21"/>
          <w:szCs w:val="21"/>
          <w14:textFill>
            <w14:solidFill>
              <w14:schemeClr w14:val="tx1"/>
            </w14:solidFill>
          </w14:textFill>
        </w:rPr>
        <w:t>20</w:t>
      </w:r>
      <w:r>
        <w:rPr>
          <w:rFonts w:hint="eastAsia" w:ascii="宋体" w:hAnsi="宋体" w:eastAsia="宋体"/>
          <w:color w:val="000000" w:themeColor="text1"/>
          <w:sz w:val="21"/>
          <w:szCs w:val="21"/>
          <w14:textFill>
            <w14:solidFill>
              <w14:schemeClr w14:val="tx1"/>
            </w14:solidFill>
          </w14:textFill>
        </w:rPr>
        <w:t>20</w:t>
      </w:r>
      <w:r>
        <w:rPr>
          <w:rFonts w:ascii="宋体" w:hAnsi="宋体" w:eastAsia="宋体"/>
          <w:color w:val="000000" w:themeColor="text1"/>
          <w:sz w:val="21"/>
          <w:szCs w:val="21"/>
          <w14:textFill>
            <w14:solidFill>
              <w14:schemeClr w14:val="tx1"/>
            </w14:solidFill>
          </w14:textFill>
        </w:rPr>
        <w:t>年度根据74所院校填报数据计算所得；202</w:t>
      </w:r>
      <w:r>
        <w:rPr>
          <w:rFonts w:hint="eastAsia" w:ascii="宋体" w:hAnsi="宋体" w:eastAsia="宋体"/>
          <w:color w:val="000000" w:themeColor="text1"/>
          <w:sz w:val="21"/>
          <w:szCs w:val="21"/>
          <w14:textFill>
            <w14:solidFill>
              <w14:schemeClr w14:val="tx1"/>
            </w14:solidFill>
          </w14:textFill>
        </w:rPr>
        <w:t>1</w:t>
      </w:r>
      <w:r>
        <w:rPr>
          <w:rFonts w:ascii="宋体" w:hAnsi="宋体" w:eastAsia="宋体"/>
          <w:color w:val="000000" w:themeColor="text1"/>
          <w:sz w:val="21"/>
          <w:szCs w:val="21"/>
          <w14:textFill>
            <w14:solidFill>
              <w14:schemeClr w14:val="tx1"/>
            </w14:solidFill>
          </w14:textFill>
        </w:rPr>
        <w:t>年度根据</w:t>
      </w:r>
      <w:r>
        <w:rPr>
          <w:rFonts w:hint="eastAsia" w:ascii="宋体" w:hAnsi="宋体" w:eastAsia="宋体"/>
          <w:color w:val="000000" w:themeColor="text1"/>
          <w:sz w:val="21"/>
          <w:szCs w:val="21"/>
          <w14:textFill>
            <w14:solidFill>
              <w14:schemeClr w14:val="tx1"/>
            </w14:solidFill>
          </w14:textFill>
        </w:rPr>
        <w:t>83</w:t>
      </w:r>
      <w:r>
        <w:rPr>
          <w:rFonts w:ascii="宋体" w:hAnsi="宋体" w:eastAsia="宋体"/>
          <w:color w:val="000000" w:themeColor="text1"/>
          <w:sz w:val="21"/>
          <w:szCs w:val="21"/>
          <w14:textFill>
            <w14:solidFill>
              <w14:schemeClr w14:val="tx1"/>
            </w14:solidFill>
          </w14:textFill>
        </w:rPr>
        <w:t>所院校填报数据计算所得。</w:t>
      </w:r>
    </w:p>
    <w:p>
      <w:pPr>
        <w:spacing w:line="520" w:lineRule="exact"/>
        <w:ind w:firstLine="567"/>
        <w:outlineLvl w:val="1"/>
        <w:rPr>
          <w:rFonts w:ascii="楷体_GB2312" w:hAnsi="楷体_GB2312" w:eastAsia="楷体_GB2312" w:cs="楷体_GB2312"/>
          <w:bCs/>
          <w:color w:val="000000" w:themeColor="text1"/>
          <w:sz w:val="28"/>
          <w:szCs w:val="28"/>
          <w14:textFill>
            <w14:solidFill>
              <w14:schemeClr w14:val="tx1"/>
            </w14:solidFill>
          </w14:textFill>
        </w:rPr>
      </w:pPr>
      <w:bookmarkStart w:id="562" w:name="_Toc94172388"/>
      <w:bookmarkStart w:id="563" w:name="_Toc94183489"/>
      <w:bookmarkStart w:id="564" w:name="_Toc94172247"/>
      <w:r>
        <w:rPr>
          <w:rFonts w:hint="eastAsia" w:ascii="楷体_GB2312" w:hAnsi="楷体_GB2312" w:eastAsia="楷体_GB2312" w:cs="楷体_GB2312"/>
          <w:bCs/>
          <w:color w:val="000000" w:themeColor="text1"/>
          <w:sz w:val="28"/>
          <w:szCs w:val="28"/>
          <w14:textFill>
            <w14:solidFill>
              <w14:schemeClr w14:val="tx1"/>
            </w14:solidFill>
          </w14:textFill>
        </w:rPr>
        <w:t>5.1  人才输送</w:t>
      </w:r>
      <w:bookmarkEnd w:id="562"/>
      <w:bookmarkEnd w:id="563"/>
      <w:bookmarkEnd w:id="564"/>
    </w:p>
    <w:p>
      <w:pPr>
        <w:spacing w:line="520" w:lineRule="exact"/>
        <w:ind w:firstLine="567"/>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5.1.1  服务区域经济发展</w:t>
      </w:r>
    </w:p>
    <w:p>
      <w:pPr>
        <w:spacing w:line="520" w:lineRule="exact"/>
        <w:ind w:firstLine="567"/>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随着部省共建山东职业教育创新发展高地和提质培优行动的持续深入推进，山东高职院校不断深化人才供给侧改革，为区域经济社会发展输送了</w:t>
      </w:r>
      <w:r>
        <w:rPr>
          <w:rFonts w:hint="eastAsia" w:ascii="仿宋_GB2312" w:hAnsi="仿宋_GB2312" w:eastAsia="仿宋_GB2312" w:cs="仿宋_GB2312"/>
          <w:bCs/>
          <w:color w:val="000000" w:themeColor="text1"/>
          <w:sz w:val="28"/>
          <w:szCs w:val="28"/>
          <w14:textFill>
            <w14:solidFill>
              <w14:schemeClr w14:val="tx1"/>
            </w14:solidFill>
          </w14:textFill>
        </w:rPr>
        <w:t>大量高素质技术技能人才，培养了一批能工巧匠和大国工匠。</w:t>
      </w:r>
    </w:p>
    <w:p>
      <w:pPr>
        <w:pStyle w:val="10"/>
        <w:spacing w:line="520" w:lineRule="exact"/>
        <w:ind w:left="0" w:leftChars="0" w:firstLine="560" w:firstLineChars="200"/>
        <w:jc w:val="left"/>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全省83所高职院校毕业生总人数比上年增加了5000余人，就业人数增加了1.2万人，毕业生就业率达95.3%，比2020年增长了2.6个百分点。就业毕业生中超过60%中选择留在当地就业，总人数增加了约2.8万人，为区域经济社会发展提供了强有力的技术技能人才支撑。60%的毕业生到规模以下企业等基层就业，同时向到西部地区和东北地区输送了5142人，并向500强企业输送了19493人，如图5-1所示。</w:t>
      </w:r>
    </w:p>
    <w:p>
      <w:pPr>
        <w:pStyle w:val="10"/>
        <w:spacing w:line="240" w:lineRule="auto"/>
        <w:ind w:left="0" w:leftChars="0"/>
        <w:jc w:val="center"/>
        <w:rPr>
          <w:rFonts w:ascii="仿宋_GB2312" w:hAnsi="仿宋_GB2312" w:eastAsia="仿宋_GB2312" w:cs="仿宋_GB2312"/>
          <w:bCs/>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5525770" cy="199644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27197" cy="1996820"/>
                    </a:xfrm>
                    <a:prstGeom prst="rect">
                      <a:avLst/>
                    </a:prstGeom>
                    <a:noFill/>
                    <a:ln>
                      <a:noFill/>
                    </a:ln>
                  </pic:spPr>
                </pic:pic>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565" w:name="_Toc91605048"/>
      <w:bookmarkStart w:id="566" w:name="_Toc94172248"/>
      <w:bookmarkStart w:id="567" w:name="_Toc94183490"/>
      <w:bookmarkStart w:id="568" w:name="_Toc94172389"/>
      <w:r>
        <w:rPr>
          <w:rFonts w:hint="eastAsia" w:ascii="宋体" w:hAnsi="宋体" w:eastAsia="宋体"/>
          <w:b/>
          <w:bCs/>
          <w:color w:val="000000" w:themeColor="text1"/>
          <w:sz w:val="24"/>
          <w:szCs w:val="24"/>
          <w14:textFill>
            <w14:solidFill>
              <w14:schemeClr w14:val="tx1"/>
            </w14:solidFill>
          </w14:textFill>
        </w:rPr>
        <w:t>图5-1  2019-2020年高职院校毕业生就业去向</w:t>
      </w:r>
      <w:bookmarkEnd w:id="565"/>
      <w:bookmarkEnd w:id="566"/>
      <w:bookmarkEnd w:id="567"/>
      <w:bookmarkEnd w:id="568"/>
    </w:p>
    <w:p>
      <w:pPr>
        <w:rPr>
          <w:rFonts w:ascii="宋体" w:hAnsi="宋体" w:eastAsia="宋体"/>
        </w:rPr>
      </w:pPr>
      <w:r>
        <w:rPr>
          <w:rFonts w:hint="eastAsia" w:ascii="宋体" w:hAnsi="宋体" w:eastAsia="宋体"/>
          <w:b/>
          <w:bCs/>
        </w:rPr>
        <w:t>数据来源：</w:t>
      </w:r>
      <w:r>
        <w:rPr>
          <w:rFonts w:ascii="宋体" w:hAnsi="宋体" w:eastAsia="宋体"/>
        </w:rPr>
        <w:t>2020年74所、2021年83所山东高职院校“高等职业教育质量年度报告”填报数据。</w:t>
      </w:r>
    </w:p>
    <w:p>
      <w:pPr>
        <w:spacing w:line="520" w:lineRule="exact"/>
        <w:ind w:firstLine="567"/>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5.1.2  完成高职扩招任务</w:t>
      </w:r>
    </w:p>
    <w:p>
      <w:pPr>
        <w:spacing w:line="520" w:lineRule="exact"/>
        <w:ind w:firstLine="567"/>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山东省教育厅部署高质量开展2021年高职扩招工作，各高职院校落实扩招任务，聚焦“八大发展战略”“九项改革攻坚任务”和“十强产业集群”建设需求，面向符合条件、有学历和技术技能提升需求的退役军人、下岗失业人员、农民工、农民和职业经理人、企业在岗职工、村两委班子成员、城乡社区医生及基层干部、乡村幼儿教师、建筑工人、基层农技人员等进行扩招，为更多劳动者的成长成才和实现人生价值搭建平台，为经济社会发展培养输送更多急需的各类技术技能人才。全省扩招录取3</w:t>
      </w:r>
      <w:r>
        <w:rPr>
          <w:rFonts w:ascii="仿宋_GB2312" w:hAnsi="仿宋_GB2312" w:eastAsia="仿宋_GB2312" w:cs="仿宋_GB2312"/>
          <w:color w:val="000000" w:themeColor="text1"/>
          <w:sz w:val="28"/>
          <w:szCs w:val="28"/>
          <w14:textFill>
            <w14:solidFill>
              <w14:schemeClr w14:val="tx1"/>
            </w14:solidFill>
          </w14:textFill>
        </w:rPr>
        <w:t>46</w:t>
      </w:r>
      <w:r>
        <w:rPr>
          <w:rFonts w:hint="eastAsia" w:ascii="仿宋_GB2312" w:hAnsi="仿宋_GB2312" w:eastAsia="仿宋_GB2312" w:cs="仿宋_GB2312"/>
          <w:color w:val="000000" w:themeColor="text1"/>
          <w:sz w:val="28"/>
          <w:szCs w:val="28"/>
          <w14:textFill>
            <w14:solidFill>
              <w14:schemeClr w14:val="tx1"/>
            </w14:solidFill>
          </w14:textFill>
        </w:rPr>
        <w:t>07万人，其中，退役军人</w:t>
      </w:r>
      <w:r>
        <w:rPr>
          <w:rFonts w:ascii="仿宋_GB2312" w:hAnsi="仿宋_GB2312" w:eastAsia="仿宋_GB2312" w:cs="仿宋_GB2312"/>
          <w:color w:val="000000" w:themeColor="text1"/>
          <w:sz w:val="28"/>
          <w:szCs w:val="28"/>
          <w14:textFill>
            <w14:solidFill>
              <w14:schemeClr w14:val="tx1"/>
            </w14:solidFill>
          </w14:textFill>
        </w:rPr>
        <w:t>96</w:t>
      </w:r>
      <w:r>
        <w:rPr>
          <w:rFonts w:hint="eastAsia" w:ascii="仿宋_GB2312" w:hAnsi="仿宋_GB2312" w:eastAsia="仿宋_GB2312" w:cs="仿宋_GB2312"/>
          <w:color w:val="000000" w:themeColor="text1"/>
          <w:sz w:val="28"/>
          <w:szCs w:val="28"/>
          <w14:textFill>
            <w14:solidFill>
              <w14:schemeClr w14:val="tx1"/>
            </w14:solidFill>
          </w14:textFill>
        </w:rPr>
        <w:t>25人，企业在岗员工</w:t>
      </w:r>
      <w:r>
        <w:rPr>
          <w:rFonts w:ascii="仿宋_GB2312" w:hAnsi="仿宋_GB2312" w:eastAsia="仿宋_GB2312" w:cs="仿宋_GB2312"/>
          <w:color w:val="000000" w:themeColor="text1"/>
          <w:sz w:val="28"/>
          <w:szCs w:val="28"/>
          <w14:textFill>
            <w14:solidFill>
              <w14:schemeClr w14:val="tx1"/>
            </w14:solidFill>
          </w14:textFill>
        </w:rPr>
        <w:t>5084人，农民工、基层农技人员等2678人</w:t>
      </w:r>
      <w:r>
        <w:rPr>
          <w:rFonts w:hint="eastAsia" w:ascii="仿宋_GB2312" w:hAnsi="仿宋_GB2312" w:eastAsia="仿宋_GB2312" w:cs="仿宋_GB2312"/>
          <w:color w:val="000000" w:themeColor="text1"/>
          <w:sz w:val="28"/>
          <w:szCs w:val="28"/>
          <w14:textFill>
            <w14:solidFill>
              <w14:schemeClr w14:val="tx1"/>
            </w14:solidFill>
          </w14:textFill>
        </w:rPr>
        <w:t>。</w:t>
      </w:r>
    </w:p>
    <w:p>
      <w:pPr>
        <w:pStyle w:val="10"/>
        <w:spacing w:after="0" w:line="520" w:lineRule="exact"/>
        <w:ind w:left="0" w:leftChars="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各学校</w:t>
      </w:r>
      <w:r>
        <w:rPr>
          <w:rFonts w:ascii="仿宋_GB2312" w:hAnsi="仿宋_GB2312" w:eastAsia="仿宋_GB2312" w:cs="仿宋_GB2312"/>
          <w:color w:val="000000" w:themeColor="text1"/>
          <w:sz w:val="28"/>
          <w:szCs w:val="28"/>
          <w14:textFill>
            <w14:solidFill>
              <w14:schemeClr w14:val="tx1"/>
            </w14:solidFill>
          </w14:textFill>
        </w:rPr>
        <w:t>根据《山东省教育厅关于进一步做好高职院校扩招和学生培养管理的通知》要求，制定B类（退役军人类）和C类（技术技能类）学生的人才培养方案，保证每学年集中学习时间不少于400学时</w:t>
      </w:r>
      <w:r>
        <w:rPr>
          <w:rFonts w:hint="eastAsia" w:ascii="仿宋_GB2312" w:hAnsi="仿宋_GB2312" w:eastAsia="仿宋_GB2312" w:cs="仿宋_GB2312"/>
          <w:color w:val="000000" w:themeColor="text1"/>
          <w:sz w:val="28"/>
          <w:szCs w:val="28"/>
          <w14:textFill>
            <w14:solidFill>
              <w14:schemeClr w14:val="tx1"/>
            </w14:solidFill>
          </w14:textFill>
        </w:rPr>
        <w:t>。出台扩招学生培养及教学管理办法，探索集中学习时段教学模式改革，严格培养过程，坚持“宽进严出”，严格考勤管理和考核管理，确保教育教学质量。</w:t>
      </w:r>
    </w:p>
    <w:p>
      <w:pPr>
        <w:spacing w:line="520" w:lineRule="exact"/>
        <w:ind w:firstLine="567"/>
        <w:outlineLvl w:val="1"/>
        <w:rPr>
          <w:rFonts w:ascii="楷体_GB2312" w:hAnsi="楷体_GB2312" w:eastAsia="楷体_GB2312" w:cs="楷体_GB2312"/>
          <w:bCs/>
          <w:color w:val="000000" w:themeColor="text1"/>
          <w:sz w:val="28"/>
          <w:szCs w:val="28"/>
          <w14:textFill>
            <w14:solidFill>
              <w14:schemeClr w14:val="tx1"/>
            </w14:solidFill>
          </w14:textFill>
        </w:rPr>
      </w:pPr>
      <w:bookmarkStart w:id="569" w:name="_Toc94172249"/>
      <w:bookmarkStart w:id="570" w:name="_Toc94183491"/>
      <w:bookmarkStart w:id="571" w:name="_Toc94172390"/>
      <w:r>
        <w:rPr>
          <w:rFonts w:hint="eastAsia" w:ascii="楷体_GB2312" w:hAnsi="楷体_GB2312" w:eastAsia="楷体_GB2312" w:cs="楷体_GB2312"/>
          <w:bCs/>
          <w:color w:val="000000" w:themeColor="text1"/>
          <w:sz w:val="28"/>
          <w:szCs w:val="28"/>
          <w14:textFill>
            <w14:solidFill>
              <w14:schemeClr w14:val="tx1"/>
            </w14:solidFill>
          </w14:textFill>
        </w:rPr>
        <w:t>5.2  科技服务</w:t>
      </w:r>
      <w:bookmarkEnd w:id="569"/>
      <w:bookmarkEnd w:id="570"/>
      <w:bookmarkEnd w:id="571"/>
    </w:p>
    <w:p>
      <w:pPr>
        <w:spacing w:line="520" w:lineRule="exact"/>
        <w:ind w:firstLine="567"/>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5.2.1  完善体制机制</w:t>
      </w:r>
    </w:p>
    <w:p>
      <w:pPr>
        <w:spacing w:line="520" w:lineRule="exact"/>
        <w:ind w:firstLine="567"/>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color w:val="000000" w:themeColor="text1"/>
          <w:sz w:val="28"/>
          <w:szCs w:val="28"/>
          <w14:textFill>
            <w14:solidFill>
              <w14:schemeClr w14:val="tx1"/>
            </w14:solidFill>
          </w14:textFill>
        </w:rPr>
        <w:t>《山东省“十四五”教育事业发展规划》明确提出，加快完善高校科技创新体系，深化高校科研放管服改革。全省高职院校以开展清理“唯论文、唯帽子、唯职称、唯学历、唯奖项”专项行动为抓手，以技术创新为科研工作主线，加快科技研发体制机制创新和完善，深入推进科技创新，为高职院校教师和科研人员开展科技服务注入新动能。滨州职业学院出台《推进科技成果转移转化实施办法》，强化对科研工作人员股权激励，对成果完成团队按不少于70%、不超过95%的比例确定股权。突出科研工作和社会服务评价权重，提高横向课题（技术服务、成果转化）和科研平台的赋分比例，提升广大教师与企业开展横向合作积极性。</w:t>
      </w:r>
    </w:p>
    <w:p>
      <w:pPr>
        <w:spacing w:line="520" w:lineRule="exact"/>
        <w:ind w:firstLine="567"/>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5.2.2  打造创新平台</w:t>
      </w:r>
    </w:p>
    <w:p>
      <w:pPr>
        <w:spacing w:line="520" w:lineRule="exact"/>
        <w:ind w:firstLine="567"/>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 w:eastAsia="仿宋_GB2312" w:cs="仿宋"/>
          <w:color w:val="000000" w:themeColor="text1"/>
          <w:sz w:val="28"/>
          <w:szCs w:val="28"/>
          <w14:textFill>
            <w14:solidFill>
              <w14:schemeClr w14:val="tx1"/>
            </w14:solidFill>
          </w14:textFill>
        </w:rPr>
        <w:t>各高职院校面向区域经济和社会发展需要，与产业链龙头企业、高端科研院所等开展产学研深度合作，</w:t>
      </w:r>
      <w:r>
        <w:rPr>
          <w:rFonts w:hint="eastAsia" w:ascii="仿宋_GB2312" w:hAnsi="仿宋_GB2312" w:eastAsia="仿宋_GB2312" w:cs="仿宋_GB2312"/>
          <w:color w:val="000000" w:themeColor="text1"/>
          <w:sz w:val="28"/>
          <w:szCs w:val="28"/>
          <w14:textFill>
            <w14:solidFill>
              <w14:schemeClr w14:val="tx1"/>
            </w14:solidFill>
          </w14:textFill>
        </w:rPr>
        <w:t>将政府、学校、行业、企业、社会等优质资源整合，共建技术技能创新积累和成果转化平台、专业化技术转移机构和大学科技园、科技企业孵化器、众创空间，</w:t>
      </w:r>
      <w:r>
        <w:rPr>
          <w:rFonts w:hint="eastAsia" w:ascii="仿宋_GB2312" w:hAnsi="仿宋" w:eastAsia="仿宋_GB2312" w:cs="仿宋"/>
          <w:color w:val="000000" w:themeColor="text1"/>
          <w:sz w:val="28"/>
          <w:szCs w:val="28"/>
          <w14:textFill>
            <w14:solidFill>
              <w14:schemeClr w14:val="tx1"/>
            </w14:solidFill>
          </w14:textFill>
        </w:rPr>
        <w:t>协同开展产业技术攻关，</w:t>
      </w:r>
      <w:r>
        <w:rPr>
          <w:rFonts w:hint="eastAsia" w:ascii="仿宋_GB2312" w:hAnsi="仿宋_GB2312" w:eastAsia="仿宋_GB2312" w:cs="仿宋_GB2312"/>
          <w:color w:val="000000" w:themeColor="text1"/>
          <w:sz w:val="28"/>
          <w:szCs w:val="28"/>
          <w14:textFill>
            <w14:solidFill>
              <w14:schemeClr w14:val="tx1"/>
            </w14:solidFill>
          </w14:textFill>
        </w:rPr>
        <w:t>加大科技成果转化力度，</w:t>
      </w:r>
      <w:r>
        <w:rPr>
          <w:rFonts w:hint="eastAsia" w:ascii="仿宋_GB2312" w:hAnsi="仿宋" w:eastAsia="仿宋_GB2312" w:cs="仿宋"/>
          <w:color w:val="000000" w:themeColor="text1"/>
          <w:sz w:val="28"/>
          <w:szCs w:val="28"/>
          <w14:textFill>
            <w14:solidFill>
              <w14:schemeClr w14:val="tx1"/>
            </w14:solidFill>
          </w14:textFill>
        </w:rPr>
        <w:t>加速形成产业技术创新策源地，</w:t>
      </w:r>
      <w:r>
        <w:rPr>
          <w:rFonts w:hint="eastAsia" w:ascii="仿宋_GB2312" w:hAnsi="仿宋_GB2312" w:eastAsia="仿宋_GB2312" w:cs="仿宋_GB2312"/>
          <w:color w:val="000000" w:themeColor="text1"/>
          <w:sz w:val="28"/>
          <w:szCs w:val="28"/>
          <w14:textFill>
            <w14:solidFill>
              <w14:schemeClr w14:val="tx1"/>
            </w14:solidFill>
          </w14:textFill>
        </w:rPr>
        <w:t>服务地方中小微企业技术升级和产品研发，科技成果整体呈现快速增长的态势。</w:t>
      </w:r>
    </w:p>
    <w:p>
      <w:pPr>
        <w:spacing w:line="520" w:lineRule="exact"/>
        <w:ind w:firstLine="567"/>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全省高职院校</w:t>
      </w:r>
      <w:r>
        <w:rPr>
          <w:rFonts w:hint="eastAsia" w:ascii="仿宋_GB2312" w:hAnsi="Times New Roman" w:eastAsia="仿宋_GB2312"/>
          <w:color w:val="000000" w:themeColor="text1"/>
          <w:sz w:val="28"/>
          <w:szCs w:val="28"/>
          <w:lang w:bidi="zh-CN"/>
          <w14:textFill>
            <w14:solidFill>
              <w14:schemeClr w14:val="tx1"/>
            </w14:solidFill>
          </w14:textFill>
        </w:rPr>
        <w:t>校获批省社科规划研究项目36项。</w:t>
      </w:r>
      <w:r>
        <w:rPr>
          <w:rFonts w:hint="eastAsia" w:ascii="仿宋_GB2312" w:hAnsi="仿宋_GB2312" w:eastAsia="仿宋_GB2312" w:cs="仿宋_GB2312"/>
          <w:color w:val="000000" w:themeColor="text1"/>
          <w:sz w:val="28"/>
          <w:szCs w:val="28"/>
          <w14:textFill>
            <w14:solidFill>
              <w14:schemeClr w14:val="tx1"/>
            </w14:solidFill>
          </w14:textFill>
        </w:rPr>
        <w:t>发明专利授权数量达到866项，增长了78.93%。有9所院校的专利授权数量超过100项，其中山东理工职业学院全年申请专利512项，专利授权236项，其中发明专利98项。高职院校共完成专利成果转化257项，专利成果转化到款额1867.67万元，有3所院校专利成果转化到款额超百万元。高职院校纵向科研经费到款总额12521万元，其中，有2所院校达2000万左右，但是，也有31所院校纵向科研经费到款额不足10万元，全省高职院校的科技成果创新与转化能力出现较明显的两极分化现象，头部效应比较显著。山东省高职院校近5年技术到款额如图5-2所示,从高职院校近五年的技术服务到款总额来看，总体呈现上升趋势，2018-2019年上升趋势显著。</w:t>
      </w:r>
    </w:p>
    <w:p>
      <w:pPr>
        <w:spacing w:line="520" w:lineRule="exact"/>
        <w:ind w:firstLine="567"/>
        <w:rPr>
          <w:rFonts w:ascii="仿宋_GB2312" w:hAnsi="仿宋_GB2312" w:eastAsia="仿宋_GB2312" w:cs="仿宋_GB2312"/>
          <w:color w:val="000000" w:themeColor="text1"/>
          <w:sz w:val="28"/>
          <w:szCs w:val="28"/>
          <w14:textFill>
            <w14:solidFill>
              <w14:schemeClr w14:val="tx1"/>
            </w14:solidFill>
          </w14:textFill>
        </w:rPr>
      </w:pPr>
    </w:p>
    <w:p>
      <w:pPr>
        <w:pStyle w:val="10"/>
        <w:ind w:left="0" w:leftChars="0"/>
        <w:jc w:val="center"/>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drawing>
          <wp:inline distT="0" distB="0" distL="0" distR="0">
            <wp:extent cx="5410200" cy="254508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46561" cy="2562185"/>
                    </a:xfrm>
                    <a:prstGeom prst="rect">
                      <a:avLst/>
                    </a:prstGeom>
                    <a:noFill/>
                    <a:ln>
                      <a:noFill/>
                    </a:ln>
                  </pic:spPr>
                </pic:pic>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572" w:name="_Toc94172250"/>
      <w:bookmarkStart w:id="573" w:name="_Toc91605050"/>
      <w:bookmarkStart w:id="574" w:name="_Toc94183492"/>
      <w:bookmarkStart w:id="575" w:name="_Toc94172391"/>
      <w:r>
        <w:rPr>
          <w:rFonts w:hint="eastAsia" w:ascii="宋体" w:hAnsi="宋体" w:eastAsia="宋体"/>
          <w:b/>
          <w:bCs/>
          <w:color w:val="000000" w:themeColor="text1"/>
          <w:sz w:val="24"/>
          <w:szCs w:val="24"/>
          <w14:textFill>
            <w14:solidFill>
              <w14:schemeClr w14:val="tx1"/>
            </w14:solidFill>
          </w14:textFill>
        </w:rPr>
        <w:t>图5-2  近五年技术服务到款额情况</w:t>
      </w:r>
      <w:bookmarkEnd w:id="572"/>
      <w:bookmarkEnd w:id="573"/>
      <w:bookmarkEnd w:id="574"/>
      <w:bookmarkEnd w:id="575"/>
    </w:p>
    <w:p>
      <w:pPr>
        <w:rPr>
          <w:rFonts w:ascii="宋体" w:hAnsi="宋体" w:eastAsia="宋体"/>
        </w:rPr>
      </w:pPr>
      <w:r>
        <w:rPr>
          <w:rFonts w:hint="eastAsia" w:ascii="宋体" w:hAnsi="宋体" w:eastAsia="宋体"/>
          <w:b/>
          <w:bCs/>
        </w:rPr>
        <w:t>数据来源：</w:t>
      </w:r>
      <w:r>
        <w:rPr>
          <w:rFonts w:hint="eastAsia" w:ascii="宋体" w:hAnsi="宋体" w:eastAsia="宋体"/>
        </w:rPr>
        <w:t>2</w:t>
      </w:r>
      <w:r>
        <w:rPr>
          <w:rFonts w:ascii="宋体" w:hAnsi="宋体" w:eastAsia="宋体"/>
        </w:rPr>
        <w:t>017</w:t>
      </w:r>
      <w:r>
        <w:rPr>
          <w:rFonts w:hint="eastAsia" w:ascii="宋体" w:hAnsi="宋体" w:eastAsia="宋体"/>
        </w:rPr>
        <w:t>-</w:t>
      </w:r>
      <w:r>
        <w:rPr>
          <w:rFonts w:ascii="宋体" w:hAnsi="宋体" w:eastAsia="宋体"/>
        </w:rPr>
        <w:t>2021年山东高职院校“高等职业教育质量年度报告”填报数据</w:t>
      </w:r>
      <w:r>
        <w:rPr>
          <w:rFonts w:hint="eastAsia" w:ascii="宋体" w:hAnsi="宋体" w:eastAsia="宋体"/>
        </w:rPr>
        <w:t>。</w:t>
      </w:r>
    </w:p>
    <w:p>
      <w:pPr>
        <w:rPr>
          <w:rFonts w:ascii="宋体" w:hAnsi="宋体" w:eastAsia="宋体"/>
        </w:rPr>
      </w:pPr>
    </w:p>
    <w:p>
      <w:pPr>
        <w:rPr>
          <w:rFonts w:ascii="宋体" w:hAnsi="宋体" w:eastAsia="宋体"/>
        </w:rPr>
      </w:pPr>
    </w:p>
    <w:p>
      <w:pPr>
        <w:rPr>
          <w:rFonts w:ascii="宋体" w:hAnsi="宋体" w:eastAsia="宋体"/>
        </w:rPr>
      </w:pPr>
    </w:p>
    <w:tbl>
      <w:tblPr>
        <w:tblStyle w:val="21"/>
        <w:tblW w:w="850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0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atLeast"/>
          <w:jc w:val="center"/>
        </w:trPr>
        <w:tc>
          <w:tcPr>
            <w:tcW w:w="8720" w:type="dxa"/>
            <w:tcBorders>
              <w:bottom w:val="single" w:color="FFFFFF" w:sz="4" w:space="0"/>
            </w:tcBorders>
            <w:shd w:val="clear" w:color="auto" w:fill="0070C0"/>
            <w:vAlign w:val="center"/>
          </w:tcPr>
          <w:p>
            <w:pPr>
              <w:spacing w:line="520" w:lineRule="exact"/>
              <w:outlineLvl w:val="1"/>
              <w:rPr>
                <w:rFonts w:ascii="楷体_GB2312" w:hAnsi="Times New Roman" w:eastAsia="楷体_GB2312"/>
                <w:color w:val="000000" w:themeColor="text1"/>
                <w:sz w:val="28"/>
                <w:szCs w:val="28"/>
                <w14:textFill>
                  <w14:solidFill>
                    <w14:schemeClr w14:val="tx1"/>
                  </w14:solidFill>
                </w14:textFill>
              </w:rPr>
            </w:pPr>
            <w:bookmarkStart w:id="576" w:name="_Toc91605051"/>
            <w:bookmarkStart w:id="577" w:name="_Toc94172251"/>
            <w:bookmarkStart w:id="578" w:name="_Toc94183493"/>
            <w:bookmarkStart w:id="579" w:name="_Toc94172392"/>
            <w:r>
              <w:rPr>
                <w:rFonts w:hint="eastAsia" w:ascii="楷体_GB2312" w:hAnsi="黑体" w:eastAsia="楷体_GB2312" w:cs="黑体"/>
                <w:b/>
                <w:bCs/>
                <w:color w:val="FFFFFF" w:themeColor="background1"/>
                <w:sz w:val="28"/>
                <w:szCs w:val="28"/>
                <w14:textFill>
                  <w14:solidFill>
                    <w14:schemeClr w14:val="bg1"/>
                  </w14:solidFill>
                </w14:textFill>
              </w:rPr>
              <w:t>专栏5-1 校企合作建设科研平台 激发科技服务内生动力</w:t>
            </w:r>
            <w:bookmarkEnd w:id="576"/>
            <w:bookmarkEnd w:id="577"/>
            <w:bookmarkEnd w:id="578"/>
            <w:bookmarkEnd w:id="579"/>
            <w:r>
              <w:rPr>
                <w:rFonts w:hint="eastAsia" w:ascii="楷体_GB2312" w:hAnsi="黑体" w:eastAsia="楷体_GB2312" w:cs="黑体"/>
                <w:b/>
                <w:bCs/>
                <w:color w:val="FFFFFF" w:themeColor="background1"/>
                <w:sz w:val="28"/>
                <w:szCs w:val="28"/>
                <w14:textFill>
                  <w14:solidFill>
                    <w14:schemeClr w14:val="bg1"/>
                  </w14:solidFill>
                </w14:textFill>
              </w:rPr>
              <w:t xml:space="preserve">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720" w:type="dxa"/>
            <w:shd w:val="clear" w:color="auto" w:fill="CDEAFF"/>
          </w:tcPr>
          <w:p>
            <w:pPr>
              <w:spacing w:after="62" w:afterLines="20" w:line="440" w:lineRule="exact"/>
              <w:ind w:firstLine="56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山东理工职业学院</w:t>
            </w:r>
            <w:r>
              <w:rPr>
                <w:rFonts w:hint="eastAsia" w:ascii="Times New Roman" w:hAnsi="Times New Roman" w:eastAsia="仿宋_GB2312"/>
                <w:color w:val="000000" w:themeColor="text1"/>
                <w:sz w:val="24"/>
                <w14:textFill>
                  <w14:solidFill>
                    <w14:schemeClr w14:val="tx1"/>
                  </w14:solidFill>
                </w14:textFill>
              </w:rPr>
              <w:t>作为国家知识产权试点示范校，与济宁经开区共建知识产权服务、培训、实训基地，建立长期、紧密、有实效的全面合作关系，以运用知识产权保护制度推动经开区高质量发展，利用知识产权制度开展国际合作和竞争。济宁经济开发区全力支持学院知识产权服务基地的建设，并对成果转移转化以及在土地、税收、融资、人才引进等方面提供政策支持。</w:t>
            </w:r>
          </w:p>
          <w:p>
            <w:pPr>
              <w:spacing w:after="62" w:afterLines="20" w:line="440" w:lineRule="exact"/>
              <w:ind w:firstLine="56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聊城职业技术学院以</w:t>
            </w:r>
            <w:r>
              <w:rPr>
                <w:rFonts w:hint="eastAsia" w:ascii="Times New Roman" w:hAnsi="Times New Roman" w:eastAsia="仿宋_GB2312"/>
                <w:color w:val="000000" w:themeColor="text1"/>
                <w:sz w:val="24"/>
                <w14:textFill>
                  <w14:solidFill>
                    <w14:schemeClr w14:val="tx1"/>
                  </w14:solidFill>
                </w14:textFill>
              </w:rPr>
              <w:t>区域产业发展急需为牵引，牵手海尔卡奥斯、青软集团、聊城高新区，四方合作投资1.3亿元，在聊城高端智能制造信息产业园建设了聊城市工业互联网产教融合创新中心，打造了集人才培养、技术应用推广、公共实训、双创服务功能于一体的综合性产教融合创新平台。中心落成至今已覆盖当地100家企业，已开展学生认知实习和企业员工培训达3000人。</w:t>
            </w:r>
          </w:p>
          <w:p>
            <w:pPr>
              <w:spacing w:after="62" w:afterLines="20" w:line="440" w:lineRule="exact"/>
              <w:ind w:firstLine="56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山东科技职业学院</w:t>
            </w:r>
            <w:r>
              <w:rPr>
                <w:rFonts w:hint="eastAsia" w:ascii="Times New Roman" w:hAnsi="Times New Roman" w:eastAsia="仿宋_GB2312"/>
                <w:color w:val="000000" w:themeColor="text1"/>
                <w:sz w:val="24"/>
                <w14:textFill>
                  <w14:solidFill>
                    <w14:schemeClr w14:val="tx1"/>
                  </w14:solidFill>
                </w14:textFill>
              </w:rPr>
              <w:t>助力临清市纺织服装产业转型升级，形成政行校企“多方参与、协同推进”的合作模式。学院为企业开发《纺织材料与检测》等10门课程，针对纺织行业内产品开发、生产技术、售后服务和战略发展等相关工作开展半脱产培训，有效满足了企业对技术、管理人才的需求，为临清纺织服装产业转型升级培养了一批有专业基础、管理技能、发展远见的后备人才。该项目被人民日报、聊城日报等多家主流媒体刊载。</w:t>
            </w:r>
          </w:p>
        </w:tc>
      </w:tr>
    </w:tbl>
    <w:p>
      <w:pPr>
        <w:spacing w:line="520" w:lineRule="exact"/>
        <w:ind w:firstLine="567"/>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5.2.3  开展技术服务</w:t>
      </w:r>
    </w:p>
    <w:p>
      <w:pPr>
        <w:spacing w:line="520" w:lineRule="exact"/>
        <w:ind w:firstLine="567"/>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 w:eastAsia="仿宋_GB2312" w:cs="仿宋"/>
          <w:color w:val="000000" w:themeColor="text1"/>
          <w:sz w:val="28"/>
          <w:szCs w:val="28"/>
          <w14:textFill>
            <w14:solidFill>
              <w14:schemeClr w14:val="tx1"/>
            </w14:solidFill>
          </w14:textFill>
        </w:rPr>
        <w:t>科技服务是高职院校提升自身综合实力的关键一环。2021年全省高职院校充分利用创新平台，不断提高科技创新服务能力，技术交易到帐总额达12405万元，比上年增长了2150万元，增幅超过了20%。全省高职院校超过200万元的达到15所，其中山东理工职业学院技术交易到帐额突破了3000万。</w:t>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580" w:name="_Toc14496"/>
      <w:bookmarkStart w:id="581" w:name="_Toc62718683"/>
      <w:bookmarkStart w:id="582" w:name="_Toc91605052"/>
      <w:bookmarkStart w:id="583" w:name="_Toc94172252"/>
      <w:bookmarkStart w:id="584" w:name="_Toc94172393"/>
      <w:bookmarkStart w:id="585" w:name="_Toc94183494"/>
      <w:bookmarkStart w:id="586" w:name="_Toc91606569"/>
      <w:r>
        <w:rPr>
          <w:rFonts w:ascii="宋体" w:hAnsi="宋体" w:eastAsia="宋体"/>
          <w:color w:val="000000" w:themeColor="text1"/>
          <w:sz w:val="24"/>
          <w:szCs w:val="24"/>
          <w14:textFill>
            <w14:solidFill>
              <w14:schemeClr w14:val="tx1"/>
            </w14:solidFill>
          </w14:textFill>
        </w:rPr>
        <w:t>表</w:t>
      </w:r>
      <w:bookmarkStart w:id="587" w:name="_Toc12805"/>
      <w:r>
        <w:rPr>
          <w:rFonts w:ascii="宋体" w:hAnsi="宋体" w:eastAsia="宋体"/>
          <w:color w:val="000000" w:themeColor="text1"/>
          <w:sz w:val="24"/>
          <w:szCs w:val="24"/>
          <w14:textFill>
            <w14:solidFill>
              <w14:schemeClr w14:val="tx1"/>
            </w14:solidFill>
          </w14:textFill>
        </w:rPr>
        <w:t>5</w:t>
      </w:r>
      <w:r>
        <w:rPr>
          <w:rFonts w:hint="eastAsia" w:ascii="宋体" w:hAnsi="宋体" w:eastAsia="宋体"/>
          <w:color w:val="000000" w:themeColor="text1"/>
          <w:sz w:val="24"/>
          <w:szCs w:val="24"/>
          <w14:textFill>
            <w14:solidFill>
              <w14:schemeClr w14:val="tx1"/>
            </w14:solidFill>
          </w14:textFill>
        </w:rPr>
        <w:t xml:space="preserve">-2 </w:t>
      </w:r>
      <w:r>
        <w:rPr>
          <w:rFonts w:ascii="宋体" w:hAnsi="宋体" w:eastAsia="宋体"/>
          <w:color w:val="000000" w:themeColor="text1"/>
          <w:sz w:val="24"/>
          <w:szCs w:val="24"/>
          <w14:textFill>
            <w14:solidFill>
              <w14:schemeClr w14:val="tx1"/>
            </w14:solidFill>
          </w14:textFill>
        </w:rPr>
        <w:t>山东省202</w:t>
      </w:r>
      <w:r>
        <w:rPr>
          <w:rFonts w:hint="eastAsia"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年技术交易到款额</w:t>
      </w:r>
      <w:bookmarkEnd w:id="580"/>
      <w:bookmarkEnd w:id="581"/>
      <w:bookmarkEnd w:id="587"/>
      <w:r>
        <w:rPr>
          <w:rFonts w:hint="eastAsia" w:ascii="宋体" w:hAnsi="宋体" w:eastAsia="宋体"/>
          <w:color w:val="000000" w:themeColor="text1"/>
          <w:sz w:val="24"/>
          <w:szCs w:val="24"/>
          <w14:textFill>
            <w14:solidFill>
              <w14:schemeClr w14:val="tx1"/>
            </w14:solidFill>
          </w14:textFill>
        </w:rPr>
        <w:t>超200万</w:t>
      </w:r>
      <w:r>
        <w:rPr>
          <w:rFonts w:ascii="宋体" w:hAnsi="宋体" w:eastAsia="宋体"/>
          <w:color w:val="000000" w:themeColor="text1"/>
          <w:sz w:val="24"/>
          <w:szCs w:val="24"/>
          <w14:textFill>
            <w14:solidFill>
              <w14:schemeClr w14:val="tx1"/>
            </w14:solidFill>
          </w14:textFill>
        </w:rPr>
        <w:t>高职院校</w:t>
      </w:r>
      <w:r>
        <w:rPr>
          <w:rFonts w:hint="eastAsia" w:ascii="宋体" w:hAnsi="宋体" w:eastAsia="宋体"/>
          <w:color w:val="000000" w:themeColor="text1"/>
          <w:sz w:val="24"/>
          <w:szCs w:val="24"/>
          <w14:textFill>
            <w14:solidFill>
              <w14:schemeClr w14:val="tx1"/>
            </w14:solidFill>
          </w14:textFill>
        </w:rPr>
        <w:t>一览表</w:t>
      </w:r>
      <w:bookmarkEnd w:id="582"/>
      <w:bookmarkEnd w:id="583"/>
      <w:bookmarkEnd w:id="584"/>
      <w:bookmarkEnd w:id="585"/>
      <w:bookmarkEnd w:id="586"/>
    </w:p>
    <w:tbl>
      <w:tblPr>
        <w:tblStyle w:val="21"/>
        <w:tblW w:w="8454" w:type="dxa"/>
        <w:jc w:val="center"/>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3830"/>
        <w:gridCol w:w="3169"/>
      </w:tblGrid>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0070C0"/>
            <w:noWrap/>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序号</w:t>
            </w:r>
          </w:p>
        </w:tc>
        <w:tc>
          <w:tcPr>
            <w:tcW w:w="2265" w:type="pct"/>
            <w:tcBorders>
              <w:tl2br w:val="nil"/>
              <w:tr2bl w:val="nil"/>
            </w:tcBorders>
            <w:shd w:val="clear" w:color="auto" w:fill="0070C0"/>
            <w:noWrap/>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院校名称</w:t>
            </w:r>
          </w:p>
        </w:tc>
        <w:tc>
          <w:tcPr>
            <w:tcW w:w="1874" w:type="pct"/>
            <w:tcBorders>
              <w:tl2br w:val="nil"/>
              <w:tr2bl w:val="nil"/>
            </w:tcBorders>
            <w:shd w:val="clear" w:color="auto" w:fill="0070C0"/>
            <w:noWrap/>
            <w:vAlign w:val="center"/>
          </w:tcPr>
          <w:p>
            <w:pPr>
              <w:jc w:val="center"/>
              <w:rPr>
                <w:rFonts w:ascii="楷体_GB2312" w:hAnsi="宋体" w:eastAsia="楷体_GB2312"/>
                <w:b/>
                <w:bCs/>
                <w:color w:val="FFFFFF" w:themeColor="background1"/>
                <w:szCs w:val="21"/>
                <w14:textFill>
                  <w14:solidFill>
                    <w14:schemeClr w14:val="bg1"/>
                  </w14:solidFill>
                </w14:textFill>
              </w:rPr>
            </w:pPr>
            <w:r>
              <w:rPr>
                <w:rFonts w:hint="eastAsia" w:ascii="楷体_GB2312" w:hAnsi="宋体" w:eastAsia="楷体_GB2312"/>
                <w:b/>
                <w:bCs/>
                <w:color w:val="FFFFFF" w:themeColor="background1"/>
                <w:szCs w:val="21"/>
                <w14:textFill>
                  <w14:solidFill>
                    <w14:schemeClr w14:val="bg1"/>
                  </w14:solidFill>
                </w14:textFill>
              </w:rPr>
              <w:t>技术交易到账额（万元）</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FFFFFF"/>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w:t>
            </w:r>
          </w:p>
        </w:tc>
        <w:tc>
          <w:tcPr>
            <w:tcW w:w="2265" w:type="pct"/>
            <w:tcBorders>
              <w:tl2br w:val="nil"/>
              <w:tr2bl w:val="nil"/>
            </w:tcBorders>
            <w:shd w:val="clear" w:color="auto" w:fill="FFFFFF"/>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山东理工职业学院</w:t>
            </w:r>
          </w:p>
        </w:tc>
        <w:tc>
          <w:tcPr>
            <w:tcW w:w="1874" w:type="pct"/>
            <w:tcBorders>
              <w:tl2br w:val="nil"/>
              <w:tr2bl w:val="nil"/>
            </w:tcBorders>
            <w:shd w:val="clear" w:color="auto" w:fill="FFFFFF"/>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3120.32</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DAEEF6"/>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2</w:t>
            </w:r>
          </w:p>
        </w:tc>
        <w:tc>
          <w:tcPr>
            <w:tcW w:w="2265" w:type="pct"/>
            <w:tcBorders>
              <w:tl2br w:val="nil"/>
              <w:tr2bl w:val="nil"/>
            </w:tcBorders>
            <w:shd w:val="clear" w:color="auto" w:fill="DAEEF6"/>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滨州职业学院</w:t>
            </w:r>
          </w:p>
        </w:tc>
        <w:tc>
          <w:tcPr>
            <w:tcW w:w="1874" w:type="pct"/>
            <w:tcBorders>
              <w:tl2br w:val="nil"/>
              <w:tr2bl w:val="nil"/>
            </w:tcBorders>
            <w:shd w:val="clear" w:color="auto" w:fill="DAEEF6"/>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2150</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FFFFFF"/>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3</w:t>
            </w:r>
          </w:p>
        </w:tc>
        <w:tc>
          <w:tcPr>
            <w:tcW w:w="2265" w:type="pct"/>
            <w:tcBorders>
              <w:tl2br w:val="nil"/>
              <w:tr2bl w:val="nil"/>
            </w:tcBorders>
            <w:shd w:val="clear" w:color="auto" w:fill="FFFFFF"/>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淄博职业学院</w:t>
            </w:r>
          </w:p>
        </w:tc>
        <w:tc>
          <w:tcPr>
            <w:tcW w:w="1874" w:type="pct"/>
            <w:tcBorders>
              <w:tl2br w:val="nil"/>
              <w:tr2bl w:val="nil"/>
            </w:tcBorders>
            <w:shd w:val="clear" w:color="auto" w:fill="FFFFFF"/>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888.09</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DAEEF6"/>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4</w:t>
            </w:r>
          </w:p>
        </w:tc>
        <w:tc>
          <w:tcPr>
            <w:tcW w:w="2265" w:type="pct"/>
            <w:tcBorders>
              <w:tl2br w:val="nil"/>
              <w:tr2bl w:val="nil"/>
            </w:tcBorders>
            <w:shd w:val="clear" w:color="auto" w:fill="DAEEF6"/>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烟台职业学院</w:t>
            </w:r>
          </w:p>
        </w:tc>
        <w:tc>
          <w:tcPr>
            <w:tcW w:w="1874" w:type="pct"/>
            <w:tcBorders>
              <w:tl2br w:val="nil"/>
              <w:tr2bl w:val="nil"/>
            </w:tcBorders>
            <w:shd w:val="clear" w:color="auto" w:fill="DAEEF6"/>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698.25</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FFFFFF"/>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5</w:t>
            </w:r>
          </w:p>
        </w:tc>
        <w:tc>
          <w:tcPr>
            <w:tcW w:w="2265" w:type="pct"/>
            <w:tcBorders>
              <w:tl2br w:val="nil"/>
              <w:tr2bl w:val="nil"/>
            </w:tcBorders>
            <w:shd w:val="clear" w:color="auto" w:fill="FFFFFF"/>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日照职业技术学院</w:t>
            </w:r>
          </w:p>
        </w:tc>
        <w:tc>
          <w:tcPr>
            <w:tcW w:w="1874" w:type="pct"/>
            <w:tcBorders>
              <w:tl2br w:val="nil"/>
              <w:tr2bl w:val="nil"/>
            </w:tcBorders>
            <w:shd w:val="clear" w:color="auto" w:fill="FFFFFF"/>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690.31</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DAEEF6"/>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6</w:t>
            </w:r>
          </w:p>
        </w:tc>
        <w:tc>
          <w:tcPr>
            <w:tcW w:w="2265" w:type="pct"/>
            <w:tcBorders>
              <w:tl2br w:val="nil"/>
              <w:tr2bl w:val="nil"/>
            </w:tcBorders>
            <w:shd w:val="clear" w:color="auto" w:fill="DAEEF6"/>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山东电力高等专科学校</w:t>
            </w:r>
          </w:p>
        </w:tc>
        <w:tc>
          <w:tcPr>
            <w:tcW w:w="1874" w:type="pct"/>
            <w:tcBorders>
              <w:tl2br w:val="nil"/>
              <w:tr2bl w:val="nil"/>
            </w:tcBorders>
            <w:shd w:val="clear" w:color="auto" w:fill="DAEEF6"/>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662</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FFFFFF"/>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7</w:t>
            </w:r>
          </w:p>
        </w:tc>
        <w:tc>
          <w:tcPr>
            <w:tcW w:w="2265" w:type="pct"/>
            <w:tcBorders>
              <w:tl2br w:val="nil"/>
              <w:tr2bl w:val="nil"/>
            </w:tcBorders>
            <w:shd w:val="clear" w:color="auto" w:fill="FFFFFF"/>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山东中医药高等专科学校</w:t>
            </w:r>
          </w:p>
        </w:tc>
        <w:tc>
          <w:tcPr>
            <w:tcW w:w="1874" w:type="pct"/>
            <w:tcBorders>
              <w:tl2br w:val="nil"/>
              <w:tr2bl w:val="nil"/>
            </w:tcBorders>
            <w:shd w:val="clear" w:color="auto" w:fill="FFFFFF"/>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547.51</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DAEEF6"/>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8</w:t>
            </w:r>
          </w:p>
        </w:tc>
        <w:tc>
          <w:tcPr>
            <w:tcW w:w="2265" w:type="pct"/>
            <w:tcBorders>
              <w:tl2br w:val="nil"/>
              <w:tr2bl w:val="nil"/>
            </w:tcBorders>
            <w:shd w:val="clear" w:color="auto" w:fill="DAEEF6"/>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青岛职业技术学院</w:t>
            </w:r>
          </w:p>
        </w:tc>
        <w:tc>
          <w:tcPr>
            <w:tcW w:w="1874" w:type="pct"/>
            <w:tcBorders>
              <w:tl2br w:val="nil"/>
              <w:tr2bl w:val="nil"/>
            </w:tcBorders>
            <w:shd w:val="clear" w:color="auto" w:fill="DAEEF6"/>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409.21</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FFFFFF"/>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9</w:t>
            </w:r>
          </w:p>
        </w:tc>
        <w:tc>
          <w:tcPr>
            <w:tcW w:w="2265" w:type="pct"/>
            <w:tcBorders>
              <w:tl2br w:val="nil"/>
              <w:tr2bl w:val="nil"/>
            </w:tcBorders>
            <w:shd w:val="clear" w:color="auto" w:fill="FFFFFF"/>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山东畜牧兽医职业学院</w:t>
            </w:r>
          </w:p>
        </w:tc>
        <w:tc>
          <w:tcPr>
            <w:tcW w:w="1874" w:type="pct"/>
            <w:tcBorders>
              <w:tl2br w:val="nil"/>
              <w:tr2bl w:val="nil"/>
            </w:tcBorders>
            <w:shd w:val="clear" w:color="auto" w:fill="FFFFFF"/>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380.96</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DAEEF6"/>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10</w:t>
            </w:r>
          </w:p>
        </w:tc>
        <w:tc>
          <w:tcPr>
            <w:tcW w:w="2265" w:type="pct"/>
            <w:tcBorders>
              <w:tl2br w:val="nil"/>
              <w:tr2bl w:val="nil"/>
            </w:tcBorders>
            <w:shd w:val="clear" w:color="auto" w:fill="DAEEF6"/>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山东劳动职业技术学院</w:t>
            </w:r>
          </w:p>
        </w:tc>
        <w:tc>
          <w:tcPr>
            <w:tcW w:w="1874" w:type="pct"/>
            <w:tcBorders>
              <w:tl2br w:val="nil"/>
              <w:tr2bl w:val="nil"/>
            </w:tcBorders>
            <w:shd w:val="clear" w:color="auto" w:fill="DAEEF6"/>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380.08</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FFFFFF"/>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11</w:t>
            </w:r>
          </w:p>
        </w:tc>
        <w:tc>
          <w:tcPr>
            <w:tcW w:w="2265" w:type="pct"/>
            <w:tcBorders>
              <w:tl2br w:val="nil"/>
              <w:tr2bl w:val="nil"/>
            </w:tcBorders>
            <w:shd w:val="clear" w:color="auto" w:fill="FFFFFF"/>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潍坊职业学院</w:t>
            </w:r>
          </w:p>
        </w:tc>
        <w:tc>
          <w:tcPr>
            <w:tcW w:w="1874" w:type="pct"/>
            <w:tcBorders>
              <w:tl2br w:val="nil"/>
              <w:tr2bl w:val="nil"/>
            </w:tcBorders>
            <w:shd w:val="clear" w:color="auto" w:fill="FFFFFF"/>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368.74</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DAEEF6"/>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12</w:t>
            </w:r>
          </w:p>
        </w:tc>
        <w:tc>
          <w:tcPr>
            <w:tcW w:w="2265" w:type="pct"/>
            <w:tcBorders>
              <w:tl2br w:val="nil"/>
              <w:tr2bl w:val="nil"/>
            </w:tcBorders>
            <w:shd w:val="clear" w:color="auto" w:fill="DAEEF6"/>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山东水利职业学院</w:t>
            </w:r>
          </w:p>
        </w:tc>
        <w:tc>
          <w:tcPr>
            <w:tcW w:w="1874" w:type="pct"/>
            <w:tcBorders>
              <w:tl2br w:val="nil"/>
              <w:tr2bl w:val="nil"/>
            </w:tcBorders>
            <w:shd w:val="clear" w:color="auto" w:fill="DAEEF6"/>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315</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FFFFFF"/>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13</w:t>
            </w:r>
          </w:p>
        </w:tc>
        <w:tc>
          <w:tcPr>
            <w:tcW w:w="2265" w:type="pct"/>
            <w:tcBorders>
              <w:tl2br w:val="nil"/>
              <w:tr2bl w:val="nil"/>
            </w:tcBorders>
            <w:shd w:val="clear" w:color="auto" w:fill="FFFFFF"/>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山东药品食品职业学院</w:t>
            </w:r>
          </w:p>
        </w:tc>
        <w:tc>
          <w:tcPr>
            <w:tcW w:w="1874" w:type="pct"/>
            <w:tcBorders>
              <w:tl2br w:val="nil"/>
              <w:tr2bl w:val="nil"/>
            </w:tcBorders>
            <w:shd w:val="clear" w:color="auto" w:fill="FFFFFF"/>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291.9</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DAEEF6"/>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14</w:t>
            </w:r>
          </w:p>
        </w:tc>
        <w:tc>
          <w:tcPr>
            <w:tcW w:w="2265" w:type="pct"/>
            <w:tcBorders>
              <w:tl2br w:val="nil"/>
              <w:tr2bl w:val="nil"/>
            </w:tcBorders>
            <w:shd w:val="clear" w:color="auto" w:fill="DAEEF6"/>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莱芜职业技术学院</w:t>
            </w:r>
          </w:p>
        </w:tc>
        <w:tc>
          <w:tcPr>
            <w:tcW w:w="1874" w:type="pct"/>
            <w:tcBorders>
              <w:tl2br w:val="nil"/>
              <w:tr2bl w:val="nil"/>
            </w:tcBorders>
            <w:shd w:val="clear" w:color="auto" w:fill="DAEEF6"/>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281.66</w:t>
            </w:r>
          </w:p>
        </w:tc>
      </w:tr>
      <w:tr>
        <w:tblPrEx>
          <w:tblBorders>
            <w:top w:val="single" w:color="0070C0" w:sz="12" w:space="0"/>
            <w:left w:val="none" w:color="auto" w:sz="0" w:space="0"/>
            <w:bottom w:val="single" w:color="0070C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61" w:type="pct"/>
            <w:tcBorders>
              <w:tl2br w:val="nil"/>
              <w:tr2bl w:val="nil"/>
            </w:tcBorders>
            <w:shd w:val="clear" w:color="auto" w:fill="FFFFFF"/>
            <w:noWrap/>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15</w:t>
            </w:r>
          </w:p>
        </w:tc>
        <w:tc>
          <w:tcPr>
            <w:tcW w:w="2265" w:type="pct"/>
            <w:tcBorders>
              <w:tl2br w:val="nil"/>
              <w:tr2bl w:val="nil"/>
            </w:tcBorders>
            <w:shd w:val="clear" w:color="auto" w:fill="FFFFFF"/>
            <w:noWrap/>
            <w:vAlign w:val="center"/>
          </w:tcPr>
          <w:p>
            <w:pPr>
              <w:jc w:val="center"/>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山东商务职业学院</w:t>
            </w:r>
          </w:p>
        </w:tc>
        <w:tc>
          <w:tcPr>
            <w:tcW w:w="1874" w:type="pct"/>
            <w:tcBorders>
              <w:tl2br w:val="nil"/>
              <w:tr2bl w:val="nil"/>
            </w:tcBorders>
            <w:shd w:val="clear" w:color="auto" w:fill="FFFFFF"/>
            <w:noWrap/>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274.58</w:t>
            </w:r>
          </w:p>
        </w:tc>
      </w:tr>
    </w:tbl>
    <w:p>
      <w:pPr>
        <w:pStyle w:val="4"/>
        <w:spacing w:before="62" w:beforeLines="20" w:after="0"/>
        <w:jc w:val="both"/>
        <w:rPr>
          <w:rFonts w:ascii="宋体" w:hAnsi="宋体" w:eastAsia="宋体"/>
          <w:color w:val="000000" w:themeColor="text1"/>
          <w:sz w:val="21"/>
          <w:szCs w:val="21"/>
          <w14:textFill>
            <w14:solidFill>
              <w14:schemeClr w14:val="tx1"/>
            </w14:solidFill>
          </w14:textFill>
        </w:rPr>
      </w:pPr>
      <w:r>
        <w:rPr>
          <w:rFonts w:ascii="宋体" w:hAnsi="宋体" w:eastAsia="宋体"/>
          <w:b/>
          <w:bCs/>
          <w:color w:val="000000" w:themeColor="text1"/>
          <w:sz w:val="21"/>
          <w:szCs w:val="21"/>
          <w14:textFill>
            <w14:solidFill>
              <w14:schemeClr w14:val="tx1"/>
            </w14:solidFill>
          </w14:textFill>
        </w:rPr>
        <w:t>数据来源：</w:t>
      </w:r>
      <w:r>
        <w:rPr>
          <w:rFonts w:ascii="宋体" w:hAnsi="宋体" w:eastAsia="宋体"/>
          <w:color w:val="000000" w:themeColor="text1"/>
          <w:sz w:val="21"/>
          <w:szCs w:val="21"/>
          <w14:textFill>
            <w14:solidFill>
              <w14:schemeClr w14:val="tx1"/>
            </w14:solidFill>
          </w14:textFill>
        </w:rPr>
        <w:t>根据</w:t>
      </w:r>
      <w:r>
        <w:rPr>
          <w:rFonts w:hint="eastAsia" w:ascii="宋体" w:hAnsi="宋体" w:eastAsia="宋体"/>
          <w:color w:val="000000" w:themeColor="text1"/>
          <w:sz w:val="21"/>
          <w:szCs w:val="21"/>
          <w14:textFill>
            <w14:solidFill>
              <w14:schemeClr w14:val="tx1"/>
            </w14:solidFill>
          </w14:textFill>
        </w:rPr>
        <w:t>83</w:t>
      </w:r>
      <w:r>
        <w:rPr>
          <w:rFonts w:ascii="宋体" w:hAnsi="宋体" w:eastAsia="宋体"/>
          <w:color w:val="000000" w:themeColor="text1"/>
          <w:sz w:val="21"/>
          <w:szCs w:val="21"/>
          <w14:textFill>
            <w14:solidFill>
              <w14:schemeClr w14:val="tx1"/>
            </w14:solidFill>
          </w14:textFill>
        </w:rPr>
        <w:t>所院校填报数据计算所得。</w:t>
      </w:r>
    </w:p>
    <w:tbl>
      <w:tblPr>
        <w:tblStyle w:val="21"/>
        <w:tblW w:w="850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0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atLeast"/>
          <w:jc w:val="center"/>
        </w:trPr>
        <w:tc>
          <w:tcPr>
            <w:tcW w:w="8504" w:type="dxa"/>
            <w:tcBorders>
              <w:bottom w:val="single" w:color="FFFFFF" w:sz="4" w:space="0"/>
            </w:tcBorders>
            <w:shd w:val="clear" w:color="auto" w:fill="0070C0"/>
            <w:vAlign w:val="center"/>
          </w:tcPr>
          <w:p>
            <w:pPr>
              <w:spacing w:line="520" w:lineRule="exact"/>
              <w:outlineLvl w:val="1"/>
              <w:rPr>
                <w:rFonts w:ascii="楷体_GB2312" w:hAnsi="Times New Roman" w:eastAsia="楷体_GB2312"/>
                <w:color w:val="000000" w:themeColor="text1"/>
                <w:sz w:val="28"/>
                <w:szCs w:val="28"/>
                <w14:textFill>
                  <w14:solidFill>
                    <w14:schemeClr w14:val="tx1"/>
                  </w14:solidFill>
                </w14:textFill>
              </w:rPr>
            </w:pPr>
            <w:bookmarkStart w:id="588" w:name="_Toc94183495"/>
            <w:bookmarkStart w:id="589" w:name="_Toc94172253"/>
            <w:bookmarkStart w:id="590" w:name="_Toc94172394"/>
            <w:bookmarkStart w:id="591" w:name="_Toc91605053"/>
            <w:r>
              <w:rPr>
                <w:rFonts w:hint="eastAsia" w:ascii="楷体_GB2312" w:hAnsi="黑体" w:eastAsia="楷体_GB2312" w:cs="黑体"/>
                <w:b/>
                <w:bCs/>
                <w:color w:val="FFFFFF" w:themeColor="background1"/>
                <w:sz w:val="28"/>
                <w:szCs w:val="28"/>
                <w14:textFill>
                  <w14:solidFill>
                    <w14:schemeClr w14:val="bg1"/>
                  </w14:solidFill>
                </w14:textFill>
              </w:rPr>
              <w:t>专栏5-2 破解技术难题  服务区域中小微企业发展</w:t>
            </w:r>
            <w:bookmarkEnd w:id="588"/>
            <w:bookmarkEnd w:id="589"/>
            <w:bookmarkEnd w:id="590"/>
            <w:bookmarkEnd w:id="591"/>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504" w:type="dxa"/>
            <w:shd w:val="clear" w:color="auto" w:fill="CDEAFF"/>
          </w:tcPr>
          <w:p>
            <w:pPr>
              <w:spacing w:after="62" w:afterLines="20" w:line="440" w:lineRule="exact"/>
              <w:ind w:firstLine="56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山东商业职业技术学院</w:t>
            </w:r>
            <w:r>
              <w:rPr>
                <w:rFonts w:hint="eastAsia" w:ascii="Times New Roman" w:hAnsi="Times New Roman" w:eastAsia="仿宋_GB2312"/>
                <w:color w:val="000000" w:themeColor="text1"/>
                <w:sz w:val="24"/>
                <w14:textFill>
                  <w14:solidFill>
                    <w14:schemeClr w14:val="tx1"/>
                  </w14:solidFill>
                </w14:textFill>
              </w:rPr>
              <w:t>研制的新型相变蓄冷剂体积小、蓄冷大、可重复使用、蓄冷量衰减小，突破了传统蓄冷剂蓄冷时间短，无恒定保温温度，难以循环使用等难题。通过技术推广，北京顶晖机械设</w:t>
            </w:r>
            <w:r>
              <w:rPr>
                <w:rFonts w:hint="eastAsia" w:ascii="仿宋_GB2312" w:hAnsi="Times New Roman" w:eastAsia="仿宋_GB2312"/>
                <w:color w:val="000000" w:themeColor="text1"/>
                <w:sz w:val="24"/>
                <w14:textFill>
                  <w14:solidFill>
                    <w14:schemeClr w14:val="tx1"/>
                  </w14:solidFill>
                </w14:textFill>
              </w:rPr>
              <w:t>备有限公司在2020-2021年销售新型蓄冷产品约500万元。该技术的应用显著减少“断链”现象的发生，保障生鲜产品品质，解决冷链物流“最先一公里”和“最</w:t>
            </w:r>
            <w:r>
              <w:rPr>
                <w:rFonts w:hint="eastAsia" w:ascii="Times New Roman" w:hAnsi="Times New Roman" w:eastAsia="仿宋_GB2312"/>
                <w:color w:val="000000" w:themeColor="text1"/>
                <w:sz w:val="24"/>
                <w14:textFill>
                  <w14:solidFill>
                    <w14:schemeClr w14:val="tx1"/>
                  </w14:solidFill>
                </w14:textFill>
              </w:rPr>
              <w:t>后一公里”难题，产生了显著的经济和社会效益。</w:t>
            </w:r>
          </w:p>
          <w:p>
            <w:pPr>
              <w:spacing w:after="62" w:afterLines="20" w:line="440" w:lineRule="exact"/>
              <w:ind w:firstLine="56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淄博职业学院</w:t>
            </w:r>
            <w:r>
              <w:rPr>
                <w:rFonts w:hint="eastAsia" w:ascii="Times New Roman" w:hAnsi="Times New Roman" w:eastAsia="仿宋_GB2312"/>
                <w:color w:val="000000" w:themeColor="text1"/>
                <w:sz w:val="24"/>
                <w14:textFill>
                  <w14:solidFill>
                    <w14:schemeClr w14:val="tx1"/>
                  </w14:solidFill>
                </w14:textFill>
              </w:rPr>
              <w:t>智能制造技术应用平台破</w:t>
            </w:r>
            <w:r>
              <w:rPr>
                <w:rFonts w:hint="eastAsia" w:ascii="仿宋_GB2312" w:hAnsi="Times New Roman" w:eastAsia="仿宋_GB2312"/>
                <w:color w:val="000000" w:themeColor="text1"/>
                <w:sz w:val="24"/>
                <w14:textFill>
                  <w14:solidFill>
                    <w14:schemeClr w14:val="tx1"/>
                  </w14:solidFill>
                </w14:textFill>
              </w:rPr>
              <w:t>解区域中小微企业高压电缆故障定位、海底电缆故障行波测距等技术难题，研发出一次性手套陶瓷手模自动抛光机等新产品、新技术21项，改造工艺和设备装置10项。新技术、新工艺为企业新增销售收入3500余万元、新增利润780余万元，受到省、市科技主管部门高度认可，学校多名教师获省科技厅“企业科技特派员”、淄博市“最美科技工作者”“科技副总”“新旧动能转换工作”先进个人等荣誉称号</w:t>
            </w:r>
            <w:r>
              <w:rPr>
                <w:rFonts w:hint="eastAsia" w:ascii="Times New Roman" w:hAnsi="Times New Roman" w:eastAsia="仿宋_GB2312"/>
                <w:color w:val="000000" w:themeColor="text1"/>
                <w:sz w:val="24"/>
                <w14:textFill>
                  <w14:solidFill>
                    <w14:schemeClr w14:val="tx1"/>
                  </w14:solidFill>
                </w14:textFill>
              </w:rPr>
              <w:t>。</w:t>
            </w:r>
          </w:p>
          <w:p>
            <w:pPr>
              <w:spacing w:after="62" w:afterLines="20" w:line="440" w:lineRule="exact"/>
              <w:ind w:firstLine="56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滨州职业学院</w:t>
            </w:r>
            <w:r>
              <w:rPr>
                <w:rFonts w:hint="eastAsia" w:ascii="Times New Roman" w:hAnsi="Times New Roman" w:eastAsia="仿宋_GB2312"/>
                <w:color w:val="000000" w:themeColor="text1"/>
                <w:sz w:val="24"/>
                <w14:textFill>
                  <w14:solidFill>
                    <w14:schemeClr w14:val="tx1"/>
                  </w14:solidFill>
                </w14:textFill>
              </w:rPr>
              <w:t>智能控制（</w:t>
            </w:r>
            <w:r>
              <w:rPr>
                <w:rFonts w:hint="eastAsia" w:ascii="仿宋_GB2312" w:hAnsi="Times New Roman" w:eastAsia="仿宋_GB2312"/>
                <w:color w:val="000000" w:themeColor="text1"/>
                <w:sz w:val="24"/>
                <w14:textFill>
                  <w14:solidFill>
                    <w14:schemeClr w14:val="tx1"/>
                  </w14:solidFill>
                </w14:textFill>
              </w:rPr>
              <w:t>师生）科研团队，服务区域农业发展，研发土壤墒情实时监测平台，利用物联网环境监控云平台、土壤环境信息采集、图像监控、无线传输和太阳能供电等五部分组成物联网平台，对农业节水灌溉、精准施肥、改良土壤等实行24小时监测，为农作物生长提供保障。现已在黄河三角洲（滨州）国家农业科技园区和沾化县域内建立50多个土壤环境监测点，为农户节约施肥费用10余万，帮助果园产量提高3%，总营收提高100余万元。</w:t>
            </w:r>
          </w:p>
        </w:tc>
      </w:tr>
    </w:tbl>
    <w:p>
      <w:pPr>
        <w:spacing w:line="500" w:lineRule="exact"/>
        <w:ind w:firstLine="567"/>
        <w:outlineLvl w:val="1"/>
        <w:rPr>
          <w:rFonts w:ascii="楷体_GB2312" w:hAnsi="楷体_GB2312" w:eastAsia="楷体_GB2312" w:cs="楷体_GB2312"/>
          <w:bCs/>
          <w:color w:val="000000" w:themeColor="text1"/>
          <w:sz w:val="28"/>
          <w:szCs w:val="28"/>
          <w14:textFill>
            <w14:solidFill>
              <w14:schemeClr w14:val="tx1"/>
            </w14:solidFill>
          </w14:textFill>
        </w:rPr>
      </w:pPr>
      <w:bookmarkStart w:id="592" w:name="_Toc94172395"/>
      <w:bookmarkStart w:id="593" w:name="_Toc94183496"/>
      <w:bookmarkStart w:id="594" w:name="_Toc94172254"/>
      <w:r>
        <w:rPr>
          <w:rFonts w:hint="eastAsia" w:ascii="楷体_GB2312" w:hAnsi="楷体_GB2312" w:eastAsia="楷体_GB2312" w:cs="楷体_GB2312"/>
          <w:bCs/>
          <w:color w:val="000000" w:themeColor="text1"/>
          <w:sz w:val="28"/>
          <w:szCs w:val="28"/>
          <w14:textFill>
            <w14:solidFill>
              <w14:schemeClr w14:val="tx1"/>
            </w14:solidFill>
          </w14:textFill>
        </w:rPr>
        <w:t>5.3  社会培训</w:t>
      </w:r>
      <w:bookmarkEnd w:id="592"/>
      <w:bookmarkEnd w:id="593"/>
      <w:bookmarkEnd w:id="594"/>
    </w:p>
    <w:p>
      <w:pPr>
        <w:spacing w:line="500" w:lineRule="exact"/>
        <w:ind w:firstLine="567"/>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5.3.1  服务技能型社会建设</w:t>
      </w:r>
    </w:p>
    <w:p>
      <w:pPr>
        <w:spacing w:line="50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山东省高职院校深入贯彻落实《国家职业教育改革实施方案》和全国职业教育大会会议精神，切实做到学历教育与职业培训并举并重，服务技能型社会建设，多措并举开展多元社会培训。全省83所高职院校全年合计开展非学历性培训项目4744项，有14所院校超过了100项。其中，青岛远洋船员职业学院开展非学历性培训项目601项，年培训能力2万余人次，是全国所有航海类高校中专业培训项目最多最全的高职学院。全省高职院校开展非学历性培训总学时接近3800万学时，其中公益性培训437万学时非学历培训到账经费8.74亿元，取得了良好的经济效益和社会效益。推进职业院校全面开展职业培训促进就业创业行动计划，积极开展面向高校毕业生、退役军人、农民工、去产能分流职工、建档立卡贫困劳动力、残疾人等重点人群的就业创业培训，大力开展失业人员再就业培训，重点强化安全生产培训，不断提高新增和现有劳动力综合素质、职业技能水平</w:t>
      </w:r>
      <w:r>
        <w:rPr>
          <w:rFonts w:ascii="仿宋_GB2312" w:hAnsi="仿宋_GB2312" w:eastAsia="仿宋_GB2312" w:cs="仿宋_GB2312"/>
          <w:color w:val="000000" w:themeColor="text1"/>
          <w:sz w:val="28"/>
          <w:szCs w:val="28"/>
          <w14:textFill>
            <w14:solidFill>
              <w14:schemeClr w14:val="tx1"/>
            </w14:solidFill>
          </w14:textFill>
        </w:rPr>
        <w:t>，为稳定和扩大就业贡献了力量。</w:t>
      </w:r>
    </w:p>
    <w:tbl>
      <w:tblPr>
        <w:tblStyle w:val="21"/>
        <w:tblW w:w="850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0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atLeast"/>
          <w:jc w:val="center"/>
        </w:trPr>
        <w:tc>
          <w:tcPr>
            <w:tcW w:w="8720" w:type="dxa"/>
            <w:tcBorders>
              <w:bottom w:val="single" w:color="FFFFFF" w:sz="4" w:space="0"/>
            </w:tcBorders>
            <w:shd w:val="clear" w:color="auto" w:fill="0070C0"/>
            <w:vAlign w:val="center"/>
          </w:tcPr>
          <w:p>
            <w:pPr>
              <w:spacing w:line="520" w:lineRule="exact"/>
              <w:outlineLvl w:val="1"/>
              <w:rPr>
                <w:rFonts w:ascii="楷体_GB2312" w:hAnsi="Times New Roman" w:eastAsia="楷体_GB2312"/>
                <w:color w:val="000000" w:themeColor="text1"/>
                <w:sz w:val="28"/>
                <w:szCs w:val="28"/>
                <w14:textFill>
                  <w14:solidFill>
                    <w14:schemeClr w14:val="tx1"/>
                  </w14:solidFill>
                </w14:textFill>
              </w:rPr>
            </w:pPr>
            <w:bookmarkStart w:id="595" w:name="_Toc94172255"/>
            <w:bookmarkStart w:id="596" w:name="_Toc94172396"/>
            <w:bookmarkStart w:id="597" w:name="_Toc94183497"/>
            <w:bookmarkStart w:id="598" w:name="_Toc91605055"/>
            <w:r>
              <w:rPr>
                <w:rFonts w:hint="eastAsia" w:ascii="楷体_GB2312" w:hAnsi="黑体" w:eastAsia="楷体_GB2312" w:cs="黑体"/>
                <w:b/>
                <w:bCs/>
                <w:color w:val="FFFFFF" w:themeColor="background1"/>
                <w:sz w:val="28"/>
                <w:szCs w:val="28"/>
                <w14:textFill>
                  <w14:solidFill>
                    <w14:schemeClr w14:val="bg1"/>
                  </w14:solidFill>
                </w14:textFill>
              </w:rPr>
              <w:t>专栏5-3 开展技能培训  助推区域经济发展</w:t>
            </w:r>
            <w:bookmarkEnd w:id="595"/>
            <w:bookmarkEnd w:id="596"/>
            <w:bookmarkEnd w:id="597"/>
            <w:bookmarkEnd w:id="598"/>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720" w:type="dxa"/>
            <w:shd w:val="clear" w:color="auto" w:fill="CDEAFF"/>
          </w:tcPr>
          <w:p>
            <w:pPr>
              <w:spacing w:after="62" w:afterLines="20" w:line="480" w:lineRule="exact"/>
              <w:ind w:firstLine="56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山东商务职业学院</w:t>
            </w:r>
            <w:r>
              <w:rPr>
                <w:rFonts w:hint="eastAsia" w:ascii="Times New Roman" w:hAnsi="Times New Roman" w:eastAsia="仿宋_GB2312"/>
                <w:color w:val="000000" w:themeColor="text1"/>
                <w:sz w:val="24"/>
                <w14:textFill>
                  <w14:solidFill>
                    <w14:schemeClr w14:val="tx1"/>
                  </w14:solidFill>
                </w14:textFill>
              </w:rPr>
              <w:t>紧密结合行业和区域经济发展需要，依托山东省粮食职业教育集团和全国粮食行业人才培训基地，对接行业企业人力资源需求，创新职业技能培训模式，面向粮食系统、涉粮企业开展各级各类职业技能培训，先后承担中储粮山东分公司、各地粮食储备库的班组长培训以及其他各类涉粮培训，全年累计培训50000余人次，创收1260余万元，培训人数、创收额均创新高。</w:t>
            </w:r>
          </w:p>
          <w:p>
            <w:pPr>
              <w:spacing w:after="62" w:afterLines="20" w:line="480" w:lineRule="exact"/>
              <w:ind w:firstLine="56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山东水利职业学院</w:t>
            </w:r>
            <w:r>
              <w:rPr>
                <w:rFonts w:hint="eastAsia" w:ascii="Times New Roman" w:hAnsi="Times New Roman" w:eastAsia="仿宋_GB2312"/>
                <w:color w:val="000000" w:themeColor="text1"/>
                <w:sz w:val="24"/>
                <w14:textFill>
                  <w14:solidFill>
                    <w14:schemeClr w14:val="tx1"/>
                  </w14:solidFill>
                </w14:textFill>
              </w:rPr>
              <w:t>构建了立体化社会培训服务体系，依托学校建设的多个省级教育培训基地，根据企业需求“订制”技术指导和技术培训方案。2021年为行业、企业开展员工培训12000余人次，非学历培训时间超过42万学时。同时，积极支持西部地区水利事业发展，举办了面向西藏、青海、新疆等地区水利系统的培训班。学校申报的“山东省职业院校典型职业培训项目”荣获山东省职业技术教育学会科研成果二等奖。</w:t>
            </w:r>
          </w:p>
        </w:tc>
      </w:tr>
    </w:tbl>
    <w:p>
      <w:pPr>
        <w:spacing w:line="520" w:lineRule="exact"/>
        <w:ind w:firstLine="567"/>
        <w:rPr>
          <w:rFonts w:ascii="仿宋_GB2312" w:hAnsi="仿宋_GB2312" w:eastAsia="仿宋_GB2312" w:cs="仿宋_GB2312"/>
          <w:b/>
          <w:bCs/>
          <w:color w:val="000000" w:themeColor="text1"/>
          <w:sz w:val="28"/>
          <w:szCs w:val="28"/>
          <w14:textFill>
            <w14:solidFill>
              <w14:schemeClr w14:val="tx1"/>
            </w14:solidFill>
          </w14:textFill>
        </w:rPr>
      </w:pPr>
    </w:p>
    <w:p>
      <w:pPr>
        <w:spacing w:line="520" w:lineRule="exact"/>
        <w:ind w:firstLine="567"/>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5.3.2  服务乡村振兴战略</w:t>
      </w:r>
    </w:p>
    <w:p>
      <w:pPr>
        <w:spacing w:line="520" w:lineRule="exact"/>
        <w:ind w:firstLine="567"/>
        <w:rPr>
          <w:rFonts w:ascii="宋体" w:hAnsi="宋体" w:eastAsia="宋体" w:cs="宋体"/>
          <w:color w:val="000000" w:themeColor="text1"/>
          <w:sz w:val="19"/>
          <w:szCs w:val="19"/>
          <w:shd w:val="clear" w:color="auto" w:fill="FFFFFF"/>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乡村振兴，人才先行。山东省高职院校通过不断夯实技术技能人才培养培训主阵地，强支撑、旺人气、激活力，输送了大量“下得去、留得住、用得上、受欢迎”的实用型人才，为乡村振兴注入人才的“源头活水”。截至本年度，全省共有</w:t>
      </w:r>
      <w:r>
        <w:rPr>
          <w:rFonts w:ascii="仿宋_GB2312" w:hAnsi="仿宋_GB2312" w:eastAsia="仿宋_GB2312" w:cs="仿宋_GB2312"/>
          <w:color w:val="000000" w:themeColor="text1"/>
          <w:sz w:val="28"/>
          <w:szCs w:val="28"/>
          <w14:textFill>
            <w14:solidFill>
              <w14:schemeClr w14:val="tx1"/>
            </w14:solidFill>
          </w14:textFill>
        </w:rPr>
        <w:t>42所职业院校联合当地政府或者行业企业成立了乡村振兴学院、农民学院</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6所职业院校入选全国乡村振兴人才培养优质校和农业科研院所推介名单，入选数位居全国第一</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建设了26个中、高职品牌专业（群），开发了畜牧兽医、茶树栽培与茶叶加工等15个农业类专业教学标准，大大增强了职业教育与乡村发展的契合度、适应性和贡献度。</w:t>
      </w:r>
      <w:r>
        <w:rPr>
          <w:rFonts w:hint="eastAsia" w:ascii="仿宋_GB2312" w:hAnsi="仿宋_GB2312" w:eastAsia="仿宋_GB2312" w:cs="仿宋_GB2312"/>
          <w:color w:val="000000" w:themeColor="text1"/>
          <w:sz w:val="28"/>
          <w:szCs w:val="28"/>
          <w14:textFill>
            <w14:solidFill>
              <w14:schemeClr w14:val="tx1"/>
            </w14:solidFill>
          </w14:textFill>
        </w:rPr>
        <w:t>职业院校“敞开门”，结合自身优势和特色，“一校一品”打造乡村劳动力培训品牌，培养新型职业农民，全省职业院校共开展涉农培训</w:t>
      </w:r>
      <w:r>
        <w:rPr>
          <w:rFonts w:ascii="仿宋_GB2312" w:hAnsi="仿宋_GB2312" w:eastAsia="仿宋_GB2312" w:cs="仿宋_GB2312"/>
          <w:color w:val="000000" w:themeColor="text1"/>
          <w:sz w:val="28"/>
          <w:szCs w:val="28"/>
          <w14:textFill>
            <w14:solidFill>
              <w14:schemeClr w14:val="tx1"/>
            </w14:solidFill>
          </w14:textFill>
        </w:rPr>
        <w:t>130万人次</w:t>
      </w:r>
      <w:r>
        <w:rPr>
          <w:rFonts w:hint="eastAsia" w:ascii="仿宋_GB2312" w:hAnsi="仿宋_GB2312" w:eastAsia="仿宋_GB2312" w:cs="仿宋_GB2312"/>
          <w:color w:val="000000" w:themeColor="text1"/>
          <w:sz w:val="28"/>
          <w:szCs w:val="28"/>
          <w14:textFill>
            <w14:solidFill>
              <w14:schemeClr w14:val="tx1"/>
            </w14:solidFill>
          </w14:textFill>
        </w:rPr>
        <w:t>；鼓励涉农类企业深度参与人才培养全过程，广泛开展订单式、冠名式培养，丰富“大课堂”，打造“练兵场”，推动人才培养与乡村需求有机衔接。职业院校因地制宜开展农事劳动实践、乡村考察、职业体验等农耕文化主题教育活动，厚植学生扎根基层的“三农情怀”；组建团队，支持骨干教师走入乡村社区、田间地头、农村中小微企业实施“靶向”技术服务，全年共有</w:t>
      </w:r>
      <w:r>
        <w:rPr>
          <w:rFonts w:ascii="仿宋_GB2312" w:hAnsi="仿宋_GB2312" w:eastAsia="仿宋_GB2312" w:cs="仿宋_GB2312"/>
          <w:color w:val="000000" w:themeColor="text1"/>
          <w:sz w:val="28"/>
          <w:szCs w:val="28"/>
          <w14:textFill>
            <w14:solidFill>
              <w14:schemeClr w14:val="tx1"/>
            </w14:solidFill>
          </w14:textFill>
        </w:rPr>
        <w:t>420所职业院校的师生走上田间地头开展科技和技能帮扶，推动当地企业增产、农户增收约10.4亿元</w:t>
      </w:r>
      <w:r>
        <w:rPr>
          <w:rFonts w:hint="eastAsia" w:ascii="仿宋_GB2312" w:hAnsi="仿宋_GB2312" w:eastAsia="仿宋_GB2312" w:cs="仿宋_GB2312"/>
          <w:color w:val="000000" w:themeColor="text1"/>
          <w:sz w:val="28"/>
          <w:szCs w:val="28"/>
          <w14:textFill>
            <w14:solidFill>
              <w14:schemeClr w14:val="tx1"/>
            </w14:solidFill>
          </w14:textFill>
        </w:rPr>
        <w:t>。如山东畜牧兽医职业学院托国家级新型职业农民培育示范基地和山东省农业技术培训基地，持续开展“百名专家联牧场”活动，全面提升养殖场户管理水平、创新能力、发展质量,保障畜产品源头安全,为加快推动畜牧业绿色高质量发展提供坚强科技支撑。</w:t>
      </w:r>
    </w:p>
    <w:p>
      <w:pPr>
        <w:spacing w:line="520" w:lineRule="exact"/>
        <w:ind w:firstLine="567"/>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5.3.3  助力军民融合战略</w:t>
      </w:r>
    </w:p>
    <w:p>
      <w:pPr>
        <w:spacing w:line="520" w:lineRule="exact"/>
        <w:ind w:firstLine="567"/>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山东省高职院校发挥职业教育的优势和潜力，开发面向驻军官兵和退伍军人需求的培训项目，推进军民技术双向转移和转化应用，实现军民融合协同发展。</w:t>
      </w:r>
      <w:r>
        <w:rPr>
          <w:rFonts w:hint="eastAsia" w:ascii="仿宋_GB2312" w:hAnsi="仿宋_GB2312" w:eastAsia="仿宋_GB2312" w:cs="仿宋_GB2312"/>
          <w:bCs/>
          <w:color w:val="000000" w:themeColor="text1"/>
          <w:sz w:val="28"/>
          <w:szCs w:val="28"/>
          <w14:textFill>
            <w14:solidFill>
              <w14:schemeClr w14:val="tx1"/>
            </w14:solidFill>
          </w14:textFill>
        </w:rPr>
        <w:t>滨州职业学院士官学院航海和轮机工程专业全面对接STCW78/10公约，按照国际标准培养人才；潍坊工程学院通信技术专业陆续为部队培养技术技能复合型士官学生300余人，先后有2O人次被评为优秀士官，1人荣立三等功，5名士官生被火箭军工程大学录取，10人参加了国庆70周年大阅兵；山东传媒职业学院举办山东省军区军事职业教育微课制作培训班，协助山东省军区完成军事职业教育在线课程标准建设和内容建设。</w:t>
      </w:r>
    </w:p>
    <w:p>
      <w:pPr>
        <w:spacing w:line="520" w:lineRule="exact"/>
        <w:ind w:firstLine="567"/>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5.3.4  对口支援中西部</w:t>
      </w:r>
    </w:p>
    <w:p>
      <w:pPr>
        <w:spacing w:line="520" w:lineRule="exact"/>
        <w:ind w:firstLine="567"/>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山东高职院校认真贯彻落实山东省职业教育东西协作行动计划任务，加强东中西部高校合作交流，用特有的情怀谱写中西部协作新篇章。2021年山东省选派了包拓37名职业教育教师在内的教育人才抵达新疆喀什，开展“组团式”援疆支教</w:t>
      </w:r>
      <w:r>
        <w:rPr>
          <w:rFonts w:hint="eastAsia" w:ascii="仿宋_GB2312" w:hAnsi="仿宋_GB2312" w:eastAsia="仿宋_GB2312" w:cs="仿宋_GB2312"/>
          <w:bCs/>
          <w:color w:val="000000" w:themeColor="text1"/>
          <w:sz w:val="28"/>
          <w:szCs w:val="28"/>
          <w14:textFill>
            <w14:solidFill>
              <w14:schemeClr w14:val="tx1"/>
            </w14:solidFill>
          </w14:textFill>
        </w:rPr>
        <w:t>。济南职业学院派出42名队员组成的支教志愿服务团赴湖南湘西州开展为期一个月的东西部精准扶贫人才支援志愿服务工作，志愿者们克服语言沟通障碍、气候不适应、饮食不习惯等种种困难因素，全心全意为湘西孩子们付出，支教成效得到了湘西和济南市政府的大力肯定与赞誉。烟台职业学院共有60名学生通过选拔成为团中央“西部计划”志愿者，在新疆、青海、西藏等地从事扶贫开发、促进民族团结等志愿服务工作，4名同学获“西部计划志愿者全国优秀个人”荣誉称号。</w:t>
      </w:r>
    </w:p>
    <w:tbl>
      <w:tblPr>
        <w:tblStyle w:val="21"/>
        <w:tblW w:w="850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0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atLeast"/>
          <w:jc w:val="center"/>
        </w:trPr>
        <w:tc>
          <w:tcPr>
            <w:tcW w:w="8720" w:type="dxa"/>
            <w:tcBorders>
              <w:bottom w:val="single" w:color="FFFFFF" w:sz="4" w:space="0"/>
            </w:tcBorders>
            <w:shd w:val="clear" w:color="auto" w:fill="0070C0"/>
            <w:vAlign w:val="center"/>
          </w:tcPr>
          <w:p>
            <w:pPr>
              <w:spacing w:line="520" w:lineRule="exact"/>
              <w:outlineLvl w:val="1"/>
              <w:rPr>
                <w:rFonts w:ascii="楷体_GB2312" w:hAnsi="Times New Roman" w:eastAsia="楷体_GB2312"/>
                <w:color w:val="000000" w:themeColor="text1"/>
                <w:sz w:val="28"/>
                <w:szCs w:val="28"/>
                <w14:textFill>
                  <w14:solidFill>
                    <w14:schemeClr w14:val="tx1"/>
                  </w14:solidFill>
                </w14:textFill>
              </w:rPr>
            </w:pPr>
            <w:bookmarkStart w:id="599" w:name="_Toc94172397"/>
            <w:bookmarkStart w:id="600" w:name="_Toc94172256"/>
            <w:bookmarkStart w:id="601" w:name="_Toc94183498"/>
            <w:bookmarkStart w:id="602" w:name="_Toc91605056"/>
            <w:r>
              <w:rPr>
                <w:rFonts w:hint="eastAsia" w:ascii="楷体_GB2312" w:hAnsi="黑体" w:eastAsia="楷体_GB2312" w:cs="黑体"/>
                <w:b/>
                <w:bCs/>
                <w:color w:val="FFFFFF" w:themeColor="background1"/>
                <w:sz w:val="28"/>
                <w:szCs w:val="28"/>
                <w14:textFill>
                  <w14:solidFill>
                    <w14:schemeClr w14:val="bg1"/>
                  </w14:solidFill>
                </w14:textFill>
              </w:rPr>
              <w:t>专栏5-4 发挥专业技术优势，助力国家战略</w:t>
            </w:r>
            <w:bookmarkEnd w:id="599"/>
            <w:bookmarkEnd w:id="600"/>
            <w:bookmarkEnd w:id="601"/>
            <w:bookmarkEnd w:id="602"/>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8720" w:type="dxa"/>
            <w:shd w:val="clear" w:color="auto" w:fill="CDEAFF"/>
          </w:tcPr>
          <w:p>
            <w:pPr>
              <w:spacing w:after="62" w:afterLines="20" w:line="500" w:lineRule="exact"/>
              <w:ind w:firstLine="482" w:firstLineChars="20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日照职业技术学院</w:t>
            </w:r>
            <w:r>
              <w:rPr>
                <w:rFonts w:hint="eastAsia" w:ascii="Times New Roman" w:hAnsi="Times New Roman" w:eastAsia="仿宋_GB2312"/>
                <w:color w:val="000000" w:themeColor="text1"/>
                <w:sz w:val="24"/>
                <w14:textFill>
                  <w14:solidFill>
                    <w14:schemeClr w14:val="tx1"/>
                  </w14:solidFill>
                </w14:textFill>
              </w:rPr>
              <w:t>聚焦蓝色经济，引领地方向海图强，在扇贝育苗、鲆鲽工厂化养殖、虾青素成果转化应用等方面，带动地方水产养殖企业三次转型升级。2021年付宁老师的澳洲淡水龙虾养殖团队瞄准新疆叶尔羌河流域的独特优势，在麦盖提县吐曼塔勒乡的盐碱荒滩上，建设了南疆第一个淡水龙虾养殖基地，4名师生全程服务，亩效益突破7000元。学校还组织了6个批次245人的当地致富带头人培训，为全面推进乡村振兴提供了智力支持与服务。</w:t>
            </w:r>
          </w:p>
          <w:p>
            <w:pPr>
              <w:spacing w:line="500" w:lineRule="exact"/>
              <w:ind w:firstLine="482" w:firstLineChars="20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山东</w:t>
            </w:r>
            <w:r>
              <w:rPr>
                <w:rFonts w:ascii="Times New Roman" w:hAnsi="Times New Roman" w:eastAsia="仿宋_GB2312" w:cs="Times New Roman"/>
                <w:b/>
                <w:bCs/>
                <w:color w:val="0070C0"/>
                <w:sz w:val="24"/>
                <w:szCs w:val="24"/>
              </w:rPr>
              <w:t>职业学院</w:t>
            </w:r>
            <w:r>
              <w:rPr>
                <w:rFonts w:hint="eastAsia" w:ascii="Times New Roman" w:hAnsi="Times New Roman" w:eastAsia="仿宋_GB2312"/>
                <w:color w:val="0070C0"/>
                <w:sz w:val="24"/>
              </w:rPr>
              <w:t>实</w:t>
            </w:r>
            <w:r>
              <w:rPr>
                <w:rFonts w:hint="eastAsia" w:ascii="Times New Roman" w:hAnsi="Times New Roman" w:eastAsia="仿宋_GB2312"/>
                <w:color w:val="000000" w:themeColor="text1"/>
                <w:sz w:val="24"/>
                <w14:textFill>
                  <w14:solidFill>
                    <w14:schemeClr w14:val="tx1"/>
                  </w14:solidFill>
                </w14:textFill>
              </w:rPr>
              <w:t>施“新型职业农民培训工程”，联合齐鲁云商、郓城县黄安镇联合举办“助力乡村振兴电商直播培训活动”等，“造血式”帮扶乡村，为乡村振兴提供新动能。实施“军地深度融合技能提升工程”，与省退役军人事务厅、市退役军人事务局、济南市退役军人事业发展促进会共同开展退役军人适应性培训、技术技能培训、就业创业培训等，年均3000人次以上，全面提升退役军人就业创业能力。</w:t>
            </w:r>
          </w:p>
          <w:p>
            <w:pPr>
              <w:spacing w:after="62" w:afterLines="20" w:line="500" w:lineRule="exact"/>
              <w:ind w:firstLine="482" w:firstLineChars="20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s="Times New Roman"/>
                <w:b/>
                <w:bCs/>
                <w:color w:val="0070C0"/>
                <w:sz w:val="24"/>
                <w:szCs w:val="24"/>
              </w:rPr>
              <w:t>山东司法警官职业学院</w:t>
            </w:r>
            <w:r>
              <w:rPr>
                <w:rFonts w:hint="eastAsia" w:ascii="Times New Roman" w:hAnsi="Times New Roman" w:eastAsia="仿宋_GB2312"/>
                <w:color w:val="000000" w:themeColor="text1"/>
                <w:sz w:val="24"/>
                <w14:textFill>
                  <w14:solidFill>
                    <w14:schemeClr w14:val="tx1"/>
                  </w14:solidFill>
                </w14:textFill>
              </w:rPr>
              <w:t>充分发挥学院专业优势，积极开展法律援助志愿服务，推进法律服务扎根基层、贴近百姓。先后走进章丘区大桑树村、蒙阴县烟庄村等多个乡村社区开展法律援助活动，通过开展现场法律咨询、发放“法律援助明白纸”、赠送法律书籍等方式，对村民关心的征地拆迁、劳动合同、土地承包、婚姻家庭等热点法律问题答疑解惑提高群众法治意识，为法治乡村建设贡献力量。</w:t>
            </w:r>
          </w:p>
        </w:tc>
      </w:tr>
    </w:tbl>
    <w:p>
      <w:pPr>
        <w:spacing w:line="520" w:lineRule="exact"/>
        <w:ind w:firstLine="567"/>
        <w:rPr>
          <w:rFonts w:ascii="仿宋_GB2312" w:hAnsi="仿宋_GB2312" w:eastAsia="仿宋_GB2312" w:cs="仿宋_GB2312"/>
          <w:color w:val="000000" w:themeColor="text1"/>
          <w:sz w:val="28"/>
          <w:szCs w:val="28"/>
          <w14:textFill>
            <w14:solidFill>
              <w14:schemeClr w14:val="tx1"/>
            </w14:solidFill>
          </w14:textFill>
        </w:rPr>
      </w:pPr>
    </w:p>
    <w:p>
      <w:pPr>
        <w:spacing w:line="520" w:lineRule="exact"/>
        <w:ind w:firstLine="567"/>
        <w:rPr>
          <w:rFonts w:ascii="仿宋_GB2312" w:hAnsi="仿宋_GB2312" w:eastAsia="仿宋_GB2312" w:cs="仿宋_GB2312"/>
          <w:color w:val="000000" w:themeColor="text1"/>
          <w:sz w:val="28"/>
          <w:szCs w:val="28"/>
          <w14:textFill>
            <w14:solidFill>
              <w14:schemeClr w14:val="tx1"/>
            </w14:solidFill>
          </w14:textFill>
        </w:rPr>
      </w:pPr>
    </w:p>
    <w:p>
      <w:pPr>
        <w:spacing w:line="520" w:lineRule="exact"/>
        <w:ind w:firstLine="567"/>
        <w:rPr>
          <w:rFonts w:ascii="仿宋_GB2312" w:hAnsi="仿宋_GB2312" w:eastAsia="仿宋_GB2312" w:cs="仿宋_GB2312"/>
          <w:color w:val="000000" w:themeColor="text1"/>
          <w:sz w:val="28"/>
          <w:szCs w:val="28"/>
          <w14:textFill>
            <w14:solidFill>
              <w14:schemeClr w14:val="tx1"/>
            </w14:solidFill>
          </w14:textFill>
        </w:rPr>
      </w:pP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widowControl/>
        <w:jc w:val="left"/>
        <w:rPr>
          <w:rFonts w:ascii="黑体" w:hAnsi="黑体" w:eastAsia="黑体" w:cs="黑体"/>
          <w:color w:val="000000" w:themeColor="text1"/>
          <w:sz w:val="28"/>
          <w:szCs w:val="28"/>
          <w14:textFill>
            <w14:solidFill>
              <w14:schemeClr w14:val="tx1"/>
            </w14:solidFill>
          </w14:textFill>
        </w:rPr>
      </w:pPr>
      <w:r>
        <w:rPr>
          <w:rFonts w:ascii="黑体" w:hAnsi="黑体" w:eastAsia="黑体" w:cs="黑体"/>
          <w:color w:val="000000" w:themeColor="text1"/>
          <w:sz w:val="28"/>
          <w:szCs w:val="28"/>
          <w14:textFill>
            <w14:solidFill>
              <w14:schemeClr w14:val="tx1"/>
            </w14:solidFill>
          </w14:textFill>
        </w:rPr>
        <w:br w:type="page"/>
      </w:r>
    </w:p>
    <w:p>
      <w:pPr>
        <w:spacing w:line="520" w:lineRule="exact"/>
        <w:ind w:firstLine="560" w:firstLineChars="200"/>
        <w:outlineLvl w:val="0"/>
        <w:rPr>
          <w:rFonts w:ascii="黑体" w:hAnsi="黑体" w:eastAsia="黑体" w:cs="黑体"/>
          <w:color w:val="000000" w:themeColor="text1"/>
          <w:sz w:val="28"/>
          <w:szCs w:val="28"/>
          <w14:textFill>
            <w14:solidFill>
              <w14:schemeClr w14:val="tx1"/>
            </w14:solidFill>
          </w14:textFill>
        </w:rPr>
      </w:pPr>
      <w:bookmarkStart w:id="603" w:name="_Toc94172257"/>
      <w:bookmarkStart w:id="604" w:name="_Toc94172398"/>
      <w:bookmarkStart w:id="605" w:name="_Toc94183499"/>
      <w:r>
        <w:rPr>
          <w:rFonts w:hint="eastAsia" w:ascii="黑体" w:hAnsi="黑体" w:eastAsia="黑体" w:cs="黑体"/>
          <w:color w:val="000000" w:themeColor="text1"/>
          <w:sz w:val="28"/>
          <w:szCs w:val="28"/>
          <w14:textFill>
            <w14:solidFill>
              <w14:schemeClr w14:val="tx1"/>
            </w14:solidFill>
          </w14:textFill>
        </w:rPr>
        <w:t>6</w:t>
      </w:r>
      <w:r>
        <w:rPr>
          <w:rFonts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14:textFill>
            <w14:solidFill>
              <w14:schemeClr w14:val="tx1"/>
            </w14:solidFill>
          </w14:textFill>
        </w:rPr>
        <w:t>职教吸引力</w:t>
      </w:r>
      <w:bookmarkEnd w:id="603"/>
      <w:bookmarkEnd w:id="604"/>
      <w:bookmarkEnd w:id="605"/>
    </w:p>
    <w:p>
      <w:pPr>
        <w:spacing w:line="520" w:lineRule="exact"/>
        <w:ind w:firstLine="567"/>
        <w:outlineLvl w:val="1"/>
        <w:rPr>
          <w:rFonts w:ascii="仿宋_GB2312" w:hAnsi="仿宋" w:eastAsia="仿宋_GB2312" w:cs="仿宋"/>
          <w:color w:val="000000" w:themeColor="text1"/>
          <w:sz w:val="28"/>
          <w:szCs w:val="28"/>
          <w14:textFill>
            <w14:solidFill>
              <w14:schemeClr w14:val="tx1"/>
            </w14:solidFill>
          </w14:textFill>
        </w:rPr>
      </w:pPr>
      <w:bookmarkStart w:id="606" w:name="_Toc94183500"/>
      <w:bookmarkStart w:id="607" w:name="_Toc94172258"/>
      <w:bookmarkStart w:id="608" w:name="_Toc94172399"/>
      <w:r>
        <w:rPr>
          <w:rFonts w:hint="eastAsia" w:ascii="仿宋_GB2312" w:hAnsi="仿宋" w:eastAsia="仿宋_GB2312" w:cs="仿宋"/>
          <w:color w:val="000000" w:themeColor="text1"/>
          <w:sz w:val="28"/>
          <w:szCs w:val="28"/>
          <w14:textFill>
            <w14:solidFill>
              <w14:schemeClr w14:val="tx1"/>
            </w14:solidFill>
          </w14:textFill>
        </w:rPr>
        <w:t>山东省连续三年超额完成高职“百万扩招”任务，新生报到率、毕业生对母校满意度、雇主对毕业生满意度均有不同程度提升，反映山东高职院校人才培养质量较好，职业教育的社会认可度较高。全省职业院校国（境）外办学点达43个，职业教育开放度和国际影响力稳步提升。2021年全国职业教育活动周启动仪式暨技能大赛开幕式在山东济南举行，被称赞为“职教盛会”“职教嘉年华”，职业教育吸引力明显增强。</w:t>
      </w:r>
      <w:bookmarkEnd w:id="606"/>
      <w:bookmarkEnd w:id="607"/>
      <w:bookmarkEnd w:id="608"/>
    </w:p>
    <w:p>
      <w:pPr>
        <w:spacing w:line="520" w:lineRule="exact"/>
        <w:ind w:firstLine="567"/>
        <w:outlineLvl w:val="1"/>
        <w:rPr>
          <w:rFonts w:ascii="楷体_GB2312" w:hAnsi="楷体_GB2312" w:eastAsia="楷体_GB2312" w:cs="楷体_GB2312"/>
          <w:bCs/>
          <w:color w:val="000000" w:themeColor="text1"/>
          <w:sz w:val="28"/>
          <w:szCs w:val="28"/>
          <w14:textFill>
            <w14:solidFill>
              <w14:schemeClr w14:val="tx1"/>
            </w14:solidFill>
          </w14:textFill>
        </w:rPr>
      </w:pPr>
      <w:bookmarkStart w:id="609" w:name="_Toc94172400"/>
      <w:bookmarkStart w:id="610" w:name="_Toc94172259"/>
      <w:bookmarkStart w:id="611" w:name="_Toc94183501"/>
      <w:r>
        <w:rPr>
          <w:rFonts w:hint="eastAsia" w:ascii="楷体_GB2312" w:hAnsi="楷体_GB2312" w:eastAsia="楷体_GB2312" w:cs="楷体_GB2312"/>
          <w:bCs/>
          <w:color w:val="000000" w:themeColor="text1"/>
          <w:sz w:val="28"/>
          <w:szCs w:val="28"/>
          <w14:textFill>
            <w14:solidFill>
              <w14:schemeClr w14:val="tx1"/>
            </w14:solidFill>
          </w14:textFill>
        </w:rPr>
        <w:t>6.1招生报到情况</w:t>
      </w:r>
      <w:bookmarkEnd w:id="609"/>
      <w:bookmarkEnd w:id="610"/>
      <w:bookmarkEnd w:id="611"/>
    </w:p>
    <w:p>
      <w:pPr>
        <w:spacing w:line="52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扩充资源强吸引。</w:t>
      </w:r>
      <w:r>
        <w:rPr>
          <w:rFonts w:hint="eastAsia" w:ascii="仿宋_GB2312" w:hAnsi="仿宋" w:eastAsia="仿宋_GB2312" w:cs="仿宋"/>
          <w:color w:val="000000" w:themeColor="text1"/>
          <w:sz w:val="28"/>
          <w:szCs w:val="28"/>
          <w14:textFill>
            <w14:solidFill>
              <w14:schemeClr w14:val="tx1"/>
            </w14:solidFill>
          </w14:textFill>
        </w:rPr>
        <w:t>高职扩招是党中央、国务院立足经济社会发展大局作出的重大决策部署，山东省在系统总结前两年高职扩招经验做法基础上，按照适度扩大、有利选拔的原则，科学布局单独招生高职院校，全省实施单独招生的学校数由最初的82所增加到92所。科学设置招生专业和计划，重点向区域经济发展急需、社会民生领域紧缺、市场前景好和就业率高的专业倾斜，加大优质教育资源投放力度，激发报考积极性。2021年，山东省高职院校录取48.01万人，比上年增加3.46万人，连续三年超额完成国家下达的“百万扩招”任务。全省共招收退役军人9625人，企业在岗员工5084人，农民工、基层农技人员等2678人。三年来，高职扩招累计招收各类社会群体人员10.43万人。</w:t>
      </w:r>
    </w:p>
    <w:p>
      <w:pPr>
        <w:spacing w:line="520" w:lineRule="exact"/>
        <w:ind w:firstLine="562" w:firstLineChars="200"/>
        <w:rPr>
          <w:rFonts w:ascii="仿宋_GB2312" w:hAnsi="仿宋" w:eastAsia="仿宋_GB2312" w:cs="仿宋"/>
          <w:color w:val="0000FF"/>
          <w:sz w:val="28"/>
          <w:szCs w:val="28"/>
        </w:rPr>
      </w:pPr>
      <w:r>
        <w:rPr>
          <w:rFonts w:hint="eastAsia" w:ascii="仿宋_GB2312" w:hAnsi="仿宋" w:eastAsia="仿宋_GB2312" w:cs="仿宋"/>
          <w:b/>
          <w:bCs/>
          <w:color w:val="000000" w:themeColor="text1"/>
          <w:sz w:val="28"/>
          <w:szCs w:val="28"/>
          <w14:textFill>
            <w14:solidFill>
              <w14:schemeClr w14:val="tx1"/>
            </w14:solidFill>
          </w14:textFill>
        </w:rPr>
        <w:t>高职吸引力稳步提升。</w:t>
      </w:r>
      <w:r>
        <w:rPr>
          <w:rFonts w:hint="eastAsia" w:ascii="仿宋_GB2312" w:hAnsi="仿宋" w:eastAsia="仿宋_GB2312" w:cs="仿宋"/>
          <w:color w:val="000000" w:themeColor="text1"/>
          <w:sz w:val="28"/>
          <w:szCs w:val="28"/>
          <w14:textFill>
            <w14:solidFill>
              <w14:schemeClr w14:val="tx1"/>
            </w14:solidFill>
          </w14:textFill>
        </w:rPr>
        <w:t>2021年，山东省教育厅推出10条举措，通过精细化解读高考政策、精准化开展培训指导、智能化设计辅助系统、最大化提供数据参考、个性化开展模拟演练、贴心化举办公益直播、全员化开展赠书活动、立体化提升专业认知、多样化提供咨询服务、常态化播出辅导节目等举措，给考生和家长提供全面系统、贴心细心的服务，助力考生自主、科学、精准填报高考志愿。2021年度，山东省高等职业院校实际报到率为91.70%，与去年报到率91.67%基本持平。如图6-1所示，近五年全省高等职业院校报到率分别为89.14%、90.76%、91.08%、91.67%、91.70%，报到率呈逐年上升趋势，并持续增长，说明高等职业教育的吸引力稳步提升。</w:t>
      </w:r>
    </w:p>
    <w:p>
      <w:pPr>
        <w:pStyle w:val="10"/>
        <w:spacing w:after="0"/>
        <w:ind w:left="0" w:leftChars="0" w:firstLine="4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25415" cy="1683385"/>
            <wp:effectExtent l="4445" t="4445" r="15240" b="1397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612" w:name="_Toc91605060"/>
      <w:bookmarkStart w:id="613" w:name="_Toc94172260"/>
      <w:bookmarkStart w:id="614" w:name="_Toc94183502"/>
      <w:bookmarkStart w:id="615" w:name="_Toc94172401"/>
      <w:r>
        <w:rPr>
          <w:rFonts w:hint="eastAsia" w:ascii="宋体" w:hAnsi="宋体" w:eastAsia="宋体"/>
          <w:b/>
          <w:bCs/>
          <w:color w:val="000000" w:themeColor="text1"/>
          <w:sz w:val="24"/>
          <w:szCs w:val="24"/>
          <w14:textFill>
            <w14:solidFill>
              <w14:schemeClr w14:val="tx1"/>
            </w14:solidFill>
          </w14:textFill>
        </w:rPr>
        <w:t>图6-1 2017—2021年山东省高等职业院校实际报到率/%</w:t>
      </w:r>
      <w:bookmarkEnd w:id="612"/>
      <w:bookmarkEnd w:id="613"/>
      <w:bookmarkEnd w:id="614"/>
      <w:bookmarkEnd w:id="615"/>
    </w:p>
    <w:p>
      <w:pPr>
        <w:pStyle w:val="4"/>
        <w:spacing w:before="62" w:beforeLines="20"/>
        <w:jc w:val="both"/>
        <w:rPr>
          <w:rFonts w:ascii="宋体" w:hAnsi="宋体" w:eastAsia="宋体"/>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数据来源：</w:t>
      </w:r>
      <w:r>
        <w:rPr>
          <w:rFonts w:ascii="宋体" w:hAnsi="宋体" w:eastAsia="宋体"/>
          <w:color w:val="000000" w:themeColor="text1"/>
          <w:sz w:val="21"/>
          <w:szCs w:val="21"/>
          <w14:textFill>
            <w14:solidFill>
              <w14:schemeClr w14:val="tx1"/>
            </w14:solidFill>
          </w14:textFill>
        </w:rPr>
        <w:t xml:space="preserve"> 2017-2021年度高等职业院校人才培养工作状态数据采集与管理平台。</w:t>
      </w:r>
    </w:p>
    <w:p>
      <w:pPr>
        <w:spacing w:line="52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率先探索“职教高考”制度。</w:t>
      </w:r>
      <w:r>
        <w:rPr>
          <w:rFonts w:hint="eastAsia" w:ascii="仿宋_GB2312" w:hAnsi="仿宋" w:eastAsia="仿宋_GB2312" w:cs="仿宋"/>
          <w:color w:val="000000" w:themeColor="text1"/>
          <w:sz w:val="28"/>
          <w:szCs w:val="28"/>
          <w14:textFill>
            <w14:solidFill>
              <w14:schemeClr w14:val="tx1"/>
            </w14:solidFill>
          </w14:textFill>
        </w:rPr>
        <w:t>职教高考是与普通教育高考具有同等功能的高考制度。山东省先行先试，全国率先探索建立“职教高考”制度，全面构建从中职、专科、职业教育本科、应用型本科到专业学位研究生的应用型人才培养体系，打破夏季高考的独木桥格局，形成职教、普教并行的高考双车道，吸引更多青少年走技能成才、技能报国之路。2021年，山东健全“专业技能+文化素质”职业教育考试招生制度，在继续推进高职扩招基础上，重点增加职教高考本科招生计划，对获得国家技能大赛三等奖以上、省赛一等奖的学生，免试专业知识和技能，“职教高考”吸引力不断增强。2021年，山东商业职业技术学院21个专业录取最低线，均超过本科线。过去“职校只能招收低分生”的难题，开始逐步得到破解。“职教高考”制度拓宽了职校学生学业晋升、技术技能提升渠道。</w:t>
      </w:r>
    </w:p>
    <w:p>
      <w:pPr>
        <w:spacing w:line="520" w:lineRule="exact"/>
        <w:ind w:firstLine="567"/>
        <w:outlineLvl w:val="1"/>
        <w:rPr>
          <w:rFonts w:ascii="楷体_GB2312" w:hAnsi="楷体_GB2312" w:eastAsia="楷体_GB2312" w:cs="楷体_GB2312"/>
          <w:bCs/>
          <w:color w:val="000000" w:themeColor="text1"/>
          <w:sz w:val="28"/>
          <w:szCs w:val="28"/>
          <w14:textFill>
            <w14:solidFill>
              <w14:schemeClr w14:val="tx1"/>
            </w14:solidFill>
          </w14:textFill>
        </w:rPr>
      </w:pPr>
      <w:bookmarkStart w:id="616" w:name="_Toc94172261"/>
      <w:bookmarkStart w:id="617" w:name="_Toc94172402"/>
      <w:bookmarkStart w:id="618" w:name="_Toc94183503"/>
      <w:r>
        <w:rPr>
          <w:rFonts w:hint="eastAsia" w:ascii="楷体_GB2312" w:hAnsi="楷体_GB2312" w:eastAsia="楷体_GB2312" w:cs="楷体_GB2312"/>
          <w:bCs/>
          <w:color w:val="000000" w:themeColor="text1"/>
          <w:sz w:val="28"/>
          <w:szCs w:val="28"/>
          <w14:textFill>
            <w14:solidFill>
              <w14:schemeClr w14:val="tx1"/>
            </w14:solidFill>
          </w14:textFill>
        </w:rPr>
        <w:t>6.2学生与雇主满意度</w:t>
      </w:r>
      <w:bookmarkEnd w:id="616"/>
      <w:bookmarkEnd w:id="617"/>
      <w:bookmarkEnd w:id="618"/>
    </w:p>
    <w:p>
      <w:pPr>
        <w:spacing w:line="52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毕业生对母校满意度较高。</w:t>
      </w:r>
      <w:r>
        <w:rPr>
          <w:rFonts w:hint="eastAsia" w:ascii="仿宋_GB2312" w:hAnsi="仿宋" w:eastAsia="仿宋_GB2312" w:cs="仿宋"/>
          <w:color w:val="000000" w:themeColor="text1"/>
          <w:sz w:val="28"/>
          <w:szCs w:val="28"/>
          <w14:textFill>
            <w14:solidFill>
              <w14:schemeClr w14:val="tx1"/>
            </w14:solidFill>
          </w14:textFill>
        </w:rPr>
        <w:t>2021年，山东省83所高等职业院校毕业生26.06万人，毕业生对母校的平均满意度为97.73%，相比去年满意度96.53%上升1.2个百分点。满意度最高的院校达到100%，满意度最低的院校为88.39%。从近三届的趋势可以看出，毕业生对母校满意度一直保持在96%以上，毕业生对母校总体办学水平评价和认可度较高，反映出毕业生对学校培养水平的认可，主要原因是高等职业教育产教融合的特点使得教学课程和实际生产紧密结合，学生毕业即能顶岗。</w:t>
      </w:r>
    </w:p>
    <w:p>
      <w:pPr>
        <w:pStyle w:val="31"/>
        <w:spacing w:line="480" w:lineRule="auto"/>
        <w:ind w:firstLine="420"/>
        <w:jc w:val="center"/>
        <w:rPr>
          <w:color w:val="000000" w:themeColor="text1"/>
          <w14:textFill>
            <w14:solidFill>
              <w14:schemeClr w14:val="tx1"/>
            </w14:solidFill>
          </w14:textFill>
        </w:rPr>
      </w:pPr>
      <w:r>
        <w:rPr>
          <w:color w:val="000000" w:themeColor="text1"/>
          <w:lang w:val="en-US"/>
          <w14:textFill>
            <w14:solidFill>
              <w14:schemeClr w14:val="tx1"/>
            </w14:solidFill>
          </w14:textFill>
        </w:rPr>
        <w:drawing>
          <wp:inline distT="0" distB="0" distL="114300" distR="114300">
            <wp:extent cx="4794885" cy="1582420"/>
            <wp:effectExtent l="4445" t="4445" r="13970" b="13335"/>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619" w:name="_Toc91605062"/>
      <w:bookmarkStart w:id="620" w:name="_Toc94172262"/>
      <w:bookmarkStart w:id="621" w:name="_Toc94183504"/>
      <w:bookmarkStart w:id="622" w:name="_Toc94172403"/>
      <w:r>
        <w:rPr>
          <w:rFonts w:hint="eastAsia" w:ascii="宋体" w:hAnsi="宋体" w:eastAsia="宋体"/>
          <w:b/>
          <w:bCs/>
          <w:color w:val="000000" w:themeColor="text1"/>
          <w:sz w:val="24"/>
          <w:szCs w:val="24"/>
          <w14:textFill>
            <w14:solidFill>
              <w14:schemeClr w14:val="tx1"/>
            </w14:solidFill>
          </w14:textFill>
        </w:rPr>
        <w:t>图6-2 2017—2021届山东省高等职业院校毕业生对母校满意度/%</w:t>
      </w:r>
      <w:bookmarkEnd w:id="619"/>
      <w:bookmarkEnd w:id="620"/>
      <w:bookmarkEnd w:id="621"/>
      <w:bookmarkEnd w:id="622"/>
    </w:p>
    <w:p>
      <w:pPr>
        <w:pStyle w:val="4"/>
        <w:spacing w:before="62" w:beforeLines="20"/>
        <w:jc w:val="both"/>
        <w:rPr>
          <w:rFonts w:ascii="宋体" w:hAnsi="宋体" w:eastAsia="宋体"/>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数据来源：</w:t>
      </w:r>
      <w:r>
        <w:rPr>
          <w:rFonts w:ascii="宋体" w:hAnsi="宋体" w:eastAsia="宋体"/>
          <w:color w:val="000000" w:themeColor="text1"/>
          <w:sz w:val="21"/>
          <w:szCs w:val="21"/>
          <w14:textFill>
            <w14:solidFill>
              <w14:schemeClr w14:val="tx1"/>
            </w14:solidFill>
          </w14:textFill>
        </w:rPr>
        <w:t>2017-2021年度高等职业院校人才培养工作状态数据采集与管理平台。</w:t>
      </w:r>
    </w:p>
    <w:p>
      <w:pPr>
        <w:spacing w:line="52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雇主对毕业生满意度较高。</w:t>
      </w:r>
      <w:r>
        <w:rPr>
          <w:rFonts w:hint="eastAsia" w:ascii="仿宋_GB2312" w:hAnsi="仿宋" w:eastAsia="仿宋_GB2312" w:cs="仿宋"/>
          <w:color w:val="000000" w:themeColor="text1"/>
          <w:sz w:val="28"/>
          <w:szCs w:val="28"/>
          <w14:textFill>
            <w14:solidFill>
              <w14:schemeClr w14:val="tx1"/>
            </w14:solidFill>
          </w14:textFill>
        </w:rPr>
        <w:t>2021年，山东省83所高等职业院校毕业生雇主满意度为97.89%，相比去年满意度96.93%上升0.96个百分点。满意度最高的院校达到100%，满意度最低的院校为85.65%。2021届毕业生到500强企业工作的有19493人，占到就业人数的7.8%。毕业生深受中国建筑、国家电网、中石化、中石油、中铁等知名企业的青睐。其中山东商业职业技术学院与海尔集团、联想集团、阿里巴巴、华住集团等知名企业建立了紧密的校企合作关系，毕业生就业率达98%以上，毕业生质量得到社会高度认可。近三年，毕业生雇主满意度稳定在97%左右，用人单位对毕业生的总体评价和满意度较高，反映山东高职院校人才培养质量较好，职业教育的社会认可度较高。</w:t>
      </w:r>
    </w:p>
    <w:p>
      <w:pPr>
        <w:pStyle w:val="31"/>
        <w:ind w:firstLine="0" w:firstLineChars="0"/>
        <w:jc w:val="center"/>
        <w:rPr>
          <w:color w:val="000000" w:themeColor="text1"/>
          <w14:textFill>
            <w14:solidFill>
              <w14:schemeClr w14:val="tx1"/>
            </w14:solidFill>
          </w14:textFill>
        </w:rPr>
      </w:pPr>
      <w:r>
        <w:rPr>
          <w:color w:val="000000" w:themeColor="text1"/>
          <w:lang w:val="en-US"/>
          <w14:textFill>
            <w14:solidFill>
              <w14:schemeClr w14:val="tx1"/>
            </w14:solidFill>
          </w14:textFill>
        </w:rPr>
        <w:drawing>
          <wp:inline distT="0" distB="0" distL="114300" distR="114300">
            <wp:extent cx="5314315" cy="1633855"/>
            <wp:effectExtent l="4445" t="4445" r="15240" b="12700"/>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623" w:name="_Toc91605063"/>
      <w:bookmarkStart w:id="624" w:name="_Toc94172263"/>
      <w:bookmarkStart w:id="625" w:name="_Toc94172404"/>
      <w:bookmarkStart w:id="626" w:name="_Toc94183505"/>
      <w:r>
        <w:rPr>
          <w:rFonts w:hint="eastAsia" w:ascii="宋体" w:hAnsi="宋体" w:eastAsia="宋体"/>
          <w:b/>
          <w:bCs/>
          <w:color w:val="000000" w:themeColor="text1"/>
          <w:sz w:val="24"/>
          <w:szCs w:val="24"/>
          <w14:textFill>
            <w14:solidFill>
              <w14:schemeClr w14:val="tx1"/>
            </w14:solidFill>
          </w14:textFill>
        </w:rPr>
        <w:t>图6-3 2017—2021届山东省高等职业院校毕业生的雇主满意度/%</w:t>
      </w:r>
      <w:bookmarkEnd w:id="623"/>
      <w:bookmarkEnd w:id="624"/>
      <w:bookmarkEnd w:id="625"/>
      <w:bookmarkEnd w:id="626"/>
    </w:p>
    <w:p>
      <w:pPr>
        <w:pStyle w:val="4"/>
        <w:spacing w:before="62" w:beforeLines="20"/>
        <w:jc w:val="both"/>
        <w:rPr>
          <w:rFonts w:ascii="宋体" w:hAnsi="宋体" w:eastAsia="宋体"/>
          <w:color w:val="000000" w:themeColor="text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数据来源：</w:t>
      </w:r>
      <w:r>
        <w:rPr>
          <w:rFonts w:ascii="宋体" w:hAnsi="宋体" w:eastAsia="宋体"/>
          <w:color w:val="000000" w:themeColor="text1"/>
          <w:sz w:val="21"/>
          <w:szCs w:val="21"/>
          <w14:textFill>
            <w14:solidFill>
              <w14:schemeClr w14:val="tx1"/>
            </w14:solidFill>
          </w14:textFill>
        </w:rPr>
        <w:t>2017-2021年度高等职业院校人才培养工作状态数据采集与管理平台。</w:t>
      </w:r>
    </w:p>
    <w:p>
      <w:pPr>
        <w:spacing w:line="520" w:lineRule="exact"/>
        <w:ind w:firstLine="562" w:firstLineChars="200"/>
        <w:rPr>
          <w:rFonts w:ascii="仿宋_GB2312" w:hAnsi="仿宋" w:eastAsia="仿宋_GB2312" w:cs="仿宋"/>
          <w:b/>
          <w:bCs/>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“双高计划”建设学校优势明显。</w:t>
      </w:r>
      <w:r>
        <w:rPr>
          <w:rFonts w:hint="eastAsia" w:ascii="仿宋_GB2312" w:hAnsi="仿宋" w:eastAsia="仿宋_GB2312" w:cs="仿宋"/>
          <w:color w:val="000000" w:themeColor="text1"/>
          <w:sz w:val="28"/>
          <w:szCs w:val="28"/>
          <w14:textFill>
            <w14:solidFill>
              <w14:schemeClr w14:val="tx1"/>
            </w14:solidFill>
          </w14:textFill>
        </w:rPr>
        <w:t>2021年，全省15所“双高计划”建设学校毕业生对母校满意度、雇主满意度分别为98.26%、98.68%，相比非“双高计划”建设学校分别高出12.33、12.61个百分点。可见非“双高计划”建设学校和“双高计划”建设学校相比仍有一定的差距，需进一步提升学校整体办学水平和人才培养质量。</w:t>
      </w:r>
    </w:p>
    <w:p>
      <w:pPr>
        <w:spacing w:line="520" w:lineRule="exact"/>
        <w:ind w:firstLine="567"/>
        <w:outlineLvl w:val="1"/>
        <w:rPr>
          <w:rFonts w:ascii="楷体_GB2312" w:hAnsi="楷体_GB2312" w:eastAsia="楷体_GB2312" w:cs="楷体_GB2312"/>
          <w:bCs/>
          <w:color w:val="000000" w:themeColor="text1"/>
          <w:sz w:val="28"/>
          <w:szCs w:val="28"/>
          <w14:textFill>
            <w14:solidFill>
              <w14:schemeClr w14:val="tx1"/>
            </w14:solidFill>
          </w14:textFill>
        </w:rPr>
      </w:pPr>
      <w:bookmarkStart w:id="627" w:name="_Toc94172264"/>
      <w:bookmarkStart w:id="628" w:name="_Toc94172405"/>
      <w:bookmarkStart w:id="629" w:name="_Toc94183506"/>
      <w:r>
        <w:rPr>
          <w:rFonts w:hint="eastAsia" w:ascii="楷体_GB2312" w:hAnsi="楷体_GB2312" w:eastAsia="楷体_GB2312" w:cs="楷体_GB2312"/>
          <w:bCs/>
          <w:color w:val="000000" w:themeColor="text1"/>
          <w:sz w:val="28"/>
          <w:szCs w:val="28"/>
          <w14:textFill>
            <w14:solidFill>
              <w14:schemeClr w14:val="tx1"/>
            </w14:solidFill>
          </w14:textFill>
        </w:rPr>
        <w:t>6.3社会影响</w:t>
      </w:r>
      <w:bookmarkEnd w:id="627"/>
      <w:bookmarkEnd w:id="628"/>
      <w:bookmarkEnd w:id="629"/>
    </w:p>
    <w:p>
      <w:pPr>
        <w:spacing w:line="520" w:lineRule="exact"/>
        <w:ind w:firstLine="562" w:firstLineChars="200"/>
        <w:rPr>
          <w:rFonts w:ascii="仿宋_GB2312" w:eastAsia="仿宋_GB2312"/>
          <w:color w:val="000000" w:themeColor="text1"/>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吸引社会捐赠的能力有待提升。</w:t>
      </w:r>
      <w:r>
        <w:rPr>
          <w:rFonts w:hint="eastAsia" w:ascii="仿宋_GB2312" w:hAnsi="仿宋" w:eastAsia="仿宋_GB2312" w:cs="仿宋"/>
          <w:color w:val="000000" w:themeColor="text1"/>
          <w:sz w:val="28"/>
          <w:szCs w:val="28"/>
          <w14:textFill>
            <w14:solidFill>
              <w14:schemeClr w14:val="tx1"/>
            </w14:solidFill>
          </w14:textFill>
        </w:rPr>
        <w:t>2021年，山东省83所高等职业院校获社会捐赠（捐赠设备）1.01亿元，相比2019年减少了0.63亿元，企业经济下行、学校资金筹措“内功不强”等都是影响社会捐赠减少的关键因素。社会捐赠（捐赠设备）主要集中在“双高计划”建设学校，其中淄博职业学院为558万元，日照职业技术学院为174.8万元，总的来看，社会捐赠与学校声誉、办学质量和校友力量的关系呈正相关。</w:t>
      </w:r>
    </w:p>
    <w:p>
      <w:pPr>
        <w:pStyle w:val="10"/>
        <w:spacing w:after="0"/>
        <w:ind w:left="0" w:leftChars="0" w:firstLine="4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400040" cy="1440180"/>
            <wp:effectExtent l="4445" t="4445" r="5715" b="15875"/>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4"/>
        <w:widowControl w:val="0"/>
        <w:spacing w:before="93" w:beforeLines="30" w:after="93" w:afterLines="30"/>
        <w:jc w:val="center"/>
        <w:outlineLvl w:val="2"/>
        <w:rPr>
          <w:rFonts w:ascii="宋体" w:hAnsi="宋体" w:eastAsia="宋体"/>
          <w:b/>
          <w:bCs/>
          <w:color w:val="000000" w:themeColor="text1"/>
          <w:sz w:val="24"/>
          <w:szCs w:val="24"/>
          <w14:textFill>
            <w14:solidFill>
              <w14:schemeClr w14:val="tx1"/>
            </w14:solidFill>
          </w14:textFill>
        </w:rPr>
      </w:pPr>
      <w:bookmarkStart w:id="630" w:name="_Toc94172406"/>
      <w:bookmarkStart w:id="631" w:name="_Toc91605065"/>
      <w:bookmarkStart w:id="632" w:name="_Toc94172265"/>
      <w:bookmarkStart w:id="633" w:name="_Toc94183507"/>
      <w:r>
        <w:rPr>
          <w:rFonts w:hint="eastAsia" w:ascii="宋体" w:hAnsi="宋体" w:eastAsia="宋体"/>
          <w:b/>
          <w:bCs/>
          <w:color w:val="000000" w:themeColor="text1"/>
          <w:sz w:val="24"/>
          <w:szCs w:val="24"/>
          <w14:textFill>
            <w14:solidFill>
              <w14:schemeClr w14:val="tx1"/>
            </w14:solidFill>
          </w14:textFill>
        </w:rPr>
        <w:t>图6-4 2017—2021年山东省高等职业院校社会捐赠收入/亿元</w:t>
      </w:r>
      <w:bookmarkEnd w:id="630"/>
      <w:bookmarkEnd w:id="631"/>
      <w:bookmarkEnd w:id="632"/>
      <w:bookmarkEnd w:id="633"/>
    </w:p>
    <w:p>
      <w:pPr>
        <w:pStyle w:val="4"/>
        <w:spacing w:before="62" w:beforeLines="20"/>
        <w:jc w:val="both"/>
        <w:rPr>
          <w:rFonts w:ascii="宋体" w:hAnsi="宋体" w:eastAsia="宋体"/>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数据来源：</w:t>
      </w:r>
      <w:r>
        <w:rPr>
          <w:rFonts w:ascii="宋体" w:hAnsi="宋体" w:eastAsia="宋体"/>
          <w:color w:val="000000" w:themeColor="text1"/>
          <w:sz w:val="21"/>
          <w:szCs w:val="21"/>
          <w14:textFill>
            <w14:solidFill>
              <w14:schemeClr w14:val="tx1"/>
            </w14:solidFill>
          </w14:textFill>
        </w:rPr>
        <w:t>2017-2021年度高等职业院校人才培养工作状态数据采集与管理平台。</w:t>
      </w:r>
    </w:p>
    <w:p>
      <w:pPr>
        <w:spacing w:line="52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成功举办全国职业教育活动周启动仪式暨技能大赛开幕式。</w:t>
      </w:r>
      <w:r>
        <w:rPr>
          <w:rFonts w:hint="eastAsia" w:ascii="仿宋_GB2312" w:hAnsi="仿宋" w:eastAsia="仿宋_GB2312" w:cs="仿宋"/>
          <w:color w:val="000000" w:themeColor="text1"/>
          <w:sz w:val="28"/>
          <w:szCs w:val="28"/>
          <w14:textFill>
            <w14:solidFill>
              <w14:schemeClr w14:val="tx1"/>
            </w14:solidFill>
          </w14:textFill>
        </w:rPr>
        <w:t>5月20日，全国职业教育活动周启动仪式暨技能大赛开幕式在济南举行，时任省长李干杰，教育部党组成员、副部长孙尧出席并致辞。活动周以“技能：让生活更美好”为主题，集竞赛、论坛、展览、对话、体验于一体，全面展示了山东职教改革创新发展成果。期间，28个部委、31个省（区、市）教育行政部门、沿黄流域9个省会城市政府，以及全国1400多所院校、562家知名企业参加，10万人次观摩，被称赞为“职教盛会”“职教嘉年华”，有力助推了山东职教高地建设进程。</w:t>
      </w:r>
    </w:p>
    <w:p>
      <w:pPr>
        <w:spacing w:line="520" w:lineRule="exact"/>
        <w:ind w:firstLine="562" w:firstLineChars="200"/>
        <w:rPr>
          <w:rFonts w:ascii="仿宋_GB2312" w:hAnsi="仿宋" w:eastAsia="仿宋_GB2312" w:cs="仿宋"/>
          <w:b/>
          <w:bCs/>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职业教育经验做法全国推广。</w:t>
      </w:r>
      <w:r>
        <w:rPr>
          <w:rFonts w:hint="eastAsia" w:ascii="仿宋_GB2312" w:hAnsi="仿宋" w:eastAsia="仿宋_GB2312" w:cs="仿宋"/>
          <w:color w:val="000000" w:themeColor="text1"/>
          <w:sz w:val="28"/>
          <w:szCs w:val="28"/>
          <w14:textFill>
            <w14:solidFill>
              <w14:schemeClr w14:val="tx1"/>
            </w14:solidFill>
          </w14:textFill>
        </w:rPr>
        <w:t>山东省是国务院首批激励的职教改革成效明显省份，在今年的全国职业教育大会上，山东作为大会第一个发言的省份，由王心富副省长代表山东作了题为“整省推进 提质培优 加快建设国家职业教育创新发展高地”的典型发言，介绍了山东职业教育经验做法。职教创新发展高地建设启动以来，省委书记、省长和部长亲自担任领导小组组长，山东9个部门、教育部12个司局全程参与，在考试招生、人才培养、产教融合、教师队伍、办学机制、管理体制、保障机制、国际交流等方面，出台20项改革政策，为中国特色职业教育制度和模式构建探索了路径，为全国职教大会召开和职教法修订提供了实践和经验支撑，初步实现“起步成势、一年成式”目标。</w:t>
      </w:r>
    </w:p>
    <w:p>
      <w:pPr>
        <w:spacing w:line="520" w:lineRule="exact"/>
        <w:ind w:firstLine="567"/>
        <w:outlineLvl w:val="1"/>
        <w:rPr>
          <w:rFonts w:ascii="楷体_GB2312" w:hAnsi="楷体_GB2312" w:eastAsia="楷体_GB2312" w:cs="楷体_GB2312"/>
          <w:bCs/>
          <w:color w:val="000000" w:themeColor="text1"/>
          <w:sz w:val="28"/>
          <w:szCs w:val="28"/>
          <w14:textFill>
            <w14:solidFill>
              <w14:schemeClr w14:val="tx1"/>
            </w14:solidFill>
          </w14:textFill>
        </w:rPr>
      </w:pPr>
      <w:bookmarkStart w:id="634" w:name="_Toc94172266"/>
      <w:bookmarkStart w:id="635" w:name="_Toc94183508"/>
      <w:bookmarkStart w:id="636" w:name="_Toc94172407"/>
      <w:r>
        <w:rPr>
          <w:rFonts w:hint="eastAsia" w:ascii="楷体_GB2312" w:hAnsi="楷体_GB2312" w:eastAsia="楷体_GB2312" w:cs="楷体_GB2312"/>
          <w:bCs/>
          <w:color w:val="000000" w:themeColor="text1"/>
          <w:sz w:val="28"/>
          <w:szCs w:val="28"/>
          <w14:textFill>
            <w14:solidFill>
              <w14:schemeClr w14:val="tx1"/>
            </w14:solidFill>
          </w14:textFill>
        </w:rPr>
        <w:t>6.4国际影响</w:t>
      </w:r>
      <w:bookmarkEnd w:id="634"/>
      <w:bookmarkEnd w:id="635"/>
      <w:bookmarkEnd w:id="636"/>
    </w:p>
    <w:p>
      <w:pPr>
        <w:spacing w:line="520" w:lineRule="exact"/>
        <w:ind w:firstLine="560"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color w:val="000000" w:themeColor="text1"/>
          <w:sz w:val="28"/>
          <w:szCs w:val="28"/>
          <w14:textFill>
            <w14:solidFill>
              <w14:schemeClr w14:val="tx1"/>
            </w14:solidFill>
          </w14:textFill>
        </w:rPr>
        <w:t>2021年度，山东省深化职业教育国际交流合作，由更多侧重于有重点地“引进来”“走出去”，与重点国家和地区向更全方位更宽领域更多层次更加主动深化合作交流。</w:t>
      </w:r>
    </w:p>
    <w:p>
      <w:pPr>
        <w:spacing w:line="52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“组团出海”赋能企业“走出去”。</w:t>
      </w:r>
      <w:r>
        <w:rPr>
          <w:rFonts w:hint="eastAsia" w:ascii="仿宋_GB2312" w:hAnsi="仿宋" w:eastAsia="仿宋_GB2312" w:cs="仿宋"/>
          <w:color w:val="000000" w:themeColor="text1"/>
          <w:sz w:val="28"/>
          <w:szCs w:val="28"/>
          <w14:textFill>
            <w14:solidFill>
              <w14:schemeClr w14:val="tx1"/>
            </w14:solidFill>
          </w14:textFill>
        </w:rPr>
        <w:t>为服务“一带一路”倡议和国际产能合作，赋能中国企业海外高质量发展，在教育部、中国有色金属工业协会和国家有关部委指导下，山东省教育厅、有色金属工业人才中心共同支持山东省47所职业院校，与中国有色矿业集团、中国铝业集团等10余家央企、地方特大型企业合作，在“一带一路”沿线9个国家校企共建16所海外职业技术学院（校区），“组团出海”，探索职业教育服务“一带一路”的有效模式路径。目前，山东省职业院校国（境）外办学点达43个，职业教育开放度和国际影响力稳步提升。</w:t>
      </w:r>
    </w:p>
    <w:p>
      <w:pPr>
        <w:pStyle w:val="10"/>
        <w:spacing w:line="240" w:lineRule="auto"/>
        <w:ind w:left="0" w:leftChars="0"/>
        <w:jc w:val="center"/>
        <w:rPr>
          <w:color w:val="000000" w:themeColor="text1"/>
          <w14:textFill>
            <w14:solidFill>
              <w14:schemeClr w14:val="tx1"/>
            </w14:solidFill>
          </w14:textFill>
        </w:rPr>
      </w:pPr>
    </w:p>
    <w:p>
      <w:pPr>
        <w:pStyle w:val="10"/>
        <w:spacing w:after="0"/>
        <w:ind w:left="0" w:leftChars="0" w:firstLine="420"/>
        <w:jc w:val="center"/>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4319905" cy="2780665"/>
            <wp:effectExtent l="0" t="0" r="10795" b="635"/>
            <wp:docPr id="24" name="图片 24" descr="中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中非"/>
                    <pic:cNvPicPr>
                      <a:picLocks noChangeAspect="1"/>
                    </pic:cNvPicPr>
                  </pic:nvPicPr>
                  <pic:blipFill>
                    <a:blip r:embed="rId31"/>
                    <a:stretch>
                      <a:fillRect/>
                    </a:stretch>
                  </pic:blipFill>
                  <pic:spPr>
                    <a:xfrm>
                      <a:off x="0" y="0"/>
                      <a:ext cx="4319905" cy="2780665"/>
                    </a:xfrm>
                    <a:prstGeom prst="rect">
                      <a:avLst/>
                    </a:prstGeom>
                  </pic:spPr>
                </pic:pic>
              </a:graphicData>
            </a:graphic>
          </wp:inline>
        </w:drawing>
      </w:r>
    </w:p>
    <w:p>
      <w:pPr>
        <w:spacing w:after="156" w:afterLines="50"/>
        <w:jc w:val="center"/>
        <w:rPr>
          <w:rFonts w:ascii="宋体" w:hAnsi="宋体" w:eastAsia="宋体" w:cs="仿宋"/>
          <w:b/>
          <w:bCs/>
          <w:color w:val="000000" w:themeColor="text1"/>
          <w:sz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2021年5月，中非职业教育联盟在全国职业教育活动周成立</w:t>
      </w:r>
    </w:p>
    <w:p>
      <w:pPr>
        <w:spacing w:line="52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全日制国（境）外留学生大幅度减少。</w:t>
      </w:r>
      <w:r>
        <w:rPr>
          <w:rFonts w:hint="eastAsia" w:ascii="仿宋_GB2312" w:hAnsi="仿宋" w:eastAsia="仿宋_GB2312" w:cs="仿宋"/>
          <w:color w:val="000000" w:themeColor="text1"/>
          <w:sz w:val="28"/>
          <w:szCs w:val="28"/>
          <w14:textFill>
            <w14:solidFill>
              <w14:schemeClr w14:val="tx1"/>
            </w14:solidFill>
          </w14:textFill>
        </w:rPr>
        <w:t>2021年，受全球新冠肺炎疫情影响，全日制国（境）外留学生规模大幅度减少，全省83所高职院校仅有796人，其中“双高计划”建设学校686人，非“双高计划”建设学校110人。济南职业学院国（境）外留学生138人，全省最多，58所学校国（境）外留学生人数为0。</w:t>
      </w:r>
    </w:p>
    <w:p>
      <w:pPr>
        <w:spacing w:line="52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非全日制国（境）外人员培训量大幅度减少。</w:t>
      </w:r>
      <w:r>
        <w:rPr>
          <w:rFonts w:hint="eastAsia" w:ascii="仿宋_GB2312" w:hAnsi="仿宋" w:eastAsia="仿宋_GB2312" w:cs="仿宋"/>
          <w:color w:val="000000" w:themeColor="text1"/>
          <w:sz w:val="28"/>
          <w:szCs w:val="28"/>
          <w14:textFill>
            <w14:solidFill>
              <w14:schemeClr w14:val="tx1"/>
            </w14:solidFill>
          </w14:textFill>
        </w:rPr>
        <w:t>2021年，山东省83所高等职业院校非全日制国（境）外人员培训量20.83万人日，与去年41.43万人日相比下降49.72%。其中潍坊职业学院和山东理工职业学院培训量超过3万人日，为全省最多，56所学校非全日制国（境）外人员培训量为0。近三年，全省高等职业院校非全日制国（境）外人员培训量分别为540996人日、414387人日和208322人日，呈逐年下降趋势。</w:t>
      </w:r>
    </w:p>
    <w:p>
      <w:pPr>
        <w:spacing w:line="50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专任教师赴国（境）外指导和开展培训时间大幅度减少。</w:t>
      </w:r>
      <w:r>
        <w:rPr>
          <w:rFonts w:hint="eastAsia" w:ascii="仿宋_GB2312" w:hAnsi="仿宋" w:eastAsia="仿宋_GB2312" w:cs="仿宋"/>
          <w:color w:val="000000" w:themeColor="text1"/>
          <w:sz w:val="28"/>
          <w:szCs w:val="28"/>
          <w14:textFill>
            <w14:solidFill>
              <w14:schemeClr w14:val="tx1"/>
            </w14:solidFill>
          </w14:textFill>
        </w:rPr>
        <w:t>2021年，山东省83所高等职业院校专任教师赴国（境）外指导和开展培训15151人日，与去年相比下降了43.68%。其中山东科技职业学院达到了3204人日，为全省最高。近三年，全省高等职业院校专任教师赴国（境）外指导和开展培训时间分别为78178人日、26901人日和15151人日，呈逐年下降趋势。</w:t>
      </w:r>
    </w:p>
    <w:p>
      <w:pPr>
        <w:spacing w:line="50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开发并被国（境）外采用的专业教学标准数总体稳定。</w:t>
      </w:r>
      <w:r>
        <w:rPr>
          <w:rFonts w:hint="eastAsia" w:ascii="仿宋_GB2312" w:hAnsi="仿宋" w:eastAsia="仿宋_GB2312" w:cs="仿宋"/>
          <w:color w:val="000000" w:themeColor="text1"/>
          <w:sz w:val="28"/>
          <w:szCs w:val="28"/>
          <w14:textFill>
            <w14:solidFill>
              <w14:schemeClr w14:val="tx1"/>
            </w14:solidFill>
          </w14:textFill>
        </w:rPr>
        <w:t>2021年，山东省83所高等职业院校开发并被国（境）外采用的专业教学标准76个，与去年</w:t>
      </w:r>
      <w:r>
        <w:rPr>
          <w:rFonts w:hint="eastAsia" w:ascii="仿宋_GB2312" w:hAnsi="仿宋" w:eastAsia="仿宋_GB2312" w:cs="仿宋"/>
          <w:bCs/>
          <w:color w:val="000000" w:themeColor="text1"/>
          <w:sz w:val="28"/>
          <w:szCs w:val="28"/>
          <w14:textFill>
            <w14:solidFill>
              <w14:schemeClr w14:val="tx1"/>
            </w14:solidFill>
          </w14:textFill>
        </w:rPr>
        <w:t>63个</w:t>
      </w:r>
      <w:r>
        <w:rPr>
          <w:rFonts w:hint="eastAsia" w:ascii="仿宋_GB2312" w:hAnsi="仿宋" w:eastAsia="仿宋_GB2312" w:cs="仿宋"/>
          <w:color w:val="000000" w:themeColor="text1"/>
          <w:sz w:val="28"/>
          <w:szCs w:val="28"/>
          <w14:textFill>
            <w14:solidFill>
              <w14:schemeClr w14:val="tx1"/>
            </w14:solidFill>
          </w14:textFill>
        </w:rPr>
        <w:t>相比</w:t>
      </w:r>
      <w:r>
        <w:rPr>
          <w:rFonts w:hint="eastAsia" w:ascii="仿宋_GB2312" w:hAnsi="仿宋" w:eastAsia="仿宋_GB2312" w:cs="仿宋"/>
          <w:bCs/>
          <w:color w:val="000000" w:themeColor="text1"/>
          <w:sz w:val="28"/>
          <w:szCs w:val="28"/>
          <w14:textFill>
            <w14:solidFill>
              <w14:schemeClr w14:val="tx1"/>
            </w14:solidFill>
          </w14:textFill>
        </w:rPr>
        <w:t>增长20</w:t>
      </w:r>
      <w:r>
        <w:rPr>
          <w:rFonts w:hint="eastAsia" w:ascii="仿宋_GB2312" w:hAnsi="仿宋" w:eastAsia="仿宋_GB2312" w:cs="仿宋"/>
          <w:color w:val="000000" w:themeColor="text1"/>
          <w:sz w:val="28"/>
          <w:szCs w:val="28"/>
          <w14:textFill>
            <w14:solidFill>
              <w14:schemeClr w14:val="tx1"/>
            </w14:solidFill>
          </w14:textFill>
        </w:rPr>
        <w:t>.63%。其中山东商业职业技术学院和淄博职业学院被国（境）外采用的专业教学标准数超10个。近三年，全省高等职业院校开发并被国（境）外采用的专业教学标准数稳定在70个左右，总体水平稳定。</w:t>
      </w:r>
    </w:p>
    <w:p>
      <w:pPr>
        <w:spacing w:line="500" w:lineRule="exact"/>
        <w:ind w:firstLine="562" w:firstLineChars="200"/>
        <w:rPr>
          <w:rFonts w:ascii="仿宋_GB2312" w:hAnsi="仿宋" w:eastAsia="仿宋_GB2312" w:cs="仿宋"/>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开发并被国（境）外采用的课程标准数增幅明显。</w:t>
      </w:r>
      <w:r>
        <w:rPr>
          <w:rFonts w:hint="eastAsia" w:ascii="仿宋_GB2312" w:hAnsi="仿宋" w:eastAsia="仿宋_GB2312" w:cs="仿宋"/>
          <w:color w:val="000000" w:themeColor="text1"/>
          <w:sz w:val="28"/>
          <w:szCs w:val="28"/>
          <w14:textFill>
            <w14:solidFill>
              <w14:schemeClr w14:val="tx1"/>
            </w14:solidFill>
          </w14:textFill>
        </w:rPr>
        <w:t>2021年，山东省83所高等职业院校开发并被国（境）外采用的课程标准386个，与去年335</w:t>
      </w:r>
      <w:r>
        <w:rPr>
          <w:rFonts w:hint="eastAsia" w:ascii="仿宋_GB2312" w:hAnsi="仿宋" w:eastAsia="仿宋_GB2312" w:cs="仿宋"/>
          <w:bCs/>
          <w:color w:val="000000" w:themeColor="text1"/>
          <w:sz w:val="28"/>
          <w:szCs w:val="28"/>
          <w14:textFill>
            <w14:solidFill>
              <w14:schemeClr w14:val="tx1"/>
            </w14:solidFill>
          </w14:textFill>
        </w:rPr>
        <w:t>个相比增长15.22</w:t>
      </w:r>
      <w:r>
        <w:rPr>
          <w:rFonts w:hint="eastAsia" w:ascii="仿宋_GB2312" w:hAnsi="仿宋" w:eastAsia="仿宋_GB2312" w:cs="仿宋"/>
          <w:color w:val="000000" w:themeColor="text1"/>
          <w:sz w:val="28"/>
          <w:szCs w:val="28"/>
          <w14:textFill>
            <w14:solidFill>
              <w14:schemeClr w14:val="tx1"/>
            </w14:solidFill>
          </w14:textFill>
        </w:rPr>
        <w:t>%。其中山东商业职业技术学院开发并被国（境）外采用的课程标准数达135个，为全省最多。近三年，全省高等职业院校开发并被国（境）外采用的专业教学标准数稳定在354个左右。</w:t>
      </w:r>
    </w:p>
    <w:p>
      <w:pPr>
        <w:pStyle w:val="31"/>
        <w:spacing w:line="500" w:lineRule="exact"/>
        <w:ind w:firstLine="562"/>
        <w:rPr>
          <w:rFonts w:ascii="仿宋_GB2312" w:hAnsi="仿宋" w:eastAsia="仿宋_GB2312" w:cs="仿宋"/>
          <w:color w:val="000000" w:themeColor="text1"/>
          <w:sz w:val="28"/>
          <w:szCs w:val="28"/>
          <w:lang w:val="en-US"/>
          <w14:textFill>
            <w14:solidFill>
              <w14:schemeClr w14:val="tx1"/>
            </w14:solidFill>
          </w14:textFill>
        </w:rPr>
      </w:pPr>
      <w:r>
        <w:rPr>
          <w:rFonts w:hint="eastAsia" w:ascii="仿宋_GB2312" w:hAnsi="仿宋" w:eastAsia="仿宋_GB2312" w:cs="仿宋"/>
          <w:b/>
          <w:bCs/>
          <w:color w:val="000000" w:themeColor="text1"/>
          <w:sz w:val="28"/>
          <w:szCs w:val="28"/>
          <w:lang w:val="en-US"/>
          <w14:textFill>
            <w14:solidFill>
              <w14:schemeClr w14:val="tx1"/>
            </w14:solidFill>
          </w14:textFill>
        </w:rPr>
        <w:t>“双高计划”建设学校优势明显。</w:t>
      </w:r>
      <w:r>
        <w:rPr>
          <w:rFonts w:hint="eastAsia" w:ascii="仿宋_GB2312" w:hAnsi="仿宋" w:eastAsia="仿宋_GB2312" w:cs="仿宋"/>
          <w:color w:val="000000" w:themeColor="text1"/>
          <w:sz w:val="28"/>
          <w:szCs w:val="28"/>
          <w:lang w:val="en-US"/>
          <w14:textFill>
            <w14:solidFill>
              <w14:schemeClr w14:val="tx1"/>
            </w14:solidFill>
          </w14:textFill>
        </w:rPr>
        <w:t>“双高计划”建设学校专任教师赴国（境）外指导和开展培训时间、开发并被国（境）外采用的专业教学标准数、开发并被国（境）外采用的课程标准数分别是非“双高计划”建设学校的2.3倍、2倍和4倍，可见非“双高计划”建设学校和“双高计划”建设学校相比仍有一定的差距，非“双高计划”建设学校应通过共同科研、国际产能合作、合作实验实训、师资培训及学生流动等方式，提升学校国际化办学水平。</w:t>
      </w:r>
    </w:p>
    <w:p>
      <w:pPr>
        <w:pStyle w:val="4"/>
        <w:widowControl w:val="0"/>
        <w:spacing w:before="93" w:beforeLines="30" w:after="93" w:afterLines="30"/>
        <w:jc w:val="center"/>
        <w:outlineLvl w:val="2"/>
        <w:rPr>
          <w:rFonts w:ascii="宋体" w:hAnsi="宋体" w:eastAsia="宋体"/>
          <w:color w:val="000000" w:themeColor="text1"/>
          <w:sz w:val="24"/>
          <w:szCs w:val="24"/>
          <w14:textFill>
            <w14:solidFill>
              <w14:schemeClr w14:val="tx1"/>
            </w14:solidFill>
          </w14:textFill>
        </w:rPr>
      </w:pPr>
      <w:bookmarkStart w:id="637" w:name="_Toc91605067"/>
      <w:bookmarkStart w:id="638" w:name="_Toc91606584"/>
      <w:bookmarkStart w:id="639" w:name="_Toc94172267"/>
      <w:bookmarkStart w:id="640" w:name="_Toc94172408"/>
      <w:bookmarkStart w:id="641" w:name="_Toc94183509"/>
      <w:r>
        <w:rPr>
          <w:rFonts w:hint="eastAsia" w:ascii="宋体" w:hAnsi="宋体" w:eastAsia="宋体"/>
          <w:color w:val="000000" w:themeColor="text1"/>
          <w:sz w:val="24"/>
          <w:szCs w:val="24"/>
          <w14:textFill>
            <w14:solidFill>
              <w14:schemeClr w14:val="tx1"/>
            </w14:solidFill>
          </w14:textFill>
        </w:rPr>
        <w:t>表6-1 山东省高等职业院校国际影响表</w:t>
      </w:r>
      <w:bookmarkEnd w:id="637"/>
      <w:bookmarkEnd w:id="638"/>
      <w:bookmarkEnd w:id="639"/>
      <w:bookmarkEnd w:id="640"/>
      <w:bookmarkEnd w:id="641"/>
    </w:p>
    <w:tbl>
      <w:tblPr>
        <w:tblStyle w:val="21"/>
        <w:tblW w:w="8605"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shd w:val="clear" w:color="auto" w:fill="DAEEF6"/>
        <w:tblLayout w:type="fixed"/>
        <w:tblCellMar>
          <w:top w:w="0" w:type="dxa"/>
          <w:left w:w="57" w:type="dxa"/>
          <w:bottom w:w="0" w:type="dxa"/>
          <w:right w:w="57" w:type="dxa"/>
        </w:tblCellMar>
      </w:tblPr>
      <w:tblGrid>
        <w:gridCol w:w="660"/>
        <w:gridCol w:w="4738"/>
        <w:gridCol w:w="1069"/>
        <w:gridCol w:w="1069"/>
        <w:gridCol w:w="1069"/>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shd w:val="clear" w:color="auto" w:fill="DAEEF6"/>
          <w:tblCellMar>
            <w:top w:w="0" w:type="dxa"/>
            <w:left w:w="57" w:type="dxa"/>
            <w:bottom w:w="0" w:type="dxa"/>
            <w:right w:w="57" w:type="dxa"/>
          </w:tblCellMar>
        </w:tblPrEx>
        <w:trPr>
          <w:trHeight w:val="397" w:hRule="atLeast"/>
          <w:jc w:val="center"/>
        </w:trPr>
        <w:tc>
          <w:tcPr>
            <w:tcW w:w="660" w:type="dxa"/>
            <w:tcBorders>
              <w:top w:val="single" w:color="auto" w:sz="12" w:space="0"/>
              <w:bottom w:val="single" w:color="auto" w:sz="12" w:space="0"/>
            </w:tcBorders>
            <w:shd w:val="clear" w:color="auto" w:fill="4472C4"/>
            <w:vAlign w:val="center"/>
          </w:tcPr>
          <w:p>
            <w:pPr>
              <w:jc w:val="center"/>
              <w:rPr>
                <w:rFonts w:ascii="楷体_GB2312" w:hAnsi="宋体" w:eastAsia="楷体_GB2312" w:cs="宋体"/>
                <w:b/>
                <w:color w:val="FFFFFF" w:themeColor="background1"/>
                <w:szCs w:val="21"/>
                <w14:textFill>
                  <w14:solidFill>
                    <w14:schemeClr w14:val="bg1"/>
                  </w14:solidFill>
                </w14:textFill>
              </w:rPr>
            </w:pPr>
            <w:r>
              <w:rPr>
                <w:rFonts w:hint="eastAsia" w:ascii="楷体_GB2312" w:hAnsi="宋体" w:eastAsia="楷体_GB2312" w:cs="宋体"/>
                <w:b/>
                <w:color w:val="FFFFFF" w:themeColor="background1"/>
                <w:szCs w:val="21"/>
                <w14:textFill>
                  <w14:solidFill>
                    <w14:schemeClr w14:val="bg1"/>
                  </w14:solidFill>
                </w14:textFill>
              </w:rPr>
              <w:t>序号</w:t>
            </w:r>
          </w:p>
        </w:tc>
        <w:tc>
          <w:tcPr>
            <w:tcW w:w="4738" w:type="dxa"/>
            <w:tcBorders>
              <w:top w:val="single" w:color="auto" w:sz="12" w:space="0"/>
              <w:bottom w:val="single" w:color="auto" w:sz="12" w:space="0"/>
            </w:tcBorders>
            <w:shd w:val="clear" w:color="auto" w:fill="4472C4"/>
            <w:vAlign w:val="center"/>
          </w:tcPr>
          <w:p>
            <w:pPr>
              <w:jc w:val="center"/>
              <w:rPr>
                <w:rFonts w:ascii="楷体_GB2312" w:hAnsi="宋体" w:eastAsia="楷体_GB2312" w:cs="宋体"/>
                <w:b/>
                <w:color w:val="FFFFFF" w:themeColor="background1"/>
                <w:szCs w:val="21"/>
                <w14:textFill>
                  <w14:solidFill>
                    <w14:schemeClr w14:val="bg1"/>
                  </w14:solidFill>
                </w14:textFill>
              </w:rPr>
            </w:pPr>
            <w:r>
              <w:rPr>
                <w:rFonts w:hint="eastAsia" w:ascii="楷体_GB2312" w:hAnsi="宋体" w:eastAsia="楷体_GB2312" w:cs="宋体"/>
                <w:b/>
                <w:color w:val="FFFFFF" w:themeColor="background1"/>
                <w:szCs w:val="21"/>
                <w14:textFill>
                  <w14:solidFill>
                    <w14:schemeClr w14:val="bg1"/>
                  </w14:solidFill>
                </w14:textFill>
              </w:rPr>
              <w:t>指标</w:t>
            </w:r>
          </w:p>
        </w:tc>
        <w:tc>
          <w:tcPr>
            <w:tcW w:w="1069" w:type="dxa"/>
            <w:tcBorders>
              <w:top w:val="single" w:color="auto" w:sz="12" w:space="0"/>
              <w:bottom w:val="single" w:color="auto" w:sz="12" w:space="0"/>
            </w:tcBorders>
            <w:shd w:val="clear" w:color="auto" w:fill="4472C4"/>
            <w:vAlign w:val="center"/>
          </w:tcPr>
          <w:p>
            <w:pPr>
              <w:jc w:val="center"/>
              <w:rPr>
                <w:rFonts w:ascii="楷体_GB2312" w:hAnsi="宋体" w:eastAsia="楷体_GB2312" w:cs="宋体"/>
                <w:b/>
                <w:color w:val="FFFFFF" w:themeColor="background1"/>
                <w:szCs w:val="21"/>
                <w14:textFill>
                  <w14:solidFill>
                    <w14:schemeClr w14:val="bg1"/>
                  </w14:solidFill>
                </w14:textFill>
              </w:rPr>
            </w:pPr>
            <w:r>
              <w:rPr>
                <w:rFonts w:hint="eastAsia" w:ascii="楷体_GB2312" w:hAnsi="宋体" w:eastAsia="楷体_GB2312" w:cs="宋体"/>
                <w:b/>
                <w:color w:val="FFFFFF" w:themeColor="background1"/>
                <w:szCs w:val="21"/>
                <w14:textFill>
                  <w14:solidFill>
                    <w14:schemeClr w14:val="bg1"/>
                  </w14:solidFill>
                </w14:textFill>
              </w:rPr>
              <w:t>2020年</w:t>
            </w:r>
          </w:p>
        </w:tc>
        <w:tc>
          <w:tcPr>
            <w:tcW w:w="1069" w:type="dxa"/>
            <w:tcBorders>
              <w:top w:val="single" w:color="auto" w:sz="12" w:space="0"/>
              <w:bottom w:val="single" w:color="auto" w:sz="12" w:space="0"/>
            </w:tcBorders>
            <w:shd w:val="clear" w:color="auto" w:fill="4472C4"/>
            <w:vAlign w:val="center"/>
          </w:tcPr>
          <w:p>
            <w:pPr>
              <w:jc w:val="center"/>
              <w:rPr>
                <w:rFonts w:ascii="楷体_GB2312" w:hAnsi="宋体" w:eastAsia="楷体_GB2312" w:cs="宋体"/>
                <w:b/>
                <w:color w:val="FFFFFF" w:themeColor="background1"/>
                <w:szCs w:val="21"/>
                <w14:textFill>
                  <w14:solidFill>
                    <w14:schemeClr w14:val="bg1"/>
                  </w14:solidFill>
                </w14:textFill>
              </w:rPr>
            </w:pPr>
            <w:r>
              <w:rPr>
                <w:rFonts w:hint="eastAsia" w:ascii="楷体_GB2312" w:hAnsi="宋体" w:eastAsia="楷体_GB2312" w:cs="宋体"/>
                <w:b/>
                <w:color w:val="FFFFFF" w:themeColor="background1"/>
                <w:szCs w:val="21"/>
                <w14:textFill>
                  <w14:solidFill>
                    <w14:schemeClr w14:val="bg1"/>
                  </w14:solidFill>
                </w14:textFill>
              </w:rPr>
              <w:t>2021年</w:t>
            </w:r>
          </w:p>
        </w:tc>
        <w:tc>
          <w:tcPr>
            <w:tcW w:w="1069" w:type="dxa"/>
            <w:tcBorders>
              <w:top w:val="single" w:color="auto" w:sz="12" w:space="0"/>
              <w:bottom w:val="single" w:color="auto" w:sz="12" w:space="0"/>
            </w:tcBorders>
            <w:shd w:val="clear" w:color="auto" w:fill="4472C4"/>
            <w:vAlign w:val="center"/>
          </w:tcPr>
          <w:p>
            <w:pPr>
              <w:jc w:val="center"/>
              <w:rPr>
                <w:rFonts w:ascii="楷体_GB2312" w:hAnsi="宋体" w:eastAsia="楷体_GB2312" w:cs="宋体"/>
                <w:b/>
                <w:color w:val="FFFFFF" w:themeColor="background1"/>
                <w:szCs w:val="21"/>
                <w14:textFill>
                  <w14:solidFill>
                    <w14:schemeClr w14:val="bg1"/>
                  </w14:solidFill>
                </w14:textFill>
              </w:rPr>
            </w:pPr>
            <w:r>
              <w:rPr>
                <w:rFonts w:hint="eastAsia" w:ascii="楷体_GB2312" w:hAnsi="宋体" w:eastAsia="楷体_GB2312" w:cs="宋体"/>
                <w:b/>
                <w:color w:val="FFFFFF" w:themeColor="background1"/>
                <w:szCs w:val="21"/>
                <w14:textFill>
                  <w14:solidFill>
                    <w14:schemeClr w14:val="bg1"/>
                  </w14:solidFill>
                </w14:textFill>
              </w:rPr>
              <w:t>增长率/%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shd w:val="clear" w:color="auto" w:fill="DAEEF6"/>
          <w:tblCellMar>
            <w:top w:w="0" w:type="dxa"/>
            <w:left w:w="57" w:type="dxa"/>
            <w:bottom w:w="0" w:type="dxa"/>
            <w:right w:w="57" w:type="dxa"/>
          </w:tblCellMar>
        </w:tblPrEx>
        <w:trPr>
          <w:trHeight w:val="397" w:hRule="atLeast"/>
          <w:jc w:val="center"/>
        </w:trPr>
        <w:tc>
          <w:tcPr>
            <w:tcW w:w="660" w:type="dxa"/>
            <w:tcBorders>
              <w:top w:val="single" w:color="auto" w:sz="12" w:space="0"/>
            </w:tcBorders>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1</w:t>
            </w:r>
          </w:p>
        </w:tc>
        <w:tc>
          <w:tcPr>
            <w:tcW w:w="4738" w:type="dxa"/>
            <w:tcBorders>
              <w:top w:val="single" w:color="auto" w:sz="12" w:space="0"/>
            </w:tcBorders>
            <w:shd w:val="clear" w:color="auto" w:fill="auto"/>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国（境）外人员培训量/人日</w:t>
            </w:r>
          </w:p>
        </w:tc>
        <w:tc>
          <w:tcPr>
            <w:tcW w:w="1069" w:type="dxa"/>
            <w:tcBorders>
              <w:top w:val="single" w:color="auto" w:sz="12" w:space="0"/>
            </w:tcBorders>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414387</w:t>
            </w:r>
          </w:p>
        </w:tc>
        <w:tc>
          <w:tcPr>
            <w:tcW w:w="1069" w:type="dxa"/>
            <w:tcBorders>
              <w:top w:val="single" w:color="auto" w:sz="12" w:space="0"/>
            </w:tcBorders>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208322</w:t>
            </w:r>
          </w:p>
        </w:tc>
        <w:tc>
          <w:tcPr>
            <w:tcW w:w="1069" w:type="dxa"/>
            <w:tcBorders>
              <w:top w:val="single" w:color="auto" w:sz="12" w:space="0"/>
            </w:tcBorders>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-49.73%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shd w:val="clear" w:color="auto" w:fill="DAEEF6"/>
          <w:tblCellMar>
            <w:top w:w="0" w:type="dxa"/>
            <w:left w:w="57" w:type="dxa"/>
            <w:bottom w:w="0" w:type="dxa"/>
            <w:right w:w="57" w:type="dxa"/>
          </w:tblCellMar>
        </w:tblPrEx>
        <w:trPr>
          <w:trHeight w:val="397" w:hRule="atLeast"/>
          <w:jc w:val="center"/>
        </w:trPr>
        <w:tc>
          <w:tcPr>
            <w:tcW w:w="660" w:type="dxa"/>
            <w:tcBorders>
              <w:bottom w:val="single" w:color="auto" w:sz="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p>
        </w:tc>
        <w:tc>
          <w:tcPr>
            <w:tcW w:w="4738" w:type="dxa"/>
            <w:tcBorders>
              <w:bottom w:val="single" w:color="auto" w:sz="2" w:space="0"/>
            </w:tcBorders>
            <w:shd w:val="clear" w:color="auto" w:fill="DAEEF6"/>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专任教师赴国（境）外指导和开展培训时间/人日</w:t>
            </w:r>
          </w:p>
        </w:tc>
        <w:tc>
          <w:tcPr>
            <w:tcW w:w="1069" w:type="dxa"/>
            <w:tcBorders>
              <w:bottom w:val="single" w:color="auto" w:sz="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26901</w:t>
            </w:r>
          </w:p>
        </w:tc>
        <w:tc>
          <w:tcPr>
            <w:tcW w:w="1069" w:type="dxa"/>
            <w:tcBorders>
              <w:bottom w:val="single" w:color="auto" w:sz="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15151</w:t>
            </w:r>
          </w:p>
        </w:tc>
        <w:tc>
          <w:tcPr>
            <w:tcW w:w="1069" w:type="dxa"/>
            <w:tcBorders>
              <w:bottom w:val="single" w:color="auto" w:sz="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-43.68%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shd w:val="clear" w:color="auto" w:fill="DAEEF6"/>
          <w:tblCellMar>
            <w:top w:w="0" w:type="dxa"/>
            <w:left w:w="57" w:type="dxa"/>
            <w:bottom w:w="0" w:type="dxa"/>
            <w:right w:w="57" w:type="dxa"/>
          </w:tblCellMar>
        </w:tblPrEx>
        <w:trPr>
          <w:trHeight w:val="397" w:hRule="atLeast"/>
          <w:jc w:val="center"/>
        </w:trPr>
        <w:tc>
          <w:tcPr>
            <w:tcW w:w="660" w:type="dxa"/>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3</w:t>
            </w:r>
          </w:p>
        </w:tc>
        <w:tc>
          <w:tcPr>
            <w:tcW w:w="4738" w:type="dxa"/>
            <w:shd w:val="clear" w:color="auto" w:fill="auto"/>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开发并被国（境）外采用的专业教学标准数/个</w:t>
            </w:r>
          </w:p>
        </w:tc>
        <w:tc>
          <w:tcPr>
            <w:tcW w:w="1069" w:type="dxa"/>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63</w:t>
            </w:r>
          </w:p>
        </w:tc>
        <w:tc>
          <w:tcPr>
            <w:tcW w:w="1069" w:type="dxa"/>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76</w:t>
            </w:r>
          </w:p>
        </w:tc>
        <w:tc>
          <w:tcPr>
            <w:tcW w:w="1069" w:type="dxa"/>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20.63%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shd w:val="clear" w:color="auto" w:fill="DAEEF6"/>
          <w:tblCellMar>
            <w:top w:w="0" w:type="dxa"/>
            <w:left w:w="57" w:type="dxa"/>
            <w:bottom w:w="0" w:type="dxa"/>
            <w:right w:w="57" w:type="dxa"/>
          </w:tblCellMar>
        </w:tblPrEx>
        <w:trPr>
          <w:trHeight w:val="397" w:hRule="atLeast"/>
          <w:jc w:val="center"/>
        </w:trPr>
        <w:tc>
          <w:tcPr>
            <w:tcW w:w="660" w:type="dxa"/>
            <w:tcBorders>
              <w:bottom w:val="single" w:color="auto" w:sz="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4</w:t>
            </w:r>
          </w:p>
        </w:tc>
        <w:tc>
          <w:tcPr>
            <w:tcW w:w="4738" w:type="dxa"/>
            <w:tcBorders>
              <w:bottom w:val="single" w:color="auto" w:sz="2" w:space="0"/>
            </w:tcBorders>
            <w:shd w:val="clear" w:color="auto" w:fill="DAEEF6"/>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开发并被国（境）外采用的课程标准数/个</w:t>
            </w:r>
          </w:p>
        </w:tc>
        <w:tc>
          <w:tcPr>
            <w:tcW w:w="1069" w:type="dxa"/>
            <w:tcBorders>
              <w:bottom w:val="single" w:color="auto" w:sz="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335</w:t>
            </w:r>
          </w:p>
        </w:tc>
        <w:tc>
          <w:tcPr>
            <w:tcW w:w="1069" w:type="dxa"/>
            <w:tcBorders>
              <w:bottom w:val="single" w:color="auto" w:sz="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386</w:t>
            </w:r>
          </w:p>
        </w:tc>
        <w:tc>
          <w:tcPr>
            <w:tcW w:w="1069" w:type="dxa"/>
            <w:tcBorders>
              <w:bottom w:val="single" w:color="auto" w:sz="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15.22%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shd w:val="clear" w:color="auto" w:fill="DAEEF6"/>
          <w:tblCellMar>
            <w:top w:w="0" w:type="dxa"/>
            <w:left w:w="57" w:type="dxa"/>
            <w:bottom w:w="0" w:type="dxa"/>
            <w:right w:w="57" w:type="dxa"/>
          </w:tblCellMar>
        </w:tblPrEx>
        <w:trPr>
          <w:trHeight w:val="397" w:hRule="atLeast"/>
          <w:jc w:val="center"/>
        </w:trPr>
        <w:tc>
          <w:tcPr>
            <w:tcW w:w="660" w:type="dxa"/>
            <w:tcBorders>
              <w:bottom w:val="single" w:color="auto" w:sz="2" w:space="0"/>
            </w:tcBorders>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5</w:t>
            </w:r>
          </w:p>
        </w:tc>
        <w:tc>
          <w:tcPr>
            <w:tcW w:w="4738" w:type="dxa"/>
            <w:tcBorders>
              <w:bottom w:val="single" w:color="auto" w:sz="2" w:space="0"/>
            </w:tcBorders>
            <w:shd w:val="clear" w:color="auto" w:fill="auto"/>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国（境）外技能大赛获奖数量/项</w:t>
            </w:r>
          </w:p>
        </w:tc>
        <w:tc>
          <w:tcPr>
            <w:tcW w:w="1069" w:type="dxa"/>
            <w:tcBorders>
              <w:bottom w:val="single" w:color="auto" w:sz="2" w:space="0"/>
            </w:tcBorders>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329</w:t>
            </w:r>
          </w:p>
        </w:tc>
        <w:tc>
          <w:tcPr>
            <w:tcW w:w="1069" w:type="dxa"/>
            <w:tcBorders>
              <w:bottom w:val="single" w:color="auto" w:sz="2" w:space="0"/>
            </w:tcBorders>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193</w:t>
            </w:r>
          </w:p>
        </w:tc>
        <w:tc>
          <w:tcPr>
            <w:tcW w:w="1069" w:type="dxa"/>
            <w:tcBorders>
              <w:bottom w:val="single" w:color="auto" w:sz="2" w:space="0"/>
            </w:tcBorders>
            <w:shd w:val="clear" w:color="auto" w:fill="auto"/>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-41.34%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shd w:val="clear" w:color="auto" w:fill="DAEEF6"/>
          <w:tblCellMar>
            <w:top w:w="0" w:type="dxa"/>
            <w:left w:w="57" w:type="dxa"/>
            <w:bottom w:w="0" w:type="dxa"/>
            <w:right w:w="57" w:type="dxa"/>
          </w:tblCellMar>
        </w:tblPrEx>
        <w:trPr>
          <w:trHeight w:val="397" w:hRule="atLeast"/>
          <w:jc w:val="center"/>
        </w:trPr>
        <w:tc>
          <w:tcPr>
            <w:tcW w:w="660" w:type="dxa"/>
            <w:tcBorders>
              <w:bottom w:val="single" w:color="auto" w:sz="1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6</w:t>
            </w:r>
          </w:p>
        </w:tc>
        <w:tc>
          <w:tcPr>
            <w:tcW w:w="4738" w:type="dxa"/>
            <w:tcBorders>
              <w:bottom w:val="single" w:color="auto" w:sz="12" w:space="0"/>
            </w:tcBorders>
            <w:shd w:val="clear" w:color="auto" w:fill="DAEEF6"/>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国（境）外办学点数量/个</w:t>
            </w:r>
          </w:p>
        </w:tc>
        <w:tc>
          <w:tcPr>
            <w:tcW w:w="1069" w:type="dxa"/>
            <w:tcBorders>
              <w:bottom w:val="single" w:color="auto" w:sz="1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w:t>
            </w:r>
          </w:p>
        </w:tc>
        <w:tc>
          <w:tcPr>
            <w:tcW w:w="1069" w:type="dxa"/>
            <w:tcBorders>
              <w:bottom w:val="single" w:color="auto" w:sz="1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34</w:t>
            </w:r>
          </w:p>
        </w:tc>
        <w:tc>
          <w:tcPr>
            <w:tcW w:w="1069" w:type="dxa"/>
            <w:tcBorders>
              <w:bottom w:val="single" w:color="auto" w:sz="12" w:space="0"/>
            </w:tcBorders>
            <w:shd w:val="clear" w:color="auto" w:fill="DAEEF6"/>
            <w:vAlign w:val="center"/>
          </w:tcPr>
          <w:p>
            <w:pPr>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70.00%</w:t>
            </w:r>
          </w:p>
        </w:tc>
      </w:tr>
    </w:tbl>
    <w:p>
      <w:pPr>
        <w:pStyle w:val="31"/>
        <w:spacing w:line="520" w:lineRule="exact"/>
        <w:ind w:firstLine="0" w:firstLineChars="0"/>
        <w:rPr>
          <w:rFonts w:ascii="宋体" w:hAnsi="宋体" w:cs="仿宋"/>
          <w:color w:val="000000" w:themeColor="text1"/>
          <w:szCs w:val="21"/>
          <w:lang w:val="en-US"/>
          <w14:textFill>
            <w14:solidFill>
              <w14:schemeClr w14:val="tx1"/>
            </w14:solidFill>
          </w14:textFill>
        </w:rPr>
      </w:pPr>
      <w:r>
        <w:rPr>
          <w:rFonts w:hint="eastAsia" w:ascii="宋体" w:hAnsi="宋体" w:cs="仿宋"/>
          <w:b/>
          <w:bCs/>
          <w:color w:val="000000" w:themeColor="text1"/>
          <w:szCs w:val="21"/>
          <w:lang w:val="en-US"/>
          <w14:textFill>
            <w14:solidFill>
              <w14:schemeClr w14:val="tx1"/>
            </w14:solidFill>
          </w14:textFill>
        </w:rPr>
        <w:t>数据来源：</w:t>
      </w:r>
      <w:r>
        <w:rPr>
          <w:rFonts w:ascii="宋体" w:hAnsi="宋体" w:cs="仿宋"/>
          <w:color w:val="000000" w:themeColor="text1"/>
          <w:szCs w:val="21"/>
          <w:lang w:val="en-US"/>
          <w14:textFill>
            <w14:solidFill>
              <w14:schemeClr w14:val="tx1"/>
            </w14:solidFill>
          </w14:textFill>
        </w:rPr>
        <w:t>2020年74所、2021年83所山东高职院校“高等职业教育质量年度报告”填报数据。</w:t>
      </w:r>
    </w:p>
    <w:p>
      <w:pPr>
        <w:pStyle w:val="31"/>
        <w:spacing w:line="520" w:lineRule="exact"/>
        <w:ind w:firstLine="0" w:firstLineChars="0"/>
        <w:rPr>
          <w:rFonts w:ascii="宋体" w:hAnsi="宋体" w:cs="仿宋"/>
          <w:color w:val="000000" w:themeColor="text1"/>
          <w:szCs w:val="21"/>
          <w:lang w:val="en-US"/>
          <w14:textFill>
            <w14:solidFill>
              <w14:schemeClr w14:val="tx1"/>
            </w14:solidFill>
          </w14:textFill>
        </w:rPr>
      </w:pPr>
    </w:p>
    <w:tbl>
      <w:tblPr>
        <w:tblStyle w:val="21"/>
        <w:tblW w:w="4972" w:type="pct"/>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009"/>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08" w:hRule="atLeast"/>
          <w:jc w:val="center"/>
        </w:trPr>
        <w:tc>
          <w:tcPr>
            <w:tcW w:w="5000" w:type="pct"/>
            <w:tcBorders>
              <w:bottom w:val="single" w:color="FFFFFF" w:sz="4" w:space="0"/>
            </w:tcBorders>
            <w:shd w:val="clear" w:color="auto" w:fill="0070C0"/>
            <w:vAlign w:val="center"/>
          </w:tcPr>
          <w:p>
            <w:pPr>
              <w:spacing w:line="520" w:lineRule="exact"/>
              <w:outlineLvl w:val="1"/>
              <w:rPr>
                <w:rFonts w:ascii="楷体_GB2312" w:hAnsi="Times New Roman" w:eastAsia="楷体_GB2312"/>
                <w:color w:val="000000" w:themeColor="text1"/>
                <w14:textFill>
                  <w14:solidFill>
                    <w14:schemeClr w14:val="tx1"/>
                  </w14:solidFill>
                </w14:textFill>
              </w:rPr>
            </w:pPr>
            <w:bookmarkStart w:id="642" w:name="_Toc91605068"/>
            <w:bookmarkStart w:id="643" w:name="_Toc94172268"/>
            <w:bookmarkStart w:id="644" w:name="_Toc94172409"/>
            <w:bookmarkStart w:id="645" w:name="_Toc94183510"/>
            <w:r>
              <w:rPr>
                <w:rFonts w:hint="eastAsia" w:ascii="楷体_GB2312" w:hAnsi="黑体" w:eastAsia="楷体_GB2312" w:cs="黑体"/>
                <w:b/>
                <w:bCs/>
                <w:color w:val="FFFFFF" w:themeColor="background1"/>
                <w:sz w:val="28"/>
                <w:szCs w:val="28"/>
                <w14:textFill>
                  <w14:solidFill>
                    <w14:schemeClr w14:val="bg1"/>
                  </w14:solidFill>
                </w14:textFill>
              </w:rPr>
              <w:t>专栏6-</w:t>
            </w:r>
            <w:r>
              <w:rPr>
                <w:rFonts w:ascii="楷体_GB2312" w:hAnsi="黑体" w:eastAsia="楷体_GB2312" w:cs="黑体"/>
                <w:b/>
                <w:bCs/>
                <w:color w:val="FFFFFF" w:themeColor="background1"/>
                <w:sz w:val="28"/>
                <w:szCs w:val="28"/>
                <w14:textFill>
                  <w14:solidFill>
                    <w14:schemeClr w14:val="bg1"/>
                  </w14:solidFill>
                </w14:textFill>
              </w:rPr>
              <w:t>1</w:t>
            </w:r>
            <w:r>
              <w:rPr>
                <w:rFonts w:hint="eastAsia" w:ascii="楷体_GB2312" w:hAnsi="黑体" w:eastAsia="楷体_GB2312" w:cs="黑体"/>
                <w:b/>
                <w:bCs/>
                <w:color w:val="FFFFFF" w:themeColor="background1"/>
                <w:sz w:val="28"/>
                <w:szCs w:val="28"/>
                <w14:textFill>
                  <w14:solidFill>
                    <w14:schemeClr w14:val="bg1"/>
                  </w14:solidFill>
                </w14:textFill>
              </w:rPr>
              <w:t xml:space="preserve"> 实质推进国际化办学走深走实 提升我国职教影响力</w:t>
            </w:r>
            <w:bookmarkEnd w:id="642"/>
            <w:bookmarkEnd w:id="643"/>
            <w:bookmarkEnd w:id="644"/>
            <w:bookmarkEnd w:id="645"/>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5000" w:type="pct"/>
            <w:shd w:val="clear" w:color="auto" w:fill="CDEAFF"/>
          </w:tcPr>
          <w:p>
            <w:pPr>
              <w:spacing w:line="480" w:lineRule="exact"/>
              <w:ind w:firstLine="482"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
                <w:bCs/>
                <w:color w:val="0070C0"/>
                <w:sz w:val="24"/>
                <w:szCs w:val="24"/>
              </w:rPr>
              <w:t>山东理工职业学院</w:t>
            </w:r>
            <w:r>
              <w:rPr>
                <w:rFonts w:hint="eastAsia" w:ascii="仿宋_GB2312" w:hAnsi="仿宋_GB2312" w:eastAsia="仿宋_GB2312" w:cs="仿宋_GB2312"/>
                <w:color w:val="000000" w:themeColor="text1"/>
                <w:sz w:val="24"/>
                <w:szCs w:val="24"/>
                <w14:textFill>
                  <w14:solidFill>
                    <w14:schemeClr w14:val="tx1"/>
                  </w14:solidFill>
                </w14:textFill>
              </w:rPr>
              <w:t>梅泽堡应用技术大学联合学院（以下简称联合学院）。联合学院是山东理工职业学院与德国梅泽堡应用技术大学合作举办的中外合作办学机构，是学院践行国际化办学理念、提升国际化办学水平取得的重大突破和标志性成果。联合学院是山东省高职院校首批中外合作办学机构，办学总规模为1200人，开设数控技术、机械制造及自动化、工业机器人技术、大数据技术等四个专业，计划于2021年招生。联合学院将引进德国先进教育理念、优秀师资队伍、课程体系及实训资源，双语授课，让学生不出国门即可享受到德国应用技术大学教育资源，培养“国际范儿”又接地气的高技能应用型人才。</w:t>
            </w:r>
          </w:p>
          <w:p>
            <w:pPr>
              <w:spacing w:line="480" w:lineRule="exact"/>
              <w:ind w:firstLine="482"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
                <w:bCs/>
                <w:color w:val="0070C0"/>
                <w:sz w:val="24"/>
                <w:szCs w:val="24"/>
              </w:rPr>
              <w:t>淄博职业学院</w:t>
            </w:r>
            <w:r>
              <w:rPr>
                <w:rFonts w:hint="eastAsia" w:ascii="仿宋_GB2312" w:hAnsi="仿宋_GB2312" w:eastAsia="仿宋_GB2312" w:cs="仿宋_GB2312"/>
                <w:color w:val="000000" w:themeColor="text1"/>
                <w:sz w:val="24"/>
                <w:szCs w:val="24"/>
                <w14:textFill>
                  <w14:solidFill>
                    <w14:schemeClr w14:val="tx1"/>
                  </w14:solidFill>
                </w14:textFill>
              </w:rPr>
              <w:t>与创造太阳乌干达石油学院共同发起成立中非职业教育联盟，携手境内外107家高校和“走出去”企业会员单位在非洲国家开展学历教育，推动标准互认，建设课程资源，实施人才联合培养。自2019年起，该学院在非洲开展学历教育、技术技能培训和人文交流，派遣3名教师赴乌干达工业技能培训与生产中心开展为期三个月的焊接、木材加工等本土化技术技能人才培训，为在乌中资企业培养专业技术技能人才。</w:t>
            </w:r>
          </w:p>
          <w:p>
            <w:pPr>
              <w:spacing w:line="48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p>
        </w:tc>
      </w:tr>
    </w:tbl>
    <w:p>
      <w:pPr>
        <w:pStyle w:val="31"/>
        <w:spacing w:line="520" w:lineRule="exact"/>
        <w:ind w:firstLine="560"/>
        <w:rPr>
          <w:rFonts w:ascii="仿宋" w:hAnsi="仿宋" w:eastAsia="仿宋" w:cs="仿宋"/>
          <w:color w:val="000000" w:themeColor="text1"/>
          <w:sz w:val="28"/>
          <w:szCs w:val="28"/>
          <w:lang w:val="en-US"/>
          <w14:textFill>
            <w14:solidFill>
              <w14:schemeClr w14:val="tx1"/>
            </w14:solidFill>
          </w14:textFill>
        </w:rPr>
      </w:pPr>
    </w:p>
    <w:p>
      <w:pPr>
        <w:spacing w:line="520" w:lineRule="exact"/>
        <w:ind w:firstLine="560" w:firstLineChars="200"/>
        <w:outlineLvl w:val="0"/>
        <w:rPr>
          <w:rFonts w:ascii="黑体" w:hAnsi="黑体" w:eastAsia="黑体" w:cs="黑体"/>
          <w:color w:val="000000" w:themeColor="text1"/>
          <w:sz w:val="28"/>
          <w:szCs w:val="28"/>
          <w14:textFill>
            <w14:solidFill>
              <w14:schemeClr w14:val="tx1"/>
            </w14:solidFill>
          </w14:textFill>
        </w:rPr>
      </w:pPr>
      <w:r>
        <w:rPr>
          <w:rFonts w:ascii="黑体" w:hAnsi="黑体" w:eastAsia="黑体" w:cs="黑体"/>
          <w:color w:val="000000" w:themeColor="text1"/>
          <w:sz w:val="28"/>
          <w:szCs w:val="28"/>
          <w14:textFill>
            <w14:solidFill>
              <w14:schemeClr w14:val="tx1"/>
            </w14:solidFill>
          </w14:textFill>
        </w:rPr>
        <w:br w:type="page"/>
      </w:r>
      <w:bookmarkStart w:id="646" w:name="_Toc94172410"/>
      <w:bookmarkStart w:id="647" w:name="_Toc94172269"/>
      <w:bookmarkStart w:id="648" w:name="_Toc94183511"/>
      <w:r>
        <w:rPr>
          <w:rFonts w:hint="eastAsia" w:ascii="黑体" w:hAnsi="黑体" w:eastAsia="黑体" w:cs="黑体"/>
          <w:color w:val="000000" w:themeColor="text1"/>
          <w:sz w:val="28"/>
          <w:szCs w:val="28"/>
          <w14:textFill>
            <w14:solidFill>
              <w14:schemeClr w14:val="tx1"/>
            </w14:solidFill>
          </w14:textFill>
        </w:rPr>
        <w:t>7</w:t>
      </w:r>
      <w:r>
        <w:rPr>
          <w:rFonts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14:textFill>
            <w14:solidFill>
              <w14:schemeClr w14:val="tx1"/>
            </w14:solidFill>
          </w14:textFill>
        </w:rPr>
        <w:t>挑战与展望</w:t>
      </w:r>
      <w:bookmarkEnd w:id="646"/>
      <w:bookmarkEnd w:id="647"/>
      <w:bookmarkEnd w:id="648"/>
    </w:p>
    <w:p>
      <w:pPr>
        <w:spacing w:line="520" w:lineRule="exact"/>
        <w:ind w:firstLine="560" w:firstLineChars="200"/>
        <w:outlineLvl w:val="1"/>
        <w:rPr>
          <w:rFonts w:ascii="楷体" w:hAnsi="楷体" w:eastAsia="楷体" w:cs="黑体"/>
          <w:color w:val="000000" w:themeColor="text1"/>
          <w:sz w:val="28"/>
          <w:szCs w:val="28"/>
          <w14:textFill>
            <w14:solidFill>
              <w14:schemeClr w14:val="tx1"/>
            </w14:solidFill>
          </w14:textFill>
        </w:rPr>
      </w:pPr>
      <w:bookmarkStart w:id="649" w:name="_Toc94183512"/>
      <w:bookmarkStart w:id="650" w:name="_Toc94172270"/>
      <w:bookmarkStart w:id="651" w:name="_Toc94172411"/>
      <w:r>
        <w:rPr>
          <w:rFonts w:hint="eastAsia" w:ascii="楷体" w:hAnsi="楷体" w:eastAsia="楷体" w:cs="黑体"/>
          <w:color w:val="000000" w:themeColor="text1"/>
          <w:sz w:val="28"/>
          <w:szCs w:val="28"/>
          <w14:textFill>
            <w14:solidFill>
              <w14:schemeClr w14:val="tx1"/>
            </w14:solidFill>
          </w14:textFill>
        </w:rPr>
        <w:t>7.1  提升高职教育供给与经济社会发展需求的匹配度，增强职业教育适应性</w:t>
      </w:r>
      <w:bookmarkEnd w:id="649"/>
      <w:bookmarkEnd w:id="650"/>
      <w:bookmarkEnd w:id="651"/>
    </w:p>
    <w:p>
      <w:pPr>
        <w:spacing w:line="52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新一轮科技革命和产业革命正在孕育兴起，重大科技创新正在引领社会产生新变革，产业结构的调整和转型升级，形成整个产业链和多产业领域跨界融合，大批新型职业岗位（群）应运而生</w:t>
      </w:r>
      <w:r>
        <w:rPr>
          <w:rFonts w:hint="eastAsia" w:ascii="仿宋_GB2312" w:hAnsi="仿宋_GB2312" w:eastAsia="仿宋_GB2312" w:cs="仿宋_GB2312"/>
          <w:color w:val="000000" w:themeColor="text1"/>
          <w:sz w:val="28"/>
          <w:szCs w:val="28"/>
          <w14:textFill>
            <w14:solidFill>
              <w14:schemeClr w14:val="tx1"/>
            </w14:solidFill>
          </w14:textFill>
        </w:rPr>
        <w:t>。高职教育应契合</w:t>
      </w:r>
      <w:r>
        <w:rPr>
          <w:rFonts w:ascii="仿宋_GB2312" w:hAnsi="仿宋_GB2312" w:eastAsia="仿宋_GB2312" w:cs="仿宋_GB2312"/>
          <w:color w:val="000000" w:themeColor="text1"/>
          <w:sz w:val="28"/>
          <w:szCs w:val="28"/>
          <w14:textFill>
            <w14:solidFill>
              <w14:schemeClr w14:val="tx1"/>
            </w14:solidFill>
          </w14:textFill>
        </w:rPr>
        <w:t>行业背景和地方经济发展需求，顺应国家重大战略对人才结构和素质需求的变化，突出优势和特色，以促进人才培养供给侧和产业需求侧要素全方位融合为目标，推进职业教育发展同现代化经济体系和技能型社会建设深度融合，形成教育和产业良性互动，学校和企业优势互补的发展格局</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推进职业教育与经济社会协调发展</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以实现技术技能人才的有效供给</w:t>
      </w:r>
      <w:r>
        <w:rPr>
          <w:rFonts w:hint="eastAsia" w:ascii="仿宋_GB2312" w:hAnsi="仿宋_GB2312" w:eastAsia="仿宋_GB2312" w:cs="仿宋_GB2312"/>
          <w:color w:val="000000" w:themeColor="text1"/>
          <w:sz w:val="28"/>
          <w:szCs w:val="28"/>
          <w14:textFill>
            <w14:solidFill>
              <w14:schemeClr w14:val="tx1"/>
            </w14:solidFill>
          </w14:textFill>
        </w:rPr>
        <w:t>，增强职业教育的适应性，助力山东实现“七个走在前列”“九个强省突破”目标。</w:t>
      </w:r>
    </w:p>
    <w:p>
      <w:pPr>
        <w:spacing w:line="520" w:lineRule="exact"/>
        <w:ind w:firstLine="560" w:firstLineChars="200"/>
        <w:outlineLvl w:val="1"/>
        <w:rPr>
          <w:rFonts w:ascii="楷体" w:hAnsi="楷体" w:eastAsia="楷体" w:cs="黑体"/>
          <w:color w:val="000000" w:themeColor="text1"/>
          <w:sz w:val="28"/>
          <w:szCs w:val="28"/>
          <w14:textFill>
            <w14:solidFill>
              <w14:schemeClr w14:val="tx1"/>
            </w14:solidFill>
          </w14:textFill>
        </w:rPr>
      </w:pPr>
      <w:bookmarkStart w:id="652" w:name="_Toc94172271"/>
      <w:bookmarkStart w:id="653" w:name="_Toc94172412"/>
      <w:bookmarkStart w:id="654" w:name="_Toc94183513"/>
      <w:r>
        <w:rPr>
          <w:rFonts w:hint="eastAsia" w:ascii="楷体" w:hAnsi="楷体" w:eastAsia="楷体" w:cs="黑体"/>
          <w:color w:val="000000" w:themeColor="text1"/>
          <w:sz w:val="28"/>
          <w:szCs w:val="28"/>
          <w14:textFill>
            <w14:solidFill>
              <w14:schemeClr w14:val="tx1"/>
            </w14:solidFill>
          </w14:textFill>
        </w:rPr>
        <w:t>7.2  稳步发展本科层次职业教育，完善现代职业教育体系</w:t>
      </w:r>
      <w:bookmarkEnd w:id="652"/>
      <w:bookmarkEnd w:id="653"/>
      <w:bookmarkEnd w:id="654"/>
    </w:p>
    <w:p>
      <w:pPr>
        <w:spacing w:line="52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国家正布局构建现代职业教育体系，并提出要巩固中职基础地位、夯实高职主体地位、稳步发展职业本科教育的总体规划。因此，要紧紧围绕产业升级和国家战略，以需求为导向，紧密对接新版职业教育本科专业目录，做好高质量职业教育体系的顶层设计。同时，发展本科层次职业教育要坚持职业教育支撑在产业、依托在企业、动力在市场，坚持高标准、高起点，严把质量关，确保试点本科的专业是优质的专业，是产业转型升级急需的专业，能精准对接科技发展趋势和生产新需求，培养高精尖产业急需的高层次技术技能人才。深化“文化素质+职业技能”职教高考改革，将技能水平评价作为衡量技术技能人才培养质量的重要标准，推进分类招生，不断提升人力资本水平，使职业教育成为经济活动的内生变量，提高学校培养高层次技术技能人才的水平和能力。</w:t>
      </w:r>
    </w:p>
    <w:p>
      <w:pPr>
        <w:spacing w:line="520" w:lineRule="exact"/>
        <w:ind w:firstLine="560" w:firstLineChars="200"/>
        <w:outlineLvl w:val="1"/>
        <w:rPr>
          <w:rFonts w:ascii="楷体" w:hAnsi="楷体" w:eastAsia="楷体" w:cs="黑体"/>
          <w:color w:val="000000" w:themeColor="text1"/>
          <w:sz w:val="28"/>
          <w:szCs w:val="28"/>
          <w14:textFill>
            <w14:solidFill>
              <w14:schemeClr w14:val="tx1"/>
            </w14:solidFill>
          </w14:textFill>
        </w:rPr>
      </w:pPr>
      <w:bookmarkStart w:id="655" w:name="_Toc94172272"/>
      <w:bookmarkStart w:id="656" w:name="_Toc94183514"/>
      <w:bookmarkStart w:id="657" w:name="_Toc94172413"/>
      <w:r>
        <w:rPr>
          <w:rFonts w:hint="eastAsia" w:ascii="楷体" w:hAnsi="楷体" w:eastAsia="楷体" w:cs="黑体"/>
          <w:color w:val="000000" w:themeColor="text1"/>
          <w:sz w:val="28"/>
          <w:szCs w:val="28"/>
          <w14:textFill>
            <w14:solidFill>
              <w14:schemeClr w14:val="tx1"/>
            </w14:solidFill>
          </w14:textFill>
        </w:rPr>
        <w:t>7.3  打造高职教育教师发展高地，助推职业教育高质量发展</w:t>
      </w:r>
      <w:bookmarkEnd w:id="655"/>
      <w:bookmarkEnd w:id="656"/>
      <w:bookmarkEnd w:id="657"/>
    </w:p>
    <w:p>
      <w:pPr>
        <w:spacing w:line="52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教师是教育发展的第一资源，山东省“双师型”教师数量还不足和素质还不高。因此，要以部省共建职业教育创新发展高地为契机，以教师素质提高计划为重要抓手，聚焦重大战略、重点产业和职业教育发展要求，大力提高教师师德素养、双师素养，突出“双师型”教师个体成长和“双师型”教学团队建设相结合，构建符合需求、具有山东特色的高职院校教师培养培训体系，加强校企合作人员双向交流，开展特色培训项目。通过有计划、分步骤开展职业院校教师全员培训，建立分层、分类、分级参加国家级、省级、市县级和校本级培训机制，为山东高职教育高质量发展提供优质师资支持和人才支撑，打造职业教育教师发展高地，助推职业教育高质量发展。</w:t>
      </w:r>
    </w:p>
    <w:p>
      <w:pPr>
        <w:spacing w:line="520" w:lineRule="exact"/>
        <w:ind w:firstLine="560" w:firstLineChars="200"/>
        <w:outlineLvl w:val="1"/>
        <w:rPr>
          <w:rFonts w:ascii="楷体" w:hAnsi="楷体" w:eastAsia="楷体" w:cs="黑体"/>
          <w:color w:val="000000" w:themeColor="text1"/>
          <w:sz w:val="28"/>
          <w:szCs w:val="28"/>
          <w14:textFill>
            <w14:solidFill>
              <w14:schemeClr w14:val="tx1"/>
            </w14:solidFill>
          </w14:textFill>
        </w:rPr>
      </w:pPr>
      <w:bookmarkStart w:id="658" w:name="_Toc94172273"/>
      <w:bookmarkStart w:id="659" w:name="_Toc94172414"/>
      <w:bookmarkStart w:id="660" w:name="_Toc94183515"/>
      <w:r>
        <w:rPr>
          <w:rFonts w:hint="eastAsia" w:ascii="楷体" w:hAnsi="楷体" w:eastAsia="楷体" w:cs="黑体"/>
          <w:color w:val="000000" w:themeColor="text1"/>
          <w:sz w:val="28"/>
          <w:szCs w:val="28"/>
          <w14:textFill>
            <w14:solidFill>
              <w14:schemeClr w14:val="tx1"/>
            </w14:solidFill>
          </w14:textFill>
        </w:rPr>
        <w:t>7.4  构建多元办学格局，实现治理体系和治理能力现代化</w:t>
      </w:r>
      <w:bookmarkEnd w:id="658"/>
      <w:bookmarkEnd w:id="659"/>
      <w:bookmarkEnd w:id="660"/>
    </w:p>
    <w:p>
      <w:pPr>
        <w:spacing w:line="52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当前，高职院校还存在行政机构治理能力“泛行政化”、治理模式“单中心化”、治理结构“混沌化”现象，存在办学自主权难以落实、行业企业参与治理机制还不完善等问题。因此，高职院校要加强顶层设计，完善现代职业院校内部制度体系，建立校院两级管理体制，鼓励和培育社会公共力量参与和监督职业教育治理，实现职业教育治理资源配置的最优化，以多元化思路、市场化道路建设质量评价第三方机构，推进治理体系和治理能力现代化，激活校内外治理主体活力。深入贯彻落实国家及省教师职称制度改革系列文件精神，健全完善高校教师评价体系，激发发展创新活力。发挥信息化平台优势，推动校内外治理的信息化、智能化、高效化，实现职业院校治理理念现代化、行政机构治理能力现代化、治理方式现代化。</w:t>
      </w:r>
    </w:p>
    <w:p>
      <w:pPr>
        <w:spacing w:line="520" w:lineRule="exact"/>
        <w:ind w:firstLine="560" w:firstLineChars="200"/>
        <w:outlineLvl w:val="1"/>
        <w:rPr>
          <w:rFonts w:ascii="楷体" w:hAnsi="楷体" w:eastAsia="楷体" w:cs="黑体"/>
          <w:color w:val="000000" w:themeColor="text1"/>
          <w:sz w:val="28"/>
          <w:szCs w:val="28"/>
          <w14:textFill>
            <w14:solidFill>
              <w14:schemeClr w14:val="tx1"/>
            </w14:solidFill>
          </w14:textFill>
        </w:rPr>
      </w:pPr>
      <w:bookmarkStart w:id="661" w:name="_Toc94172274"/>
      <w:bookmarkStart w:id="662" w:name="_Toc94172415"/>
      <w:bookmarkStart w:id="663" w:name="_Toc94183516"/>
      <w:r>
        <w:rPr>
          <w:rFonts w:hint="eastAsia" w:ascii="楷体" w:hAnsi="楷体" w:eastAsia="楷体" w:cs="黑体"/>
          <w:color w:val="000000" w:themeColor="text1"/>
          <w:sz w:val="28"/>
          <w:szCs w:val="28"/>
          <w14:textFill>
            <w14:solidFill>
              <w14:schemeClr w14:val="tx1"/>
            </w14:solidFill>
          </w14:textFill>
        </w:rPr>
        <w:t>7.5  加强职业教育理论研究，凝练职教高地建设经验和制度模式</w:t>
      </w:r>
      <w:bookmarkEnd w:id="661"/>
      <w:bookmarkEnd w:id="662"/>
      <w:bookmarkEnd w:id="663"/>
    </w:p>
    <w:p>
      <w:pPr>
        <w:spacing w:line="52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当前，部省共建国家职业教育创新发展高地建设已“全面起势”，探索建立新时代中国特色职业教育制度和模式，实现“一年成式”“两年成是”“三年成事”目标，亟需从学理上把握职业教育改革发展的创新实践</w:t>
      </w:r>
      <w:r>
        <w:rPr>
          <w:rFonts w:hint="eastAsia" w:ascii="仿宋_GB2312" w:hAnsi="仿宋_GB2312" w:eastAsia="仿宋_GB2312" w:cs="仿宋_GB2312"/>
          <w:color w:val="000000" w:themeColor="text1"/>
          <w:sz w:val="28"/>
          <w:szCs w:val="28"/>
          <w14:textFill>
            <w14:solidFill>
              <w14:schemeClr w14:val="tx1"/>
            </w14:solidFill>
          </w14:textFill>
        </w:rPr>
        <w:t>。因此，要</w:t>
      </w:r>
      <w:r>
        <w:rPr>
          <w:rFonts w:ascii="仿宋_GB2312" w:hAnsi="仿宋_GB2312" w:eastAsia="仿宋_GB2312" w:cs="仿宋_GB2312"/>
          <w:color w:val="000000" w:themeColor="text1"/>
          <w:sz w:val="28"/>
          <w:szCs w:val="28"/>
          <w14:textFill>
            <w14:solidFill>
              <w14:schemeClr w14:val="tx1"/>
            </w14:solidFill>
          </w14:textFill>
        </w:rPr>
        <w:t>紧紧围绕“为建设新时代中国特色职业教育制度模式趟出路子”“为全国推动职业教育大改革大发展，找准突破口、着力点”“为全国其他地区，探索可复制、可推广的经验模式”使命，加强理论研究、实证研究、比较研究和跨领域研究，</w:t>
      </w:r>
      <w:r>
        <w:rPr>
          <w:rFonts w:hint="eastAsia" w:ascii="仿宋_GB2312" w:hAnsi="仿宋_GB2312" w:eastAsia="仿宋_GB2312" w:cs="仿宋_GB2312"/>
          <w:color w:val="000000" w:themeColor="text1"/>
          <w:sz w:val="28"/>
          <w:szCs w:val="28"/>
          <w14:textFill>
            <w14:solidFill>
              <w14:schemeClr w14:val="tx1"/>
            </w14:solidFill>
          </w14:textFill>
        </w:rPr>
        <w:t>大力</w:t>
      </w:r>
      <w:r>
        <w:rPr>
          <w:rFonts w:ascii="仿宋_GB2312" w:hAnsi="仿宋_GB2312" w:eastAsia="仿宋_GB2312" w:cs="仿宋_GB2312"/>
          <w:color w:val="000000" w:themeColor="text1"/>
          <w:sz w:val="28"/>
          <w:szCs w:val="28"/>
          <w14:textFill>
            <w14:solidFill>
              <w14:schemeClr w14:val="tx1"/>
            </w14:solidFill>
          </w14:textFill>
        </w:rPr>
        <w:t>拓展研究的深度和广度，</w:t>
      </w:r>
      <w:r>
        <w:rPr>
          <w:rFonts w:hint="eastAsia" w:ascii="仿宋_GB2312" w:hAnsi="仿宋_GB2312" w:eastAsia="仿宋_GB2312" w:cs="仿宋_GB2312"/>
          <w:color w:val="000000" w:themeColor="text1"/>
          <w:sz w:val="28"/>
          <w:szCs w:val="28"/>
          <w14:textFill>
            <w14:solidFill>
              <w14:schemeClr w14:val="tx1"/>
            </w14:solidFill>
          </w14:textFill>
        </w:rPr>
        <w:t>产出</w:t>
      </w:r>
      <w:r>
        <w:rPr>
          <w:rFonts w:ascii="仿宋_GB2312" w:hAnsi="仿宋_GB2312" w:eastAsia="仿宋_GB2312" w:cs="仿宋_GB2312"/>
          <w:color w:val="000000" w:themeColor="text1"/>
          <w:sz w:val="28"/>
          <w:szCs w:val="28"/>
          <w14:textFill>
            <w14:solidFill>
              <w14:schemeClr w14:val="tx1"/>
            </w14:solidFill>
          </w14:textFill>
        </w:rPr>
        <w:t>体现国家水准的研究成果</w:t>
      </w:r>
      <w:r>
        <w:rPr>
          <w:rFonts w:hint="eastAsia" w:ascii="仿宋_GB2312" w:hAnsi="仿宋_GB2312" w:eastAsia="仿宋_GB2312" w:cs="仿宋_GB2312"/>
          <w:color w:val="000000" w:themeColor="text1"/>
          <w:sz w:val="28"/>
          <w:szCs w:val="28"/>
          <w14:textFill>
            <w14:solidFill>
              <w14:schemeClr w14:val="tx1"/>
            </w14:solidFill>
          </w14:textFill>
        </w:rPr>
        <w:t>，并</w:t>
      </w:r>
      <w:r>
        <w:rPr>
          <w:rFonts w:ascii="仿宋_GB2312" w:hAnsi="仿宋_GB2312" w:eastAsia="仿宋_GB2312" w:cs="仿宋_GB2312"/>
          <w:color w:val="000000" w:themeColor="text1"/>
          <w:sz w:val="28"/>
          <w:szCs w:val="28"/>
          <w14:textFill>
            <w14:solidFill>
              <w14:schemeClr w14:val="tx1"/>
            </w14:solidFill>
          </w14:textFill>
        </w:rPr>
        <w:t>推动研究成果转化为决策、制度</w:t>
      </w:r>
      <w:r>
        <w:rPr>
          <w:rFonts w:hint="eastAsia" w:ascii="仿宋_GB2312" w:hAnsi="仿宋_GB2312" w:eastAsia="仿宋_GB2312" w:cs="仿宋_GB2312"/>
          <w:color w:val="000000" w:themeColor="text1"/>
          <w:sz w:val="28"/>
          <w:szCs w:val="28"/>
          <w14:textFill>
            <w14:solidFill>
              <w14:schemeClr w14:val="tx1"/>
            </w14:solidFill>
          </w14:textFill>
        </w:rPr>
        <w:t>。同时，各高职</w:t>
      </w:r>
      <w:r>
        <w:rPr>
          <w:rFonts w:ascii="仿宋_GB2312" w:hAnsi="仿宋_GB2312" w:eastAsia="仿宋_GB2312" w:cs="仿宋_GB2312"/>
          <w:color w:val="000000" w:themeColor="text1"/>
          <w:sz w:val="28"/>
          <w:szCs w:val="28"/>
          <w14:textFill>
            <w14:solidFill>
              <w14:schemeClr w14:val="tx1"/>
            </w14:solidFill>
          </w14:textFill>
        </w:rPr>
        <w:t>院校及研究机构，</w:t>
      </w:r>
      <w:r>
        <w:rPr>
          <w:rFonts w:hint="eastAsia" w:ascii="仿宋_GB2312" w:hAnsi="仿宋_GB2312" w:eastAsia="仿宋_GB2312" w:cs="仿宋_GB2312"/>
          <w:color w:val="000000" w:themeColor="text1"/>
          <w:sz w:val="28"/>
          <w:szCs w:val="28"/>
          <w14:textFill>
            <w14:solidFill>
              <w14:schemeClr w14:val="tx1"/>
            </w14:solidFill>
          </w14:textFill>
        </w:rPr>
        <w:t>要</w:t>
      </w:r>
      <w:r>
        <w:rPr>
          <w:rFonts w:ascii="仿宋_GB2312" w:hAnsi="仿宋_GB2312" w:eastAsia="仿宋_GB2312" w:cs="仿宋_GB2312"/>
          <w:color w:val="000000" w:themeColor="text1"/>
          <w:sz w:val="28"/>
          <w:szCs w:val="28"/>
          <w14:textFill>
            <w14:solidFill>
              <w14:schemeClr w14:val="tx1"/>
            </w14:solidFill>
          </w14:textFill>
        </w:rPr>
        <w:t>把理论实践研究作为</w:t>
      </w:r>
      <w:r>
        <w:rPr>
          <w:rFonts w:hint="eastAsia" w:ascii="仿宋_GB2312" w:hAnsi="仿宋_GB2312" w:eastAsia="仿宋_GB2312" w:cs="仿宋_GB2312"/>
          <w:color w:val="000000" w:themeColor="text1"/>
          <w:sz w:val="28"/>
          <w:szCs w:val="28"/>
          <w14:textFill>
            <w14:solidFill>
              <w14:schemeClr w14:val="tx1"/>
            </w14:solidFill>
          </w14:textFill>
        </w:rPr>
        <w:t>学校发展的</w:t>
      </w:r>
      <w:r>
        <w:rPr>
          <w:rFonts w:ascii="仿宋_GB2312" w:hAnsi="仿宋_GB2312" w:eastAsia="仿宋_GB2312" w:cs="仿宋_GB2312"/>
          <w:color w:val="000000" w:themeColor="text1"/>
          <w:sz w:val="28"/>
          <w:szCs w:val="28"/>
          <w14:textFill>
            <w14:solidFill>
              <w14:schemeClr w14:val="tx1"/>
            </w14:solidFill>
          </w14:textFill>
        </w:rPr>
        <w:t>重要任务，</w:t>
      </w:r>
      <w:r>
        <w:rPr>
          <w:rFonts w:hint="eastAsia" w:ascii="仿宋_GB2312" w:hAnsi="仿宋_GB2312" w:eastAsia="仿宋_GB2312" w:cs="仿宋_GB2312"/>
          <w:color w:val="000000" w:themeColor="text1"/>
          <w:sz w:val="28"/>
          <w:szCs w:val="28"/>
          <w14:textFill>
            <w14:solidFill>
              <w14:schemeClr w14:val="tx1"/>
            </w14:solidFill>
          </w14:textFill>
        </w:rPr>
        <w:t>设立专项</w:t>
      </w:r>
      <w:r>
        <w:rPr>
          <w:rFonts w:ascii="仿宋_GB2312" w:hAnsi="仿宋_GB2312" w:eastAsia="仿宋_GB2312" w:cs="仿宋_GB2312"/>
          <w:color w:val="000000" w:themeColor="text1"/>
          <w:sz w:val="28"/>
          <w:szCs w:val="28"/>
          <w14:textFill>
            <w14:solidFill>
              <w14:schemeClr w14:val="tx1"/>
            </w14:solidFill>
          </w14:textFill>
        </w:rPr>
        <w:t>研究经费，</w:t>
      </w:r>
      <w:r>
        <w:rPr>
          <w:rFonts w:hint="eastAsia" w:ascii="仿宋_GB2312" w:hAnsi="仿宋_GB2312" w:eastAsia="仿宋_GB2312" w:cs="仿宋_GB2312"/>
          <w:color w:val="000000" w:themeColor="text1"/>
          <w:sz w:val="28"/>
          <w:szCs w:val="28"/>
          <w14:textFill>
            <w14:solidFill>
              <w14:schemeClr w14:val="tx1"/>
            </w14:solidFill>
          </w14:textFill>
        </w:rPr>
        <w:t>落实落细</w:t>
      </w:r>
      <w:r>
        <w:rPr>
          <w:rFonts w:ascii="仿宋_GB2312" w:hAnsi="仿宋_GB2312" w:eastAsia="仿宋_GB2312" w:cs="仿宋_GB2312"/>
          <w:color w:val="000000" w:themeColor="text1"/>
          <w:sz w:val="28"/>
          <w:szCs w:val="28"/>
          <w14:textFill>
            <w14:solidFill>
              <w14:schemeClr w14:val="tx1"/>
            </w14:solidFill>
          </w14:textFill>
        </w:rPr>
        <w:t>，产出一批</w:t>
      </w:r>
      <w:r>
        <w:rPr>
          <w:rFonts w:hint="eastAsia" w:ascii="仿宋_GB2312" w:hAnsi="仿宋_GB2312" w:eastAsia="仿宋_GB2312" w:cs="仿宋_GB2312"/>
          <w:color w:val="000000" w:themeColor="text1"/>
          <w:sz w:val="28"/>
          <w:szCs w:val="28"/>
          <w14:textFill>
            <w14:solidFill>
              <w14:schemeClr w14:val="tx1"/>
            </w14:solidFill>
          </w14:textFill>
        </w:rPr>
        <w:t>具有</w:t>
      </w:r>
      <w:r>
        <w:rPr>
          <w:rFonts w:ascii="仿宋_GB2312" w:hAnsi="仿宋_GB2312" w:eastAsia="仿宋_GB2312" w:cs="仿宋_GB2312"/>
          <w:color w:val="000000" w:themeColor="text1"/>
          <w:sz w:val="28"/>
          <w:szCs w:val="28"/>
          <w14:textFill>
            <w14:solidFill>
              <w14:schemeClr w14:val="tx1"/>
            </w14:solidFill>
          </w14:textFill>
        </w:rPr>
        <w:t>原创性的先进理论成果和可复制、可推广的制度及实践成果，为职教高地建设提供智力支撑，助力构建新时代中国特色职业教育研究体系和话语体系。</w:t>
      </w:r>
    </w:p>
    <w:p>
      <w:pPr>
        <w:spacing w:line="52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p>
    <w:p>
      <w:pPr>
        <w:spacing w:line="52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p>
      <w:pPr>
        <w:widowControl/>
        <w:jc w:val="left"/>
        <w:rPr>
          <w:rFonts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br w:type="page"/>
      </w:r>
    </w:p>
    <w:p>
      <w:pPr>
        <w:spacing w:line="520" w:lineRule="exact"/>
        <w:outlineLvl w:val="0"/>
        <w:rPr>
          <w:rFonts w:ascii="黑体" w:hAnsi="黑体" w:eastAsia="黑体" w:cs="黑体"/>
          <w:bCs/>
          <w:color w:val="000000" w:themeColor="text1"/>
          <w:sz w:val="28"/>
          <w:szCs w:val="28"/>
          <w14:textFill>
            <w14:solidFill>
              <w14:schemeClr w14:val="tx1"/>
            </w14:solidFill>
          </w14:textFill>
        </w:rPr>
      </w:pPr>
      <w:bookmarkStart w:id="664" w:name="_Toc94172416"/>
      <w:bookmarkStart w:id="665" w:name="_Toc94172275"/>
      <w:bookmarkStart w:id="666" w:name="_Toc94183517"/>
      <w:r>
        <w:rPr>
          <w:rFonts w:ascii="黑体" w:hAnsi="黑体" w:eastAsia="黑体" w:cs="黑体"/>
          <w:bCs/>
          <w:color w:val="000000" w:themeColor="text1"/>
          <w:sz w:val="28"/>
          <w:szCs w:val="28"/>
          <w14:textFill>
            <w14:solidFill>
              <w14:schemeClr w14:val="tx1"/>
            </w14:solidFill>
          </w14:textFill>
        </w:rPr>
        <w:t>附件</w:t>
      </w:r>
      <w:bookmarkEnd w:id="664"/>
      <w:bookmarkEnd w:id="665"/>
      <w:bookmarkEnd w:id="666"/>
    </w:p>
    <w:p>
      <w:pPr>
        <w:widowControl/>
        <w:adjustRightInd w:val="0"/>
        <w:snapToGrid w:val="0"/>
        <w:jc w:val="center"/>
        <w:rPr>
          <w:rStyle w:val="37"/>
          <w:rFonts w:ascii="方正小标宋简体" w:hAnsi="Times New Roman" w:eastAsia="方正小标宋简体"/>
          <w:b w:val="0"/>
          <w:color w:val="000000" w:themeColor="text1"/>
          <w:sz w:val="28"/>
          <w:szCs w:val="28"/>
          <w14:textFill>
            <w14:solidFill>
              <w14:schemeClr w14:val="tx1"/>
            </w14:solidFill>
          </w14:textFill>
        </w:rPr>
      </w:pPr>
      <w:bookmarkStart w:id="667" w:name="_Toc94172276"/>
      <w:bookmarkStart w:id="668" w:name="_Toc94183518"/>
      <w:bookmarkStart w:id="669" w:name="_Toc94172417"/>
      <w:r>
        <w:rPr>
          <w:rStyle w:val="37"/>
          <w:rFonts w:hint="eastAsia" w:ascii="方正小标宋简体" w:hAnsi="Times New Roman" w:eastAsia="方正小标宋简体"/>
          <w:b w:val="0"/>
          <w:color w:val="000000" w:themeColor="text1"/>
          <w:sz w:val="28"/>
          <w:szCs w:val="28"/>
          <w14:textFill>
            <w14:solidFill>
              <w14:schemeClr w14:val="tx1"/>
            </w14:solidFill>
          </w14:textFill>
        </w:rPr>
        <w:t>表1  计分卡</w:t>
      </w:r>
      <w:bookmarkEnd w:id="667"/>
      <w:bookmarkEnd w:id="668"/>
      <w:bookmarkEnd w:id="669"/>
    </w:p>
    <w:p>
      <w:pPr>
        <w:widowControl/>
        <w:adjustRightInd w:val="0"/>
        <w:snapToGrid w:val="0"/>
        <w:jc w:val="center"/>
        <w:rPr>
          <w:rFonts w:ascii="Times New Roman" w:hAnsi="Times New Roman" w:eastAsia="仿宋_GB2312"/>
          <w:color w:val="000000" w:themeColor="text1"/>
          <w:sz w:val="32"/>
          <w:szCs w:val="32"/>
          <w14:textFill>
            <w14:solidFill>
              <w14:schemeClr w14:val="tx1"/>
            </w14:solidFill>
          </w14:textFill>
        </w:rPr>
      </w:pPr>
    </w:p>
    <w:tbl>
      <w:tblPr>
        <w:tblStyle w:val="21"/>
        <w:tblpPr w:leftFromText="180" w:rightFromText="180" w:vertAnchor="text" w:horzAnchor="page" w:tblpXSpec="center" w:tblpY="-238"/>
        <w:tblOverlap w:val="never"/>
        <w:tblW w:w="9155" w:type="dxa"/>
        <w:jc w:val="center"/>
        <w:tblLayout w:type="fixed"/>
        <w:tblCellMar>
          <w:top w:w="0" w:type="dxa"/>
          <w:left w:w="108" w:type="dxa"/>
          <w:bottom w:w="0" w:type="dxa"/>
          <w:right w:w="108" w:type="dxa"/>
        </w:tblCellMar>
      </w:tblPr>
      <w:tblGrid>
        <w:gridCol w:w="811"/>
        <w:gridCol w:w="813"/>
        <w:gridCol w:w="500"/>
        <w:gridCol w:w="2741"/>
        <w:gridCol w:w="856"/>
        <w:gridCol w:w="1099"/>
        <w:gridCol w:w="1068"/>
        <w:gridCol w:w="1267"/>
      </w:tblGrid>
      <w:tr>
        <w:tblPrEx>
          <w:tblCellMar>
            <w:top w:w="0" w:type="dxa"/>
            <w:left w:w="108" w:type="dxa"/>
            <w:bottom w:w="0" w:type="dxa"/>
            <w:right w:w="108" w:type="dxa"/>
          </w:tblCellMar>
        </w:tblPrEx>
        <w:trPr>
          <w:trHeight w:val="837" w:hRule="atLeast"/>
          <w:jc w:val="center"/>
        </w:trPr>
        <w:tc>
          <w:tcPr>
            <w:tcW w:w="811" w:type="dxa"/>
            <w:tcBorders>
              <w:top w:val="single" w:color="auto" w:sz="4" w:space="0"/>
              <w:left w:val="single" w:color="auto" w:sz="4" w:space="0"/>
              <w:bottom w:val="single" w:color="auto" w:sz="4" w:space="0"/>
            </w:tcBorders>
            <w:vAlign w:val="center"/>
          </w:tcPr>
          <w:p>
            <w:pPr>
              <w:widowControl/>
              <w:snapToGrid w:val="0"/>
              <w:spacing w:line="288" w:lineRule="auto"/>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院校代码</w:t>
            </w:r>
          </w:p>
        </w:tc>
        <w:tc>
          <w:tcPr>
            <w:tcW w:w="813" w:type="dxa"/>
            <w:tcBorders>
              <w:top w:val="single" w:color="auto" w:sz="4" w:space="0"/>
              <w:left w:val="single" w:color="auto" w:sz="4" w:space="0"/>
              <w:bottom w:val="single" w:color="auto" w:sz="4" w:space="0"/>
            </w:tcBorders>
            <w:vAlign w:val="center"/>
          </w:tcPr>
          <w:p>
            <w:pPr>
              <w:widowControl/>
              <w:snapToGrid w:val="0"/>
              <w:spacing w:line="288" w:lineRule="auto"/>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院校名称</w:t>
            </w:r>
          </w:p>
        </w:tc>
        <w:tc>
          <w:tcPr>
            <w:tcW w:w="3241" w:type="dxa"/>
            <w:gridSpan w:val="2"/>
            <w:tcBorders>
              <w:top w:val="single" w:color="auto" w:sz="4" w:space="0"/>
              <w:left w:val="single" w:color="auto" w:sz="4" w:space="0"/>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指标</w:t>
            </w:r>
          </w:p>
        </w:tc>
        <w:tc>
          <w:tcPr>
            <w:tcW w:w="856" w:type="dxa"/>
            <w:tcBorders>
              <w:top w:val="single" w:color="auto" w:sz="4" w:space="0"/>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单位</w:t>
            </w:r>
          </w:p>
        </w:tc>
        <w:tc>
          <w:tcPr>
            <w:tcW w:w="1099" w:type="dxa"/>
            <w:tcBorders>
              <w:top w:val="single" w:color="auto" w:sz="4" w:space="0"/>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2020年</w:t>
            </w:r>
          </w:p>
        </w:tc>
        <w:tc>
          <w:tcPr>
            <w:tcW w:w="1068" w:type="dxa"/>
            <w:tcBorders>
              <w:top w:val="single" w:color="auto" w:sz="4" w:space="0"/>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2021年</w:t>
            </w:r>
          </w:p>
        </w:tc>
        <w:tc>
          <w:tcPr>
            <w:tcW w:w="1267" w:type="dxa"/>
            <w:tcBorders>
              <w:top w:val="single" w:color="auto" w:sz="4" w:space="0"/>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备注</w:t>
            </w:r>
          </w:p>
        </w:tc>
      </w:tr>
      <w:tr>
        <w:tblPrEx>
          <w:tblCellMar>
            <w:top w:w="0" w:type="dxa"/>
            <w:left w:w="108" w:type="dxa"/>
            <w:bottom w:w="0" w:type="dxa"/>
            <w:right w:w="108" w:type="dxa"/>
          </w:tblCellMar>
        </w:tblPrEx>
        <w:trPr>
          <w:trHeight w:val="629" w:hRule="atLeast"/>
          <w:jc w:val="center"/>
        </w:trPr>
        <w:tc>
          <w:tcPr>
            <w:tcW w:w="811" w:type="dxa"/>
            <w:vMerge w:val="restart"/>
            <w:tcBorders>
              <w:top w:val="single" w:color="auto" w:sz="4" w:space="0"/>
              <w:left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813" w:type="dxa"/>
            <w:vMerge w:val="restart"/>
            <w:tcBorders>
              <w:top w:val="single" w:color="auto" w:sz="4" w:space="0"/>
              <w:left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500" w:type="dxa"/>
            <w:tcBorders>
              <w:top w:val="nil"/>
              <w:left w:val="single" w:color="auto" w:sz="4" w:space="0"/>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1</w:t>
            </w:r>
          </w:p>
        </w:tc>
        <w:tc>
          <w:tcPr>
            <w:tcW w:w="2740" w:type="dxa"/>
            <w:tcBorders>
              <w:top w:val="nil"/>
              <w:left w:val="nil"/>
              <w:bottom w:val="single" w:color="auto" w:sz="4" w:space="0"/>
              <w:right w:val="single" w:color="auto" w:sz="4" w:space="0"/>
            </w:tcBorders>
            <w:vAlign w:val="center"/>
          </w:tcPr>
          <w:p>
            <w:pPr>
              <w:widowControl/>
              <w:snapToGrid w:val="0"/>
              <w:spacing w:line="288" w:lineRule="auto"/>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 xml:space="preserve">就业率 </w:t>
            </w:r>
          </w:p>
        </w:tc>
        <w:tc>
          <w:tcPr>
            <w:tcW w:w="856" w:type="dxa"/>
            <w:tcBorders>
              <w:top w:val="nil"/>
              <w:left w:val="nil"/>
              <w:bottom w:val="single" w:color="auto" w:sz="4" w:space="0"/>
              <w:right w:val="single" w:color="auto" w:sz="4" w:space="0"/>
            </w:tcBorders>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1099"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92.69</w:t>
            </w:r>
          </w:p>
        </w:tc>
        <w:tc>
          <w:tcPr>
            <w:tcW w:w="1068"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9</w:t>
            </w:r>
            <w:r>
              <w:rPr>
                <w:rFonts w:ascii="Times New Roman" w:hAnsi="Times New Roman" w:eastAsia="仿宋_GB2312"/>
                <w:color w:val="000000" w:themeColor="text1"/>
                <w:kern w:val="0"/>
                <w:sz w:val="24"/>
                <w:szCs w:val="28"/>
                <w14:textFill>
                  <w14:solidFill>
                    <w14:schemeClr w14:val="tx1"/>
                  </w14:solidFill>
                </w14:textFill>
              </w:rPr>
              <w:t>5.31</w:t>
            </w:r>
          </w:p>
        </w:tc>
        <w:tc>
          <w:tcPr>
            <w:tcW w:w="1267" w:type="dxa"/>
            <w:tcBorders>
              <w:top w:val="nil"/>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629" w:hRule="atLeast"/>
          <w:jc w:val="center"/>
        </w:trPr>
        <w:tc>
          <w:tcPr>
            <w:tcW w:w="811" w:type="dxa"/>
            <w:vMerge w:val="continue"/>
            <w:tcBorders>
              <w:top w:val="single" w:color="auto" w:sz="4" w:space="0"/>
              <w:left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813" w:type="dxa"/>
            <w:vMerge w:val="continue"/>
            <w:tcBorders>
              <w:top w:val="single" w:color="auto" w:sz="4" w:space="0"/>
              <w:left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500" w:type="dxa"/>
            <w:tcBorders>
              <w:top w:val="nil"/>
              <w:left w:val="single" w:color="auto" w:sz="4" w:space="0"/>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4"/>
                <w:highlight w:val="yellow"/>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2</w:t>
            </w:r>
          </w:p>
        </w:tc>
        <w:tc>
          <w:tcPr>
            <w:tcW w:w="2740" w:type="dxa"/>
            <w:tcBorders>
              <w:top w:val="nil"/>
              <w:left w:val="nil"/>
              <w:bottom w:val="single" w:color="auto" w:sz="4" w:space="0"/>
              <w:right w:val="single" w:color="auto" w:sz="4" w:space="0"/>
            </w:tcBorders>
            <w:vAlign w:val="center"/>
          </w:tcPr>
          <w:p>
            <w:pPr>
              <w:widowControl/>
              <w:snapToGrid w:val="0"/>
              <w:spacing w:line="288" w:lineRule="auto"/>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毕业生本省就业比例</w:t>
            </w:r>
          </w:p>
        </w:tc>
        <w:tc>
          <w:tcPr>
            <w:tcW w:w="856" w:type="dxa"/>
            <w:tcBorders>
              <w:top w:val="nil"/>
              <w:left w:val="nil"/>
              <w:bottom w:val="single" w:color="auto" w:sz="4" w:space="0"/>
              <w:right w:val="single" w:color="auto" w:sz="4" w:space="0"/>
            </w:tcBorders>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1099"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5</w:t>
            </w:r>
            <w:r>
              <w:rPr>
                <w:rFonts w:ascii="Times New Roman" w:hAnsi="Times New Roman" w:eastAsia="仿宋_GB2312"/>
                <w:color w:val="000000" w:themeColor="text1"/>
                <w:kern w:val="0"/>
                <w:sz w:val="24"/>
                <w:szCs w:val="28"/>
                <w14:textFill>
                  <w14:solidFill>
                    <w14:schemeClr w14:val="tx1"/>
                  </w14:solidFill>
                </w14:textFill>
              </w:rPr>
              <w:t>4.43</w:t>
            </w:r>
          </w:p>
        </w:tc>
        <w:tc>
          <w:tcPr>
            <w:tcW w:w="1068"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6</w:t>
            </w:r>
            <w:r>
              <w:rPr>
                <w:rFonts w:ascii="Times New Roman" w:hAnsi="Times New Roman" w:eastAsia="仿宋_GB2312"/>
                <w:color w:val="000000" w:themeColor="text1"/>
                <w:kern w:val="0"/>
                <w:sz w:val="24"/>
                <w:szCs w:val="28"/>
                <w14:textFill>
                  <w14:solidFill>
                    <w14:schemeClr w14:val="tx1"/>
                  </w14:solidFill>
                </w14:textFill>
              </w:rPr>
              <w:t>2.67</w:t>
            </w:r>
          </w:p>
        </w:tc>
        <w:tc>
          <w:tcPr>
            <w:tcW w:w="1267" w:type="dxa"/>
            <w:tcBorders>
              <w:top w:val="nil"/>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629" w:hRule="atLeast"/>
          <w:jc w:val="center"/>
        </w:trPr>
        <w:tc>
          <w:tcPr>
            <w:tcW w:w="811" w:type="dxa"/>
            <w:vMerge w:val="continue"/>
            <w:tcBorders>
              <w:left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813" w:type="dxa"/>
            <w:vMerge w:val="continue"/>
            <w:tcBorders>
              <w:left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500" w:type="dxa"/>
            <w:tcBorders>
              <w:top w:val="nil"/>
              <w:left w:val="single" w:color="auto" w:sz="4" w:space="0"/>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3</w:t>
            </w:r>
          </w:p>
        </w:tc>
        <w:tc>
          <w:tcPr>
            <w:tcW w:w="2740" w:type="dxa"/>
            <w:tcBorders>
              <w:top w:val="nil"/>
              <w:left w:val="nil"/>
              <w:bottom w:val="single" w:color="auto" w:sz="4" w:space="0"/>
              <w:right w:val="single" w:color="auto" w:sz="4" w:space="0"/>
            </w:tcBorders>
            <w:vAlign w:val="center"/>
          </w:tcPr>
          <w:p>
            <w:pPr>
              <w:widowControl/>
              <w:snapToGrid w:val="0"/>
              <w:spacing w:line="288" w:lineRule="auto"/>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月收入</w:t>
            </w:r>
          </w:p>
        </w:tc>
        <w:tc>
          <w:tcPr>
            <w:tcW w:w="856" w:type="dxa"/>
            <w:tcBorders>
              <w:top w:val="nil"/>
              <w:left w:val="nil"/>
              <w:bottom w:val="single" w:color="auto" w:sz="4" w:space="0"/>
              <w:right w:val="single" w:color="auto" w:sz="4" w:space="0"/>
            </w:tcBorders>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元</w:t>
            </w:r>
          </w:p>
        </w:tc>
        <w:tc>
          <w:tcPr>
            <w:tcW w:w="1099"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3650.91</w:t>
            </w:r>
          </w:p>
        </w:tc>
        <w:tc>
          <w:tcPr>
            <w:tcW w:w="1068" w:type="dxa"/>
            <w:tcBorders>
              <w:top w:val="nil"/>
              <w:left w:val="nil"/>
              <w:bottom w:val="single" w:color="auto" w:sz="4" w:space="0"/>
              <w:right w:val="single" w:color="auto" w:sz="4" w:space="0"/>
            </w:tcBorders>
            <w:noWrap/>
            <w:vAlign w:val="center"/>
          </w:tcPr>
          <w:p>
            <w:pPr>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3798.32</w:t>
            </w:r>
          </w:p>
        </w:tc>
        <w:tc>
          <w:tcPr>
            <w:tcW w:w="1267" w:type="dxa"/>
            <w:tcBorders>
              <w:top w:val="nil"/>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629" w:hRule="atLeast"/>
          <w:jc w:val="center"/>
        </w:trPr>
        <w:tc>
          <w:tcPr>
            <w:tcW w:w="811" w:type="dxa"/>
            <w:vMerge w:val="continue"/>
            <w:tcBorders>
              <w:left w:val="single" w:color="auto" w:sz="4" w:space="0"/>
            </w:tcBorders>
          </w:tcPr>
          <w:p>
            <w:pPr>
              <w:widowControl/>
              <w:snapToGrid w:val="0"/>
              <w:spacing w:line="288" w:lineRule="auto"/>
              <w:ind w:firstLine="120" w:firstLineChars="50"/>
              <w:rPr>
                <w:rFonts w:ascii="Times New Roman" w:hAnsi="Times New Roman" w:eastAsia="仿宋_GB2312"/>
                <w:color w:val="000000" w:themeColor="text1"/>
                <w:kern w:val="0"/>
                <w:sz w:val="24"/>
                <w:szCs w:val="24"/>
                <w14:textFill>
                  <w14:solidFill>
                    <w14:schemeClr w14:val="tx1"/>
                  </w14:solidFill>
                </w14:textFill>
              </w:rPr>
            </w:pPr>
          </w:p>
        </w:tc>
        <w:tc>
          <w:tcPr>
            <w:tcW w:w="813" w:type="dxa"/>
            <w:vMerge w:val="continue"/>
            <w:tcBorders>
              <w:left w:val="single" w:color="auto" w:sz="4" w:space="0"/>
            </w:tcBorders>
          </w:tcPr>
          <w:p>
            <w:pPr>
              <w:widowControl/>
              <w:snapToGrid w:val="0"/>
              <w:spacing w:line="288" w:lineRule="auto"/>
              <w:ind w:firstLine="120" w:firstLineChars="50"/>
              <w:rPr>
                <w:rFonts w:ascii="Times New Roman" w:hAnsi="Times New Roman" w:eastAsia="仿宋_GB2312"/>
                <w:color w:val="000000" w:themeColor="text1"/>
                <w:kern w:val="0"/>
                <w:sz w:val="24"/>
                <w:szCs w:val="24"/>
                <w14:textFill>
                  <w14:solidFill>
                    <w14:schemeClr w14:val="tx1"/>
                  </w14:solidFill>
                </w14:textFill>
              </w:rPr>
            </w:pPr>
          </w:p>
        </w:tc>
        <w:tc>
          <w:tcPr>
            <w:tcW w:w="500" w:type="dxa"/>
            <w:tcBorders>
              <w:top w:val="nil"/>
              <w:left w:val="single" w:color="auto" w:sz="4" w:space="0"/>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4</w:t>
            </w:r>
          </w:p>
        </w:tc>
        <w:tc>
          <w:tcPr>
            <w:tcW w:w="2740" w:type="dxa"/>
            <w:tcBorders>
              <w:top w:val="nil"/>
              <w:left w:val="nil"/>
              <w:bottom w:val="single" w:color="auto" w:sz="4" w:space="0"/>
              <w:right w:val="single" w:color="auto" w:sz="4" w:space="0"/>
            </w:tcBorders>
            <w:vAlign w:val="center"/>
          </w:tcPr>
          <w:p>
            <w:pPr>
              <w:widowControl/>
              <w:snapToGrid w:val="0"/>
              <w:spacing w:line="288" w:lineRule="auto"/>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理工农医类专业相关度</w:t>
            </w:r>
          </w:p>
        </w:tc>
        <w:tc>
          <w:tcPr>
            <w:tcW w:w="856" w:type="dxa"/>
            <w:tcBorders>
              <w:top w:val="nil"/>
              <w:left w:val="nil"/>
              <w:bottom w:val="single" w:color="auto" w:sz="4" w:space="0"/>
              <w:right w:val="single" w:color="auto" w:sz="4" w:space="0"/>
            </w:tcBorders>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1099"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69.29</w:t>
            </w:r>
          </w:p>
        </w:tc>
        <w:tc>
          <w:tcPr>
            <w:tcW w:w="1068"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71.27</w:t>
            </w:r>
          </w:p>
        </w:tc>
        <w:tc>
          <w:tcPr>
            <w:tcW w:w="1267" w:type="dxa"/>
            <w:tcBorders>
              <w:top w:val="nil"/>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r>
      <w:tr>
        <w:trPr>
          <w:trHeight w:val="629" w:hRule="atLeast"/>
          <w:jc w:val="center"/>
        </w:trPr>
        <w:tc>
          <w:tcPr>
            <w:tcW w:w="811" w:type="dxa"/>
            <w:vMerge w:val="continue"/>
            <w:tcBorders>
              <w:left w:val="single" w:color="auto" w:sz="4" w:space="0"/>
            </w:tcBorders>
          </w:tcPr>
          <w:p>
            <w:pPr>
              <w:widowControl/>
              <w:snapToGrid w:val="0"/>
              <w:spacing w:line="288" w:lineRule="auto"/>
              <w:ind w:firstLine="120" w:firstLineChars="50"/>
              <w:rPr>
                <w:rFonts w:ascii="Times New Roman" w:hAnsi="Times New Roman" w:eastAsia="仿宋_GB2312"/>
                <w:color w:val="000000" w:themeColor="text1"/>
                <w:kern w:val="0"/>
                <w:sz w:val="24"/>
                <w:szCs w:val="24"/>
                <w14:textFill>
                  <w14:solidFill>
                    <w14:schemeClr w14:val="tx1"/>
                  </w14:solidFill>
                </w14:textFill>
              </w:rPr>
            </w:pPr>
          </w:p>
        </w:tc>
        <w:tc>
          <w:tcPr>
            <w:tcW w:w="813" w:type="dxa"/>
            <w:vMerge w:val="continue"/>
            <w:tcBorders>
              <w:left w:val="single" w:color="auto" w:sz="4" w:space="0"/>
            </w:tcBorders>
          </w:tcPr>
          <w:p>
            <w:pPr>
              <w:widowControl/>
              <w:snapToGrid w:val="0"/>
              <w:spacing w:line="288" w:lineRule="auto"/>
              <w:ind w:firstLine="120" w:firstLineChars="50"/>
              <w:rPr>
                <w:rFonts w:ascii="Times New Roman" w:hAnsi="Times New Roman" w:eastAsia="仿宋_GB2312"/>
                <w:color w:val="000000" w:themeColor="text1"/>
                <w:kern w:val="0"/>
                <w:sz w:val="24"/>
                <w:szCs w:val="24"/>
                <w14:textFill>
                  <w14:solidFill>
                    <w14:schemeClr w14:val="tx1"/>
                  </w14:solidFill>
                </w14:textFill>
              </w:rPr>
            </w:pPr>
          </w:p>
        </w:tc>
        <w:tc>
          <w:tcPr>
            <w:tcW w:w="500" w:type="dxa"/>
            <w:tcBorders>
              <w:top w:val="nil"/>
              <w:left w:val="single" w:color="auto" w:sz="4" w:space="0"/>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5</w:t>
            </w:r>
          </w:p>
        </w:tc>
        <w:tc>
          <w:tcPr>
            <w:tcW w:w="2740" w:type="dxa"/>
            <w:tcBorders>
              <w:top w:val="nil"/>
              <w:left w:val="nil"/>
              <w:bottom w:val="single" w:color="auto" w:sz="4" w:space="0"/>
              <w:right w:val="single" w:color="auto" w:sz="4" w:space="0"/>
            </w:tcBorders>
            <w:vAlign w:val="center"/>
          </w:tcPr>
          <w:p>
            <w:pPr>
              <w:widowControl/>
              <w:snapToGrid w:val="0"/>
              <w:spacing w:line="288" w:lineRule="auto"/>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母校满意度</w:t>
            </w:r>
          </w:p>
        </w:tc>
        <w:tc>
          <w:tcPr>
            <w:tcW w:w="856" w:type="dxa"/>
            <w:tcBorders>
              <w:top w:val="nil"/>
              <w:left w:val="nil"/>
              <w:bottom w:val="single" w:color="auto" w:sz="4" w:space="0"/>
              <w:right w:val="single" w:color="auto" w:sz="4" w:space="0"/>
            </w:tcBorders>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1099"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96.53</w:t>
            </w:r>
          </w:p>
        </w:tc>
        <w:tc>
          <w:tcPr>
            <w:tcW w:w="1068"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97.76</w:t>
            </w:r>
          </w:p>
        </w:tc>
        <w:tc>
          <w:tcPr>
            <w:tcW w:w="1267" w:type="dxa"/>
            <w:tcBorders>
              <w:top w:val="nil"/>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629" w:hRule="atLeast"/>
          <w:jc w:val="center"/>
        </w:trPr>
        <w:tc>
          <w:tcPr>
            <w:tcW w:w="811" w:type="dxa"/>
            <w:vMerge w:val="continue"/>
            <w:tcBorders>
              <w:left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813" w:type="dxa"/>
            <w:vMerge w:val="continue"/>
            <w:tcBorders>
              <w:left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500" w:type="dxa"/>
            <w:tcBorders>
              <w:top w:val="nil"/>
              <w:left w:val="single" w:color="auto" w:sz="4" w:space="0"/>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6</w:t>
            </w:r>
          </w:p>
        </w:tc>
        <w:tc>
          <w:tcPr>
            <w:tcW w:w="2740" w:type="dxa"/>
            <w:tcBorders>
              <w:top w:val="nil"/>
              <w:left w:val="nil"/>
              <w:bottom w:val="single" w:color="auto" w:sz="4" w:space="0"/>
              <w:right w:val="single" w:color="auto" w:sz="4" w:space="0"/>
            </w:tcBorders>
            <w:vAlign w:val="center"/>
          </w:tcPr>
          <w:p>
            <w:pPr>
              <w:widowControl/>
              <w:snapToGrid w:val="0"/>
              <w:spacing w:line="288" w:lineRule="auto"/>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自主创业比例</w:t>
            </w:r>
          </w:p>
        </w:tc>
        <w:tc>
          <w:tcPr>
            <w:tcW w:w="856" w:type="dxa"/>
            <w:tcBorders>
              <w:top w:val="nil"/>
              <w:left w:val="nil"/>
              <w:bottom w:val="single" w:color="auto" w:sz="4" w:space="0"/>
              <w:right w:val="single" w:color="auto" w:sz="4" w:space="0"/>
            </w:tcBorders>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1099"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bookmarkStart w:id="670" w:name="_Hlk62245667"/>
            <w:r>
              <w:rPr>
                <w:rFonts w:ascii="Times New Roman" w:hAnsi="Times New Roman" w:eastAsia="仿宋_GB2312"/>
                <w:color w:val="000000" w:themeColor="text1"/>
                <w:kern w:val="0"/>
                <w:sz w:val="24"/>
                <w:szCs w:val="28"/>
                <w14:textFill>
                  <w14:solidFill>
                    <w14:schemeClr w14:val="tx1"/>
                  </w14:solidFill>
                </w14:textFill>
              </w:rPr>
              <w:t>1.89</w:t>
            </w:r>
            <w:bookmarkEnd w:id="670"/>
          </w:p>
        </w:tc>
        <w:tc>
          <w:tcPr>
            <w:tcW w:w="1068"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1.77</w:t>
            </w:r>
          </w:p>
        </w:tc>
        <w:tc>
          <w:tcPr>
            <w:tcW w:w="1267" w:type="dxa"/>
            <w:tcBorders>
              <w:top w:val="nil"/>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629" w:hRule="atLeast"/>
          <w:jc w:val="center"/>
        </w:trPr>
        <w:tc>
          <w:tcPr>
            <w:tcW w:w="811" w:type="dxa"/>
            <w:vMerge w:val="continue"/>
            <w:tcBorders>
              <w:left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813" w:type="dxa"/>
            <w:vMerge w:val="continue"/>
            <w:tcBorders>
              <w:left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500" w:type="dxa"/>
            <w:tcBorders>
              <w:top w:val="nil"/>
              <w:left w:val="single" w:color="auto" w:sz="4" w:space="0"/>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7</w:t>
            </w:r>
          </w:p>
        </w:tc>
        <w:tc>
          <w:tcPr>
            <w:tcW w:w="2740" w:type="dxa"/>
            <w:tcBorders>
              <w:top w:val="nil"/>
              <w:left w:val="nil"/>
              <w:bottom w:val="single" w:color="auto" w:sz="4" w:space="0"/>
              <w:right w:val="single" w:color="auto" w:sz="4" w:space="0"/>
            </w:tcBorders>
            <w:vAlign w:val="center"/>
          </w:tcPr>
          <w:p>
            <w:pPr>
              <w:widowControl/>
              <w:snapToGrid w:val="0"/>
              <w:spacing w:line="288" w:lineRule="auto"/>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雇主满意度</w:t>
            </w:r>
          </w:p>
        </w:tc>
        <w:tc>
          <w:tcPr>
            <w:tcW w:w="856" w:type="dxa"/>
            <w:tcBorders>
              <w:top w:val="nil"/>
              <w:left w:val="nil"/>
              <w:bottom w:val="single" w:color="auto" w:sz="4" w:space="0"/>
              <w:right w:val="single" w:color="auto" w:sz="4" w:space="0"/>
            </w:tcBorders>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1099"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bookmarkStart w:id="671" w:name="_Hlk62247131"/>
            <w:r>
              <w:rPr>
                <w:rFonts w:ascii="Times New Roman" w:hAnsi="Times New Roman" w:eastAsia="仿宋_GB2312"/>
                <w:color w:val="000000" w:themeColor="text1"/>
                <w:kern w:val="0"/>
                <w:sz w:val="24"/>
                <w:szCs w:val="28"/>
                <w14:textFill>
                  <w14:solidFill>
                    <w14:schemeClr w14:val="tx1"/>
                  </w14:solidFill>
                </w14:textFill>
              </w:rPr>
              <w:t>96.9</w:t>
            </w:r>
            <w:bookmarkEnd w:id="671"/>
            <w:r>
              <w:rPr>
                <w:rFonts w:ascii="Times New Roman" w:hAnsi="Times New Roman" w:eastAsia="仿宋_GB2312"/>
                <w:color w:val="000000" w:themeColor="text1"/>
                <w:kern w:val="0"/>
                <w:sz w:val="24"/>
                <w:szCs w:val="28"/>
                <w14:textFill>
                  <w14:solidFill>
                    <w14:schemeClr w14:val="tx1"/>
                  </w14:solidFill>
                </w14:textFill>
              </w:rPr>
              <w:t>3</w:t>
            </w:r>
          </w:p>
        </w:tc>
        <w:tc>
          <w:tcPr>
            <w:tcW w:w="1068"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98.06</w:t>
            </w:r>
          </w:p>
        </w:tc>
        <w:tc>
          <w:tcPr>
            <w:tcW w:w="1267" w:type="dxa"/>
            <w:tcBorders>
              <w:top w:val="nil"/>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629" w:hRule="atLeast"/>
          <w:jc w:val="center"/>
        </w:trPr>
        <w:tc>
          <w:tcPr>
            <w:tcW w:w="811" w:type="dxa"/>
            <w:vMerge w:val="continue"/>
            <w:tcBorders>
              <w:left w:val="single" w:color="auto" w:sz="4" w:space="0"/>
              <w:bottom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813" w:type="dxa"/>
            <w:vMerge w:val="continue"/>
            <w:tcBorders>
              <w:left w:val="single" w:color="auto" w:sz="4" w:space="0"/>
              <w:bottom w:val="single" w:color="auto" w:sz="4" w:space="0"/>
            </w:tcBorders>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c>
          <w:tcPr>
            <w:tcW w:w="500" w:type="dxa"/>
            <w:tcBorders>
              <w:top w:val="nil"/>
              <w:left w:val="single" w:color="auto" w:sz="4" w:space="0"/>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8</w:t>
            </w:r>
          </w:p>
        </w:tc>
        <w:tc>
          <w:tcPr>
            <w:tcW w:w="2740" w:type="dxa"/>
            <w:tcBorders>
              <w:top w:val="nil"/>
              <w:left w:val="nil"/>
              <w:bottom w:val="single" w:color="auto" w:sz="4" w:space="0"/>
              <w:right w:val="single" w:color="auto" w:sz="4" w:space="0"/>
            </w:tcBorders>
            <w:vAlign w:val="center"/>
          </w:tcPr>
          <w:p>
            <w:pPr>
              <w:widowControl/>
              <w:snapToGrid w:val="0"/>
              <w:spacing w:line="288" w:lineRule="auto"/>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毕业三年晋升比例</w:t>
            </w:r>
          </w:p>
        </w:tc>
        <w:tc>
          <w:tcPr>
            <w:tcW w:w="856" w:type="dxa"/>
            <w:tcBorders>
              <w:top w:val="nil"/>
              <w:left w:val="nil"/>
              <w:bottom w:val="single" w:color="auto" w:sz="4" w:space="0"/>
              <w:right w:val="single" w:color="auto" w:sz="4" w:space="0"/>
            </w:tcBorders>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1099"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53.83</w:t>
            </w:r>
          </w:p>
        </w:tc>
        <w:tc>
          <w:tcPr>
            <w:tcW w:w="1068" w:type="dxa"/>
            <w:tcBorders>
              <w:top w:val="nil"/>
              <w:left w:val="nil"/>
              <w:bottom w:val="single" w:color="auto" w:sz="4" w:space="0"/>
              <w:right w:val="single" w:color="auto" w:sz="4" w:space="0"/>
            </w:tcBorders>
            <w:noWrap/>
            <w:vAlign w:val="center"/>
          </w:tcPr>
          <w:p>
            <w:pPr>
              <w:widowControl/>
              <w:snapToGrid w:val="0"/>
              <w:spacing w:line="288" w:lineRule="auto"/>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6</w:t>
            </w:r>
            <w:r>
              <w:rPr>
                <w:rFonts w:ascii="Times New Roman" w:hAnsi="Times New Roman" w:eastAsia="仿宋_GB2312"/>
                <w:color w:val="000000" w:themeColor="text1"/>
                <w:kern w:val="0"/>
                <w:sz w:val="24"/>
                <w:szCs w:val="28"/>
                <w14:textFill>
                  <w14:solidFill>
                    <w14:schemeClr w14:val="tx1"/>
                  </w14:solidFill>
                </w14:textFill>
              </w:rPr>
              <w:t>5.36</w:t>
            </w:r>
          </w:p>
        </w:tc>
        <w:tc>
          <w:tcPr>
            <w:tcW w:w="1267" w:type="dxa"/>
            <w:tcBorders>
              <w:top w:val="nil"/>
              <w:left w:val="nil"/>
              <w:bottom w:val="single" w:color="auto" w:sz="4" w:space="0"/>
              <w:right w:val="single" w:color="auto" w:sz="4" w:space="0"/>
            </w:tcBorders>
            <w:noWrap/>
            <w:vAlign w:val="center"/>
          </w:tcPr>
          <w:p>
            <w:pPr>
              <w:widowControl/>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p>
        </w:tc>
      </w:tr>
    </w:tbl>
    <w:p>
      <w:pPr>
        <w:widowControl/>
        <w:ind w:firstLine="640" w:firstLineChars="200"/>
        <w:rPr>
          <w:rFonts w:ascii="Times New Roman" w:hAnsi="Times New Roman" w:eastAsia="仿宋_GB2312"/>
          <w:color w:val="000000" w:themeColor="text1"/>
          <w:sz w:val="32"/>
          <w:szCs w:val="32"/>
          <w14:textFill>
            <w14:solidFill>
              <w14:schemeClr w14:val="tx1"/>
            </w14:solidFill>
          </w14:textFill>
        </w:rPr>
      </w:pPr>
    </w:p>
    <w:p>
      <w:pPr>
        <w:widowControl/>
        <w:ind w:firstLine="640" w:firstLineChars="200"/>
        <w:rPr>
          <w:rFonts w:ascii="Times New Roman" w:hAnsi="Times New Roman" w:eastAsia="仿宋_GB2312"/>
          <w:color w:val="000000" w:themeColor="text1"/>
          <w:sz w:val="32"/>
          <w:szCs w:val="32"/>
          <w14:textFill>
            <w14:solidFill>
              <w14:schemeClr w14:val="tx1"/>
            </w14:solidFill>
          </w14:textFill>
        </w:rPr>
      </w:pPr>
    </w:p>
    <w:p>
      <w:pPr>
        <w:widowControl/>
        <w:ind w:firstLine="640" w:firstLineChars="200"/>
        <w:rPr>
          <w:rFonts w:ascii="Times New Roman" w:hAnsi="Times New Roman" w:eastAsia="仿宋_GB2312"/>
          <w:color w:val="000000" w:themeColor="text1"/>
          <w:sz w:val="32"/>
          <w:szCs w:val="32"/>
          <w14:textFill>
            <w14:solidFill>
              <w14:schemeClr w14:val="tx1"/>
            </w14:solidFill>
          </w14:textFill>
        </w:rPr>
      </w:pPr>
    </w:p>
    <w:p>
      <w:pPr>
        <w:widowControl/>
        <w:ind w:firstLine="640" w:firstLineChars="200"/>
        <w:rPr>
          <w:rFonts w:ascii="Times New Roman" w:hAnsi="Times New Roman" w:eastAsia="仿宋_GB2312"/>
          <w:color w:val="000000" w:themeColor="text1"/>
          <w:sz w:val="32"/>
          <w:szCs w:val="32"/>
          <w14:textFill>
            <w14:solidFill>
              <w14:schemeClr w14:val="tx1"/>
            </w14:solidFill>
          </w14:textFill>
        </w:rPr>
      </w:pPr>
    </w:p>
    <w:p>
      <w:pPr>
        <w:widowControl/>
        <w:ind w:firstLine="640" w:firstLineChars="200"/>
        <w:rPr>
          <w:rFonts w:ascii="Times New Roman" w:hAnsi="Times New Roman" w:eastAsia="仿宋_GB2312"/>
          <w:color w:val="000000" w:themeColor="text1"/>
          <w:sz w:val="32"/>
          <w:szCs w:val="32"/>
          <w14:textFill>
            <w14:solidFill>
              <w14:schemeClr w14:val="tx1"/>
            </w14:solidFill>
          </w14:textFill>
        </w:rPr>
      </w:pPr>
    </w:p>
    <w:p>
      <w:pPr>
        <w:widowControl/>
        <w:ind w:firstLine="640" w:firstLineChars="200"/>
        <w:rPr>
          <w:rFonts w:ascii="Times New Roman" w:hAnsi="Times New Roman" w:eastAsia="仿宋_GB2312"/>
          <w:color w:val="000000" w:themeColor="text1"/>
          <w:sz w:val="32"/>
          <w:szCs w:val="32"/>
          <w14:textFill>
            <w14:solidFill>
              <w14:schemeClr w14:val="tx1"/>
            </w14:solidFill>
          </w14:textFill>
        </w:rPr>
      </w:pPr>
    </w:p>
    <w:p>
      <w:pPr>
        <w:widowControl/>
        <w:ind w:firstLine="640" w:firstLineChars="200"/>
        <w:rPr>
          <w:rFonts w:ascii="Times New Roman" w:hAnsi="Times New Roman" w:eastAsia="仿宋_GB2312"/>
          <w:color w:val="000000" w:themeColor="text1"/>
          <w:sz w:val="32"/>
          <w:szCs w:val="32"/>
          <w14:textFill>
            <w14:solidFill>
              <w14:schemeClr w14:val="tx1"/>
            </w14:solidFill>
          </w14:textFill>
        </w:rPr>
      </w:pPr>
    </w:p>
    <w:p>
      <w:pPr>
        <w:widowControl/>
        <w:ind w:firstLine="640" w:firstLineChars="200"/>
        <w:rPr>
          <w:rFonts w:ascii="Times New Roman" w:hAnsi="Times New Roman" w:eastAsia="仿宋_GB2312"/>
          <w:color w:val="000000" w:themeColor="text1"/>
          <w:sz w:val="32"/>
          <w:szCs w:val="32"/>
          <w14:textFill>
            <w14:solidFill>
              <w14:schemeClr w14:val="tx1"/>
            </w14:solidFill>
          </w14:textFill>
        </w:rPr>
      </w:pPr>
    </w:p>
    <w:p>
      <w:pPr>
        <w:widowControl/>
        <w:ind w:firstLine="640" w:firstLineChars="200"/>
        <w:rPr>
          <w:rFonts w:ascii="Times New Roman" w:hAnsi="Times New Roman" w:eastAsia="仿宋_GB2312"/>
          <w:color w:val="000000" w:themeColor="text1"/>
          <w:sz w:val="32"/>
          <w:szCs w:val="32"/>
          <w14:textFill>
            <w14:solidFill>
              <w14:schemeClr w14:val="tx1"/>
            </w14:solidFill>
          </w14:textFill>
        </w:rPr>
      </w:pPr>
    </w:p>
    <w:p>
      <w:pPr>
        <w:widowControl/>
        <w:ind w:firstLine="640" w:firstLineChars="200"/>
        <w:rPr>
          <w:rFonts w:ascii="Times New Roman" w:hAnsi="Times New Roman" w:eastAsia="仿宋_GB2312"/>
          <w:color w:val="000000" w:themeColor="text1"/>
          <w:sz w:val="32"/>
          <w:szCs w:val="32"/>
          <w14:textFill>
            <w14:solidFill>
              <w14:schemeClr w14:val="tx1"/>
            </w14:solidFill>
          </w14:textFill>
        </w:rPr>
      </w:pPr>
    </w:p>
    <w:p>
      <w:pPr>
        <w:widowControl/>
        <w:spacing w:after="156" w:afterLines="50" w:line="520" w:lineRule="exact"/>
        <w:jc w:val="center"/>
        <w:rPr>
          <w:rStyle w:val="37"/>
          <w:rFonts w:ascii="方正小标宋简体" w:hAnsi="Times New Roman" w:eastAsia="方正小标宋简体"/>
          <w:b w:val="0"/>
          <w:color w:val="000000" w:themeColor="text1"/>
          <w:sz w:val="28"/>
          <w:szCs w:val="28"/>
          <w14:textFill>
            <w14:solidFill>
              <w14:schemeClr w14:val="tx1"/>
            </w14:solidFill>
          </w14:textFill>
        </w:rPr>
      </w:pPr>
      <w:bookmarkStart w:id="672" w:name="_Toc94172418"/>
      <w:bookmarkStart w:id="673" w:name="_Toc94172277"/>
      <w:bookmarkStart w:id="674" w:name="_Toc94183519"/>
      <w:r>
        <w:rPr>
          <w:rStyle w:val="37"/>
          <w:rFonts w:hint="eastAsia" w:ascii="方正小标宋简体" w:hAnsi="Times New Roman" w:eastAsia="方正小标宋简体"/>
          <w:b w:val="0"/>
          <w:color w:val="000000" w:themeColor="text1"/>
          <w:sz w:val="28"/>
          <w:szCs w:val="28"/>
          <w14:textFill>
            <w14:solidFill>
              <w14:schemeClr w14:val="tx1"/>
            </w14:solidFill>
          </w14:textFill>
        </w:rPr>
        <w:t>表2  学生反馈表</w:t>
      </w:r>
      <w:bookmarkEnd w:id="672"/>
      <w:bookmarkEnd w:id="673"/>
      <w:bookmarkEnd w:id="674"/>
    </w:p>
    <w:tbl>
      <w:tblPr>
        <w:tblStyle w:val="22"/>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61"/>
        <w:gridCol w:w="862"/>
        <w:gridCol w:w="426"/>
        <w:gridCol w:w="2012"/>
        <w:gridCol w:w="1236"/>
        <w:gridCol w:w="765"/>
        <w:gridCol w:w="1101"/>
        <w:gridCol w:w="1000"/>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72" w:hRule="atLeast"/>
          <w:jc w:val="center"/>
        </w:trPr>
        <w:tc>
          <w:tcPr>
            <w:tcW w:w="427" w:type="pct"/>
            <w:vAlign w:val="center"/>
          </w:tcPr>
          <w:p>
            <w:pPr>
              <w:adjustRightInd w:val="0"/>
              <w:snapToGrid w:val="0"/>
              <w:jc w:val="center"/>
              <w:rPr>
                <w:rFonts w:ascii="Times New Roman" w:hAnsi="Times New Roman" w:eastAsia="仿宋_GB2312"/>
                <w:b/>
                <w:color w:val="000000" w:themeColor="text1"/>
                <w:szCs w:val="24"/>
                <w14:textFill>
                  <w14:solidFill>
                    <w14:schemeClr w14:val="tx1"/>
                  </w14:solidFill>
                </w14:textFill>
              </w:rPr>
            </w:pPr>
            <w:r>
              <w:rPr>
                <w:rFonts w:ascii="Times New Roman" w:hAnsi="Times New Roman" w:eastAsia="仿宋_GB2312"/>
                <w:b/>
                <w:color w:val="000000" w:themeColor="text1"/>
                <w:szCs w:val="24"/>
                <w14:textFill>
                  <w14:solidFill>
                    <w14:schemeClr w14:val="tx1"/>
                  </w14:solidFill>
                </w14:textFill>
              </w:rPr>
              <w:t>院校代码</w:t>
            </w:r>
          </w:p>
        </w:tc>
        <w:tc>
          <w:tcPr>
            <w:tcW w:w="484" w:type="pct"/>
            <w:vAlign w:val="center"/>
          </w:tcPr>
          <w:p>
            <w:pPr>
              <w:adjustRightInd w:val="0"/>
              <w:snapToGrid w:val="0"/>
              <w:jc w:val="center"/>
              <w:rPr>
                <w:rFonts w:ascii="Times New Roman" w:hAnsi="Times New Roman" w:eastAsia="仿宋_GB2312"/>
                <w:b/>
                <w:color w:val="000000" w:themeColor="text1"/>
                <w:szCs w:val="24"/>
                <w14:textFill>
                  <w14:solidFill>
                    <w14:schemeClr w14:val="tx1"/>
                  </w14:solidFill>
                </w14:textFill>
              </w:rPr>
            </w:pPr>
            <w:r>
              <w:rPr>
                <w:rFonts w:ascii="Times New Roman" w:hAnsi="Times New Roman" w:eastAsia="仿宋_GB2312"/>
                <w:b/>
                <w:color w:val="000000" w:themeColor="text1"/>
                <w:szCs w:val="24"/>
                <w14:textFill>
                  <w14:solidFill>
                    <w14:schemeClr w14:val="tx1"/>
                  </w14:solidFill>
                </w14:textFill>
              </w:rPr>
              <w:t>院校</w:t>
            </w:r>
          </w:p>
          <w:p>
            <w:pPr>
              <w:adjustRightInd w:val="0"/>
              <w:snapToGrid w:val="0"/>
              <w:jc w:val="center"/>
              <w:rPr>
                <w:rFonts w:ascii="Times New Roman" w:hAnsi="Times New Roman" w:eastAsia="仿宋_GB2312"/>
                <w:b/>
                <w:color w:val="000000" w:themeColor="text1"/>
                <w:szCs w:val="24"/>
                <w14:textFill>
                  <w14:solidFill>
                    <w14:schemeClr w14:val="tx1"/>
                  </w14:solidFill>
                </w14:textFill>
              </w:rPr>
            </w:pPr>
            <w:r>
              <w:rPr>
                <w:rFonts w:ascii="Times New Roman" w:hAnsi="Times New Roman" w:eastAsia="仿宋_GB2312"/>
                <w:b/>
                <w:color w:val="000000" w:themeColor="text1"/>
                <w:szCs w:val="24"/>
                <w14:textFill>
                  <w14:solidFill>
                    <w14:schemeClr w14:val="tx1"/>
                  </w14:solidFill>
                </w14:textFill>
              </w:rPr>
              <w:t>名称</w:t>
            </w:r>
          </w:p>
        </w:tc>
        <w:tc>
          <w:tcPr>
            <w:tcW w:w="2062" w:type="pct"/>
            <w:gridSpan w:val="3"/>
            <w:vAlign w:val="center"/>
          </w:tcPr>
          <w:p>
            <w:pPr>
              <w:adjustRightInd w:val="0"/>
              <w:snapToGrid w:val="0"/>
              <w:jc w:val="center"/>
              <w:rPr>
                <w:rFonts w:ascii="Times New Roman" w:hAnsi="Times New Roman" w:eastAsia="仿宋_GB2312"/>
                <w:b/>
                <w:color w:val="000000" w:themeColor="text1"/>
                <w:szCs w:val="24"/>
                <w14:textFill>
                  <w14:solidFill>
                    <w14:schemeClr w14:val="tx1"/>
                  </w14:solidFill>
                </w14:textFill>
              </w:rPr>
            </w:pPr>
            <w:r>
              <w:rPr>
                <w:rFonts w:ascii="Times New Roman" w:hAnsi="Times New Roman" w:eastAsia="仿宋_GB2312"/>
                <w:b/>
                <w:color w:val="000000" w:themeColor="text1"/>
                <w:szCs w:val="24"/>
                <w14:textFill>
                  <w14:solidFill>
                    <w14:schemeClr w14:val="tx1"/>
                  </w14:solidFill>
                </w14:textFill>
              </w:rPr>
              <w:t>指标</w:t>
            </w:r>
          </w:p>
        </w:tc>
        <w:tc>
          <w:tcPr>
            <w:tcW w:w="429" w:type="pct"/>
            <w:vAlign w:val="center"/>
          </w:tcPr>
          <w:p>
            <w:pPr>
              <w:adjustRightInd w:val="0"/>
              <w:snapToGrid w:val="0"/>
              <w:jc w:val="center"/>
              <w:rPr>
                <w:rFonts w:ascii="Times New Roman" w:hAnsi="Times New Roman" w:eastAsia="仿宋_GB2312"/>
                <w:b/>
                <w:color w:val="000000" w:themeColor="text1"/>
                <w:szCs w:val="24"/>
                <w14:textFill>
                  <w14:solidFill>
                    <w14:schemeClr w14:val="tx1"/>
                  </w14:solidFill>
                </w14:textFill>
              </w:rPr>
            </w:pPr>
            <w:r>
              <w:rPr>
                <w:rFonts w:ascii="Times New Roman" w:hAnsi="Times New Roman" w:eastAsia="仿宋_GB2312"/>
                <w:b/>
                <w:color w:val="000000" w:themeColor="text1"/>
                <w:szCs w:val="24"/>
                <w14:textFill>
                  <w14:solidFill>
                    <w14:schemeClr w14:val="tx1"/>
                  </w14:solidFill>
                </w14:textFill>
              </w:rPr>
              <w:t>单位</w:t>
            </w:r>
          </w:p>
        </w:tc>
        <w:tc>
          <w:tcPr>
            <w:tcW w:w="618" w:type="pct"/>
            <w:vAlign w:val="center"/>
          </w:tcPr>
          <w:p>
            <w:pPr>
              <w:adjustRightInd w:val="0"/>
              <w:snapToGrid w:val="0"/>
              <w:jc w:val="center"/>
              <w:rPr>
                <w:rFonts w:ascii="Times New Roman" w:hAnsi="Times New Roman" w:eastAsia="仿宋_GB2312"/>
                <w:b/>
                <w:color w:val="000000" w:themeColor="text1"/>
                <w:szCs w:val="24"/>
                <w14:textFill>
                  <w14:solidFill>
                    <w14:schemeClr w14:val="tx1"/>
                  </w14:solidFill>
                </w14:textFill>
              </w:rPr>
            </w:pPr>
            <w:r>
              <w:rPr>
                <w:rFonts w:ascii="Times New Roman" w:hAnsi="Times New Roman" w:eastAsia="仿宋_GB2312"/>
                <w:b/>
                <w:color w:val="000000" w:themeColor="text1"/>
                <w:szCs w:val="24"/>
                <w14:textFill>
                  <w14:solidFill>
                    <w14:schemeClr w14:val="tx1"/>
                  </w14:solidFill>
                </w14:textFill>
              </w:rPr>
              <w:t>2020级</w:t>
            </w:r>
          </w:p>
        </w:tc>
        <w:tc>
          <w:tcPr>
            <w:tcW w:w="561" w:type="pct"/>
            <w:vAlign w:val="center"/>
          </w:tcPr>
          <w:p>
            <w:pPr>
              <w:adjustRightInd w:val="0"/>
              <w:snapToGrid w:val="0"/>
              <w:jc w:val="center"/>
              <w:rPr>
                <w:rFonts w:ascii="Times New Roman" w:hAnsi="Times New Roman" w:eastAsia="仿宋_GB2312"/>
                <w:b/>
                <w:color w:val="000000" w:themeColor="text1"/>
                <w:szCs w:val="24"/>
                <w14:textFill>
                  <w14:solidFill>
                    <w14:schemeClr w14:val="tx1"/>
                  </w14:solidFill>
                </w14:textFill>
              </w:rPr>
            </w:pPr>
            <w:r>
              <w:rPr>
                <w:rFonts w:ascii="Times New Roman" w:hAnsi="Times New Roman" w:eastAsia="仿宋_GB2312"/>
                <w:b/>
                <w:color w:val="000000" w:themeColor="text1"/>
                <w:szCs w:val="24"/>
                <w14:textFill>
                  <w14:solidFill>
                    <w14:schemeClr w14:val="tx1"/>
                  </w14:solidFill>
                </w14:textFill>
              </w:rPr>
              <w:t>2021级</w:t>
            </w:r>
          </w:p>
        </w:tc>
        <w:tc>
          <w:tcPr>
            <w:tcW w:w="420" w:type="pct"/>
            <w:vAlign w:val="center"/>
          </w:tcPr>
          <w:p>
            <w:pPr>
              <w:spacing w:line="288" w:lineRule="auto"/>
              <w:rPr>
                <w:rFonts w:ascii="Times New Roman" w:hAnsi="Times New Roman" w:eastAsia="仿宋_GB2312"/>
                <w:b/>
                <w:color w:val="000000" w:themeColor="text1"/>
                <w:szCs w:val="24"/>
                <w14:textFill>
                  <w14:solidFill>
                    <w14:schemeClr w14:val="tx1"/>
                  </w14:solidFill>
                </w14:textFill>
              </w:rPr>
            </w:pPr>
            <w:r>
              <w:rPr>
                <w:rFonts w:ascii="Times New Roman" w:hAnsi="Times New Roman" w:eastAsia="仿宋_GB2312"/>
                <w:b/>
                <w:color w:val="000000" w:themeColor="text1"/>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7" w:type="pct"/>
            <w:vMerge w:val="restart"/>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restart"/>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1</w:t>
            </w:r>
          </w:p>
        </w:tc>
        <w:tc>
          <w:tcPr>
            <w:tcW w:w="1823" w:type="pct"/>
            <w:gridSpan w:val="2"/>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全日制在校生人数</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人</w:t>
            </w:r>
          </w:p>
        </w:tc>
        <w:tc>
          <w:tcPr>
            <w:tcW w:w="618" w:type="pct"/>
            <w:vAlign w:val="center"/>
          </w:tcPr>
          <w:p>
            <w:pPr>
              <w:spacing w:line="288" w:lineRule="auto"/>
              <w:jc w:val="center"/>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338685</w:t>
            </w:r>
          </w:p>
        </w:tc>
        <w:tc>
          <w:tcPr>
            <w:tcW w:w="561" w:type="pct"/>
          </w:tcPr>
          <w:p>
            <w:pPr>
              <w:spacing w:line="288" w:lineRule="auto"/>
              <w:jc w:val="center"/>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410989</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restar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2</w:t>
            </w:r>
          </w:p>
        </w:tc>
        <w:tc>
          <w:tcPr>
            <w:tcW w:w="3851" w:type="pct"/>
            <w:gridSpan w:val="6"/>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 xml:space="preserve">教书育人满意度—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8" w:hRule="atLeast"/>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restar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（1）课堂</w:t>
            </w:r>
            <w:r>
              <w:rPr>
                <w:rFonts w:ascii="Times New Roman" w:hAnsi="Times New Roman" w:eastAsia="仿宋_GB2312"/>
                <w:color w:val="000000" w:themeColor="text1"/>
                <w:kern w:val="0"/>
                <w:szCs w:val="24"/>
                <w14:textFill>
                  <w14:solidFill>
                    <w14:schemeClr w14:val="tx1"/>
                  </w14:solidFill>
                </w14:textFill>
              </w:rPr>
              <w:t>育</w:t>
            </w:r>
            <w:r>
              <w:rPr>
                <w:rFonts w:ascii="Times New Roman" w:hAnsi="Times New Roman" w:eastAsia="仿宋_GB2312"/>
                <w:color w:val="000000" w:themeColor="text1"/>
                <w:szCs w:val="24"/>
                <w14:textFill>
                  <w14:solidFill>
                    <w14:schemeClr w14:val="tx1"/>
                  </w14:solidFill>
                </w14:textFill>
              </w:rPr>
              <w:t>人</w:t>
            </w: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调研人次</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人次</w:t>
            </w:r>
          </w:p>
        </w:tc>
        <w:tc>
          <w:tcPr>
            <w:tcW w:w="618" w:type="pct"/>
            <w:vAlign w:val="center"/>
          </w:tcPr>
          <w:p>
            <w:pPr>
              <w:spacing w:line="288" w:lineRule="auto"/>
              <w:jc w:val="center"/>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315090</w:t>
            </w:r>
          </w:p>
        </w:tc>
        <w:tc>
          <w:tcPr>
            <w:tcW w:w="561" w:type="pct"/>
          </w:tcPr>
          <w:p>
            <w:pPr>
              <w:spacing w:line="288" w:lineRule="auto"/>
              <w:jc w:val="center"/>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3</w:t>
            </w:r>
            <w:r>
              <w:rPr>
                <w:rFonts w:ascii="Times New Roman" w:hAnsi="Times New Roman" w:eastAsia="仿宋_GB2312"/>
                <w:color w:val="000000" w:themeColor="text1"/>
                <w:kern w:val="0"/>
                <w:szCs w:val="28"/>
                <w14:textFill>
                  <w14:solidFill>
                    <w14:schemeClr w14:val="tx1"/>
                  </w14:solidFill>
                </w14:textFill>
              </w:rPr>
              <w:t>64085</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9" w:hRule="atLeast"/>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continue"/>
            <w:vAlign w:val="center"/>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满意度</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w:t>
            </w:r>
          </w:p>
        </w:tc>
        <w:tc>
          <w:tcPr>
            <w:tcW w:w="618" w:type="pct"/>
            <w:vAlign w:val="center"/>
          </w:tcPr>
          <w:p>
            <w:pPr>
              <w:spacing w:line="288" w:lineRule="auto"/>
              <w:jc w:val="center"/>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9</w:t>
            </w:r>
            <w:r>
              <w:rPr>
                <w:rFonts w:ascii="Times New Roman" w:hAnsi="Times New Roman" w:eastAsia="仿宋_GB2312"/>
                <w:color w:val="000000" w:themeColor="text1"/>
                <w:kern w:val="0"/>
                <w:szCs w:val="28"/>
                <w14:textFill>
                  <w14:solidFill>
                    <w14:schemeClr w14:val="tx1"/>
                  </w14:solidFill>
                </w14:textFill>
              </w:rPr>
              <w:t>7.78</w:t>
            </w:r>
          </w:p>
        </w:tc>
        <w:tc>
          <w:tcPr>
            <w:tcW w:w="561" w:type="pct"/>
          </w:tcPr>
          <w:p>
            <w:pPr>
              <w:spacing w:line="288" w:lineRule="auto"/>
              <w:jc w:val="center"/>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9</w:t>
            </w:r>
            <w:r>
              <w:rPr>
                <w:rFonts w:ascii="Times New Roman" w:hAnsi="Times New Roman" w:eastAsia="仿宋_GB2312"/>
                <w:color w:val="000000" w:themeColor="text1"/>
                <w:kern w:val="0"/>
                <w:szCs w:val="28"/>
                <w14:textFill>
                  <w14:solidFill>
                    <w14:schemeClr w14:val="tx1"/>
                  </w14:solidFill>
                </w14:textFill>
              </w:rPr>
              <w:t>7.91</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restar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（2）课</w:t>
            </w:r>
            <w:r>
              <w:rPr>
                <w:rFonts w:ascii="Times New Roman" w:hAnsi="Times New Roman" w:eastAsia="仿宋_GB2312"/>
                <w:color w:val="000000" w:themeColor="text1"/>
                <w:kern w:val="0"/>
                <w:szCs w:val="24"/>
                <w14:textFill>
                  <w14:solidFill>
                    <w14:schemeClr w14:val="tx1"/>
                  </w14:solidFill>
                </w14:textFill>
              </w:rPr>
              <w:t>外育</w:t>
            </w:r>
            <w:r>
              <w:rPr>
                <w:rFonts w:ascii="Times New Roman" w:hAnsi="Times New Roman" w:eastAsia="仿宋_GB2312"/>
                <w:color w:val="000000" w:themeColor="text1"/>
                <w:szCs w:val="24"/>
                <w14:textFill>
                  <w14:solidFill>
                    <w14:schemeClr w14:val="tx1"/>
                  </w14:solidFill>
                </w14:textFill>
              </w:rPr>
              <w:t>人</w:t>
            </w: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调研人次</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人次</w:t>
            </w:r>
          </w:p>
        </w:tc>
        <w:tc>
          <w:tcPr>
            <w:tcW w:w="618" w:type="pct"/>
            <w:vAlign w:val="center"/>
          </w:tcPr>
          <w:p>
            <w:pPr>
              <w:spacing w:line="288" w:lineRule="auto"/>
              <w:jc w:val="center"/>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287094</w:t>
            </w:r>
          </w:p>
        </w:tc>
        <w:tc>
          <w:tcPr>
            <w:tcW w:w="561" w:type="pct"/>
          </w:tcPr>
          <w:p>
            <w:pPr>
              <w:spacing w:line="288" w:lineRule="auto"/>
              <w:jc w:val="center"/>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3</w:t>
            </w:r>
            <w:r>
              <w:rPr>
                <w:rFonts w:ascii="Times New Roman" w:hAnsi="Times New Roman" w:eastAsia="仿宋_GB2312"/>
                <w:color w:val="000000" w:themeColor="text1"/>
                <w:kern w:val="0"/>
                <w:szCs w:val="28"/>
                <w14:textFill>
                  <w14:solidFill>
                    <w14:schemeClr w14:val="tx1"/>
                  </w14:solidFill>
                </w14:textFill>
              </w:rPr>
              <w:t>26535</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continue"/>
            <w:vAlign w:val="center"/>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满意度</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w:t>
            </w:r>
          </w:p>
        </w:tc>
        <w:tc>
          <w:tcPr>
            <w:tcW w:w="618" w:type="pct"/>
            <w:vAlign w:val="center"/>
          </w:tcPr>
          <w:p>
            <w:pPr>
              <w:spacing w:line="288" w:lineRule="auto"/>
              <w:jc w:val="center"/>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9</w:t>
            </w:r>
            <w:r>
              <w:rPr>
                <w:rFonts w:ascii="Times New Roman" w:hAnsi="Times New Roman" w:eastAsia="仿宋_GB2312"/>
                <w:color w:val="000000" w:themeColor="text1"/>
                <w:kern w:val="0"/>
                <w:szCs w:val="28"/>
                <w14:textFill>
                  <w14:solidFill>
                    <w14:schemeClr w14:val="tx1"/>
                  </w14:solidFill>
                </w14:textFill>
              </w:rPr>
              <w:t>7.</w:t>
            </w:r>
            <w:r>
              <w:rPr>
                <w:rFonts w:hint="eastAsia" w:ascii="Times New Roman" w:hAnsi="Times New Roman" w:eastAsia="仿宋_GB2312"/>
                <w:color w:val="000000" w:themeColor="text1"/>
                <w:kern w:val="0"/>
                <w:szCs w:val="28"/>
                <w14:textFill>
                  <w14:solidFill>
                    <w14:schemeClr w14:val="tx1"/>
                  </w14:solidFill>
                </w14:textFill>
              </w:rPr>
              <w:t>0</w:t>
            </w:r>
            <w:r>
              <w:rPr>
                <w:rFonts w:ascii="Times New Roman" w:hAnsi="Times New Roman" w:eastAsia="仿宋_GB2312"/>
                <w:color w:val="000000" w:themeColor="text1"/>
                <w:kern w:val="0"/>
                <w:szCs w:val="28"/>
                <w14:textFill>
                  <w14:solidFill>
                    <w14:schemeClr w14:val="tx1"/>
                  </w14:solidFill>
                </w14:textFill>
              </w:rPr>
              <w:t>6</w:t>
            </w:r>
          </w:p>
        </w:tc>
        <w:tc>
          <w:tcPr>
            <w:tcW w:w="561" w:type="pct"/>
          </w:tcPr>
          <w:p>
            <w:pPr>
              <w:tabs>
                <w:tab w:val="left" w:pos="61"/>
              </w:tabs>
              <w:spacing w:line="288" w:lineRule="auto"/>
              <w:jc w:val="center"/>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97.10</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restar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3</w:t>
            </w:r>
          </w:p>
        </w:tc>
        <w:tc>
          <w:tcPr>
            <w:tcW w:w="3851" w:type="pct"/>
            <w:gridSpan w:val="6"/>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 xml:space="preserve">课程教学满意度—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restar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（1）思想政治课</w:t>
            </w:r>
            <w:r>
              <w:rPr>
                <w:rFonts w:hint="eastAsia" w:ascii="Times New Roman" w:hAnsi="Times New Roman" w:eastAsia="仿宋_GB2312"/>
                <w:color w:val="000000" w:themeColor="text1"/>
                <w:szCs w:val="24"/>
                <w14:textFill>
                  <w14:solidFill>
                    <w14:schemeClr w14:val="tx1"/>
                  </w14:solidFill>
                </w14:textFill>
              </w:rPr>
              <w:t>教学</w:t>
            </w: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调研课次</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课次</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44233</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5</w:t>
            </w:r>
            <w:r>
              <w:rPr>
                <w:rFonts w:ascii="Times New Roman" w:hAnsi="Times New Roman" w:eastAsia="仿宋_GB2312"/>
                <w:color w:val="000000" w:themeColor="text1"/>
                <w:szCs w:val="24"/>
                <w14:textFill>
                  <w14:solidFill>
                    <w14:schemeClr w14:val="tx1"/>
                  </w14:solidFill>
                </w14:textFill>
              </w:rPr>
              <w:t>0660</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continue"/>
            <w:vAlign w:val="center"/>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满意度</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7.92</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7.69</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restart"/>
            <w:vAlign w:val="center"/>
          </w:tcPr>
          <w:p>
            <w:pPr>
              <w:spacing w:line="288" w:lineRule="auto"/>
              <w:rPr>
                <w:rFonts w:ascii="Times New Roman" w:hAnsi="Times New Roman" w:eastAsia="仿宋_GB2312"/>
                <w:color w:val="000000" w:themeColor="text1"/>
                <w:spacing w:val="-20"/>
                <w:szCs w:val="24"/>
                <w14:textFill>
                  <w14:solidFill>
                    <w14:schemeClr w14:val="tx1"/>
                  </w14:solidFill>
                </w14:textFill>
              </w:rPr>
            </w:pPr>
            <w:r>
              <w:rPr>
                <w:rFonts w:ascii="Times New Roman" w:hAnsi="Times New Roman" w:eastAsia="仿宋_GB2312"/>
                <w:color w:val="000000" w:themeColor="text1"/>
                <w:spacing w:val="-20"/>
                <w:szCs w:val="24"/>
                <w14:textFill>
                  <w14:solidFill>
                    <w14:schemeClr w14:val="tx1"/>
                  </w14:solidFill>
                </w14:textFill>
              </w:rPr>
              <w:t>（2）公共基础课（不含思想政治课）</w:t>
            </w: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调研课次</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课次</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68044</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8</w:t>
            </w:r>
            <w:r>
              <w:rPr>
                <w:rFonts w:ascii="Times New Roman" w:hAnsi="Times New Roman" w:eastAsia="仿宋_GB2312"/>
                <w:color w:val="000000" w:themeColor="text1"/>
                <w:szCs w:val="24"/>
                <w14:textFill>
                  <w14:solidFill>
                    <w14:schemeClr w14:val="tx1"/>
                  </w14:solidFill>
                </w14:textFill>
              </w:rPr>
              <w:t>2363</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continue"/>
            <w:vAlign w:val="center"/>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满意度</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6.69</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7.10</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restar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（3）专业课教学</w:t>
            </w: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调研课次</w:t>
            </w:r>
          </w:p>
        </w:tc>
        <w:tc>
          <w:tcPr>
            <w:tcW w:w="429" w:type="pct"/>
            <w:vAlign w:val="center"/>
          </w:tcPr>
          <w:p>
            <w:pPr>
              <w:spacing w:line="288" w:lineRule="auto"/>
              <w:rPr>
                <w:rFonts w:ascii="Times New Roman" w:hAnsi="Times New Roman" w:eastAsia="仿宋_GB2312"/>
                <w:b/>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课次</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100023</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1</w:t>
            </w:r>
            <w:r>
              <w:rPr>
                <w:rFonts w:ascii="Times New Roman" w:hAnsi="Times New Roman" w:eastAsia="仿宋_GB2312"/>
                <w:color w:val="000000" w:themeColor="text1"/>
                <w:szCs w:val="24"/>
                <w14:textFill>
                  <w14:solidFill>
                    <w14:schemeClr w14:val="tx1"/>
                  </w14:solidFill>
                </w14:textFill>
              </w:rPr>
              <w:t>84843</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continue"/>
            <w:vAlign w:val="center"/>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满意度</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6.60</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7.41</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restar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4</w:t>
            </w:r>
          </w:p>
        </w:tc>
        <w:tc>
          <w:tcPr>
            <w:tcW w:w="3851" w:type="pct"/>
            <w:gridSpan w:val="6"/>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 xml:space="preserve">管理和服务工作满意度—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restar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（1）学生工作</w:t>
            </w: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调研人次</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人次</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275222</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3</w:t>
            </w:r>
            <w:r>
              <w:rPr>
                <w:rFonts w:ascii="Times New Roman" w:hAnsi="Times New Roman" w:eastAsia="仿宋_GB2312"/>
                <w:color w:val="000000" w:themeColor="text1"/>
                <w:szCs w:val="24"/>
                <w14:textFill>
                  <w14:solidFill>
                    <w14:schemeClr w14:val="tx1"/>
                  </w14:solidFill>
                </w14:textFill>
              </w:rPr>
              <w:t>25475</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continue"/>
            <w:vAlign w:val="center"/>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满意度</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5.08</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4.78</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restar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（2）教学管理</w:t>
            </w: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调研人次</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人次</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289274</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3</w:t>
            </w:r>
            <w:r>
              <w:rPr>
                <w:rFonts w:ascii="Times New Roman" w:hAnsi="Times New Roman" w:eastAsia="仿宋_GB2312"/>
                <w:color w:val="000000" w:themeColor="text1"/>
                <w:szCs w:val="24"/>
                <w14:textFill>
                  <w14:solidFill>
                    <w14:schemeClr w14:val="tx1"/>
                  </w14:solidFill>
                </w14:textFill>
              </w:rPr>
              <w:t>29405</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continue"/>
            <w:vAlign w:val="center"/>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满意度</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7.18</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6.94</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restar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（3）后勤服务</w:t>
            </w: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调研人次</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人次</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266820</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6</w:t>
            </w:r>
            <w:r>
              <w:rPr>
                <w:rFonts w:ascii="Times New Roman" w:hAnsi="Times New Roman" w:eastAsia="仿宋_GB2312"/>
                <w:color w:val="000000" w:themeColor="text1"/>
                <w:szCs w:val="24"/>
                <w14:textFill>
                  <w14:solidFill>
                    <w14:schemeClr w14:val="tx1"/>
                  </w14:solidFill>
                </w14:textFill>
              </w:rPr>
              <w:t>51280</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continue"/>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1129" w:type="pct"/>
            <w:vMerge w:val="continue"/>
            <w:vAlign w:val="center"/>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694"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满意度</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4.76</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9</w:t>
            </w:r>
            <w:r>
              <w:rPr>
                <w:rFonts w:ascii="Times New Roman" w:hAnsi="Times New Roman" w:eastAsia="仿宋_GB2312"/>
                <w:color w:val="000000" w:themeColor="text1"/>
                <w:szCs w:val="24"/>
                <w14:textFill>
                  <w14:solidFill>
                    <w14:schemeClr w14:val="tx1"/>
                  </w14:solidFill>
                </w14:textFill>
              </w:rPr>
              <w:t>4.80</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5</w:t>
            </w:r>
          </w:p>
        </w:tc>
        <w:tc>
          <w:tcPr>
            <w:tcW w:w="1823" w:type="pct"/>
            <w:gridSpan w:val="2"/>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学生参与志愿者活动时间</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人日</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10903169</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2</w:t>
            </w:r>
            <w:r>
              <w:rPr>
                <w:rFonts w:ascii="Times New Roman" w:hAnsi="Times New Roman" w:eastAsia="仿宋_GB2312"/>
                <w:color w:val="000000" w:themeColor="text1"/>
                <w:szCs w:val="24"/>
                <w14:textFill>
                  <w14:solidFill>
                    <w14:schemeClr w14:val="tx1"/>
                  </w14:solidFill>
                </w14:textFill>
              </w:rPr>
              <w:t>023594</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7"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jc w:val="center"/>
              <w:rPr>
                <w:rFonts w:ascii="Times New Roman" w:hAnsi="Times New Roman" w:eastAsia="仿宋_GB2312"/>
                <w:color w:val="000000" w:themeColor="text1"/>
                <w:szCs w:val="24"/>
                <w14:textFill>
                  <w14:solidFill>
                    <w14:schemeClr w14:val="tx1"/>
                  </w14:solidFill>
                </w14:textFill>
              </w:rPr>
            </w:pPr>
          </w:p>
        </w:tc>
        <w:tc>
          <w:tcPr>
            <w:tcW w:w="239" w:type="pct"/>
            <w:vMerge w:val="restar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6</w:t>
            </w:r>
          </w:p>
        </w:tc>
        <w:tc>
          <w:tcPr>
            <w:tcW w:w="3851" w:type="pct"/>
            <w:gridSpan w:val="6"/>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 xml:space="preserve">学生社团参与度—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7" w:type="pct"/>
            <w:vMerge w:val="continue"/>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239" w:type="pct"/>
            <w:vMerge w:val="continue"/>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1823" w:type="pct"/>
            <w:gridSpan w:val="2"/>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（1）学生社团数</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个</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4884</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4</w:t>
            </w:r>
            <w:r>
              <w:rPr>
                <w:rFonts w:ascii="Times New Roman" w:hAnsi="Times New Roman" w:eastAsia="仿宋_GB2312"/>
                <w:color w:val="000000" w:themeColor="text1"/>
                <w:szCs w:val="24"/>
                <w14:textFill>
                  <w14:solidFill>
                    <w14:schemeClr w14:val="tx1"/>
                  </w14:solidFill>
                </w14:textFill>
              </w:rPr>
              <w:t>036</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7" w:type="pct"/>
            <w:vMerge w:val="continue"/>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484" w:type="pct"/>
            <w:vMerge w:val="continue"/>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239" w:type="pct"/>
            <w:vMerge w:val="continue"/>
          </w:tcPr>
          <w:p>
            <w:pPr>
              <w:spacing w:line="288" w:lineRule="auto"/>
              <w:rPr>
                <w:rFonts w:ascii="Times New Roman" w:hAnsi="Times New Roman" w:eastAsia="仿宋_GB2312"/>
                <w:color w:val="000000" w:themeColor="text1"/>
                <w:szCs w:val="24"/>
                <w14:textFill>
                  <w14:solidFill>
                    <w14:schemeClr w14:val="tx1"/>
                  </w14:solidFill>
                </w14:textFill>
              </w:rPr>
            </w:pPr>
          </w:p>
        </w:tc>
        <w:tc>
          <w:tcPr>
            <w:tcW w:w="1823" w:type="pct"/>
            <w:gridSpan w:val="2"/>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（2）参与各社团的学生人数</w:t>
            </w:r>
          </w:p>
        </w:tc>
        <w:tc>
          <w:tcPr>
            <w:tcW w:w="429" w:type="pct"/>
            <w:vAlign w:val="center"/>
          </w:tcPr>
          <w:p>
            <w:pPr>
              <w:spacing w:line="288" w:lineRule="auto"/>
              <w:rPr>
                <w:rFonts w:ascii="Times New Roman" w:hAnsi="Times New Roman" w:eastAsia="仿宋_GB2312"/>
                <w:color w:val="000000" w:themeColor="text1"/>
                <w:szCs w:val="24"/>
                <w14:textFill>
                  <w14:solidFill>
                    <w14:schemeClr w14:val="tx1"/>
                  </w14:solidFill>
                </w14:textFill>
              </w:rPr>
            </w:pPr>
            <w:r>
              <w:rPr>
                <w:rFonts w:ascii="Times New Roman" w:hAnsi="Times New Roman" w:eastAsia="仿宋_GB2312"/>
                <w:color w:val="000000" w:themeColor="text1"/>
                <w:szCs w:val="24"/>
                <w14:textFill>
                  <w14:solidFill>
                    <w14:schemeClr w14:val="tx1"/>
                  </w14:solidFill>
                </w14:textFill>
              </w:rPr>
              <w:t>人</w:t>
            </w:r>
          </w:p>
        </w:tc>
        <w:tc>
          <w:tcPr>
            <w:tcW w:w="618" w:type="pct"/>
            <w:vAlign w:val="center"/>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242169</w:t>
            </w:r>
          </w:p>
        </w:tc>
        <w:tc>
          <w:tcPr>
            <w:tcW w:w="561" w:type="pct"/>
          </w:tcPr>
          <w:p>
            <w:pPr>
              <w:spacing w:line="288" w:lineRule="auto"/>
              <w:jc w:val="center"/>
              <w:rPr>
                <w:rFonts w:ascii="Times New Roman" w:hAnsi="Times New Roman" w:eastAsia="仿宋_GB2312"/>
                <w:color w:val="000000" w:themeColor="text1"/>
                <w:szCs w:val="24"/>
                <w14:textFill>
                  <w14:solidFill>
                    <w14:schemeClr w14:val="tx1"/>
                  </w14:solidFill>
                </w14:textFill>
              </w:rPr>
            </w:pPr>
            <w:r>
              <w:rPr>
                <w:rFonts w:hint="eastAsia" w:ascii="Times New Roman" w:hAnsi="Times New Roman" w:eastAsia="仿宋_GB2312"/>
                <w:color w:val="000000" w:themeColor="text1"/>
                <w:szCs w:val="24"/>
                <w14:textFill>
                  <w14:solidFill>
                    <w14:schemeClr w14:val="tx1"/>
                  </w14:solidFill>
                </w14:textFill>
              </w:rPr>
              <w:t>2</w:t>
            </w:r>
            <w:r>
              <w:rPr>
                <w:rFonts w:ascii="Times New Roman" w:hAnsi="Times New Roman" w:eastAsia="仿宋_GB2312"/>
                <w:color w:val="000000" w:themeColor="text1"/>
                <w:szCs w:val="24"/>
                <w14:textFill>
                  <w14:solidFill>
                    <w14:schemeClr w14:val="tx1"/>
                  </w14:solidFill>
                </w14:textFill>
              </w:rPr>
              <w:t>89037</w:t>
            </w:r>
          </w:p>
        </w:tc>
        <w:tc>
          <w:tcPr>
            <w:tcW w:w="420" w:type="pct"/>
          </w:tcPr>
          <w:p>
            <w:pPr>
              <w:spacing w:line="288" w:lineRule="auto"/>
              <w:rPr>
                <w:rFonts w:ascii="Times New Roman" w:hAnsi="Times New Roman" w:eastAsia="仿宋_GB2312"/>
                <w:color w:val="000000" w:themeColor="text1"/>
                <w:szCs w:val="24"/>
                <w14:textFill>
                  <w14:solidFill>
                    <w14:schemeClr w14:val="tx1"/>
                  </w14:solidFill>
                </w14:textFill>
              </w:rPr>
            </w:pPr>
          </w:p>
        </w:tc>
      </w:tr>
    </w:tbl>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24"/>
          <w:szCs w:val="24"/>
          <w14:textFill>
            <w14:solidFill>
              <w14:schemeClr w14:val="tx1"/>
            </w14:solidFill>
          </w14:textFill>
        </w:rPr>
      </w:pPr>
    </w:p>
    <w:p>
      <w:pPr>
        <w:jc w:val="center"/>
        <w:rPr>
          <w:rFonts w:ascii="黑体" w:hAnsi="黑体" w:eastAsia="黑体" w:cs="黑体"/>
          <w:color w:val="000000" w:themeColor="text1"/>
          <w:sz w:val="24"/>
          <w:szCs w:val="24"/>
          <w14:textFill>
            <w14:solidFill>
              <w14:schemeClr w14:val="tx1"/>
            </w14:solidFill>
          </w14:textFill>
        </w:rPr>
      </w:pPr>
    </w:p>
    <w:p>
      <w:pPr>
        <w:jc w:val="center"/>
        <w:rPr>
          <w:rFonts w:ascii="黑体" w:hAnsi="黑体" w:eastAsia="黑体" w:cs="黑体"/>
          <w:color w:val="000000" w:themeColor="text1"/>
          <w:sz w:val="24"/>
          <w:szCs w:val="24"/>
          <w14:textFill>
            <w14:solidFill>
              <w14:schemeClr w14:val="tx1"/>
            </w14:solidFill>
          </w14:textFill>
        </w:rPr>
      </w:pPr>
    </w:p>
    <w:p>
      <w:pPr>
        <w:jc w:val="center"/>
        <w:rPr>
          <w:rFonts w:ascii="黑体" w:hAnsi="黑体" w:eastAsia="黑体" w:cs="黑体"/>
          <w:color w:val="000000" w:themeColor="text1"/>
          <w:sz w:val="24"/>
          <w:szCs w:val="24"/>
          <w14:textFill>
            <w14:solidFill>
              <w14:schemeClr w14:val="tx1"/>
            </w14:solidFill>
          </w14:textFill>
        </w:rPr>
      </w:pPr>
    </w:p>
    <w:p>
      <w:pPr>
        <w:jc w:val="center"/>
        <w:rPr>
          <w:rFonts w:ascii="黑体" w:hAnsi="黑体" w:eastAsia="黑体" w:cs="黑体"/>
          <w:color w:val="000000" w:themeColor="text1"/>
          <w:sz w:val="24"/>
          <w:szCs w:val="24"/>
          <w14:textFill>
            <w14:solidFill>
              <w14:schemeClr w14:val="tx1"/>
            </w14:solidFill>
          </w14:textFill>
        </w:rPr>
      </w:pPr>
    </w:p>
    <w:p>
      <w:pPr>
        <w:jc w:val="center"/>
        <w:rPr>
          <w:rFonts w:ascii="黑体" w:hAnsi="黑体" w:eastAsia="黑体" w:cs="黑体"/>
          <w:color w:val="000000" w:themeColor="text1"/>
          <w:sz w:val="24"/>
          <w:szCs w:val="24"/>
          <w14:textFill>
            <w14:solidFill>
              <w14:schemeClr w14:val="tx1"/>
            </w14:solidFill>
          </w14:textFill>
        </w:rPr>
      </w:pPr>
    </w:p>
    <w:p>
      <w:pPr>
        <w:jc w:val="center"/>
        <w:rPr>
          <w:rFonts w:ascii="黑体" w:hAnsi="黑体" w:eastAsia="黑体" w:cs="黑体"/>
          <w:color w:val="000000" w:themeColor="text1"/>
          <w:sz w:val="24"/>
          <w:szCs w:val="24"/>
          <w14:textFill>
            <w14:solidFill>
              <w14:schemeClr w14:val="tx1"/>
            </w14:solidFill>
          </w14:textFill>
        </w:rPr>
      </w:pPr>
    </w:p>
    <w:p>
      <w:pPr>
        <w:widowControl/>
        <w:spacing w:after="156" w:afterLines="50" w:line="520" w:lineRule="exact"/>
        <w:jc w:val="center"/>
        <w:rPr>
          <w:rStyle w:val="37"/>
          <w:rFonts w:ascii="方正小标宋简体" w:hAnsi="Times New Roman" w:eastAsia="方正小标宋简体"/>
          <w:b w:val="0"/>
          <w:color w:val="000000" w:themeColor="text1"/>
          <w:sz w:val="28"/>
          <w:szCs w:val="28"/>
          <w14:textFill>
            <w14:solidFill>
              <w14:schemeClr w14:val="tx1"/>
            </w14:solidFill>
          </w14:textFill>
        </w:rPr>
      </w:pPr>
      <w:bookmarkStart w:id="675" w:name="_Toc94183520"/>
      <w:bookmarkStart w:id="676" w:name="_Toc94172419"/>
      <w:bookmarkStart w:id="677" w:name="_Toc94172278"/>
      <w:r>
        <w:rPr>
          <w:rStyle w:val="37"/>
          <w:rFonts w:hint="eastAsia" w:ascii="方正小标宋简体" w:hAnsi="Times New Roman" w:eastAsia="方正小标宋简体"/>
          <w:b w:val="0"/>
          <w:color w:val="000000" w:themeColor="text1"/>
          <w:sz w:val="28"/>
          <w:szCs w:val="28"/>
          <w14:textFill>
            <w14:solidFill>
              <w14:schemeClr w14:val="tx1"/>
            </w14:solidFill>
          </w14:textFill>
        </w:rPr>
        <w:t>表3  教学资源表</w:t>
      </w:r>
      <w:bookmarkEnd w:id="675"/>
      <w:bookmarkEnd w:id="676"/>
      <w:bookmarkEnd w:id="677"/>
    </w:p>
    <w:tbl>
      <w:tblPr>
        <w:tblStyle w:val="22"/>
        <w:tblW w:w="47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3806"/>
        <w:gridCol w:w="1258"/>
        <w:gridCol w:w="1363"/>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86" w:type="pct"/>
            <w:noWrap/>
            <w:vAlign w:val="center"/>
          </w:tcPr>
          <w:p>
            <w:pPr>
              <w:widowControl/>
              <w:adjustRightInd w:val="0"/>
              <w:snapToGrid w:val="0"/>
              <w:jc w:val="center"/>
              <w:rPr>
                <w:rFonts w:ascii="Times New Roman" w:hAnsi="Times New Roman" w:eastAsia="仿宋_GB2312"/>
                <w:b/>
                <w:bCs/>
                <w:color w:val="000000" w:themeColor="text1"/>
                <w:kern w:val="0"/>
                <w:szCs w:val="24"/>
                <w14:textFill>
                  <w14:solidFill>
                    <w14:schemeClr w14:val="tx1"/>
                  </w14:solidFill>
                </w14:textFill>
              </w:rPr>
            </w:pPr>
            <w:r>
              <w:rPr>
                <w:rFonts w:ascii="Times New Roman" w:hAnsi="Times New Roman" w:eastAsia="仿宋_GB2312"/>
                <w:b/>
                <w:bCs/>
                <w:color w:val="000000" w:themeColor="text1"/>
                <w:kern w:val="0"/>
                <w:szCs w:val="24"/>
                <w14:textFill>
                  <w14:solidFill>
                    <w14:schemeClr w14:val="tx1"/>
                  </w14:solidFill>
                </w14:textFill>
              </w:rPr>
              <w:t>序号</w:t>
            </w:r>
          </w:p>
        </w:tc>
        <w:tc>
          <w:tcPr>
            <w:tcW w:w="2234" w:type="pct"/>
            <w:noWrap/>
            <w:vAlign w:val="center"/>
          </w:tcPr>
          <w:p>
            <w:pPr>
              <w:widowControl/>
              <w:adjustRightInd w:val="0"/>
              <w:snapToGrid w:val="0"/>
              <w:jc w:val="center"/>
              <w:rPr>
                <w:rFonts w:ascii="Times New Roman" w:hAnsi="Times New Roman" w:eastAsia="仿宋_GB2312"/>
                <w:b/>
                <w:bCs/>
                <w:color w:val="000000" w:themeColor="text1"/>
                <w:kern w:val="0"/>
                <w:szCs w:val="24"/>
                <w14:textFill>
                  <w14:solidFill>
                    <w14:schemeClr w14:val="tx1"/>
                  </w14:solidFill>
                </w14:textFill>
              </w:rPr>
            </w:pPr>
            <w:r>
              <w:rPr>
                <w:rFonts w:ascii="Times New Roman" w:hAnsi="Times New Roman" w:eastAsia="仿宋_GB2312"/>
                <w:b/>
                <w:bCs/>
                <w:color w:val="000000" w:themeColor="text1"/>
                <w:kern w:val="0"/>
                <w:szCs w:val="24"/>
                <w14:textFill>
                  <w14:solidFill>
                    <w14:schemeClr w14:val="tx1"/>
                  </w14:solidFill>
                </w14:textFill>
              </w:rPr>
              <w:t>指标</w:t>
            </w:r>
          </w:p>
        </w:tc>
        <w:tc>
          <w:tcPr>
            <w:tcW w:w="739" w:type="pct"/>
            <w:vAlign w:val="center"/>
          </w:tcPr>
          <w:p>
            <w:pPr>
              <w:widowControl/>
              <w:adjustRightInd w:val="0"/>
              <w:snapToGrid w:val="0"/>
              <w:jc w:val="center"/>
              <w:rPr>
                <w:rFonts w:ascii="Times New Roman" w:hAnsi="Times New Roman" w:eastAsia="仿宋_GB2312"/>
                <w:b/>
                <w:bCs/>
                <w:color w:val="000000" w:themeColor="text1"/>
                <w:kern w:val="0"/>
                <w:szCs w:val="24"/>
                <w14:textFill>
                  <w14:solidFill>
                    <w14:schemeClr w14:val="tx1"/>
                  </w14:solidFill>
                </w14:textFill>
              </w:rPr>
            </w:pPr>
            <w:r>
              <w:rPr>
                <w:rFonts w:ascii="Times New Roman" w:hAnsi="Times New Roman" w:eastAsia="仿宋_GB2312"/>
                <w:b/>
                <w:bCs/>
                <w:color w:val="000000" w:themeColor="text1"/>
                <w:kern w:val="0"/>
                <w:szCs w:val="24"/>
                <w14:textFill>
                  <w14:solidFill>
                    <w14:schemeClr w14:val="tx1"/>
                  </w14:solidFill>
                </w14:textFill>
              </w:rPr>
              <w:t>单位</w:t>
            </w:r>
          </w:p>
        </w:tc>
        <w:tc>
          <w:tcPr>
            <w:tcW w:w="800" w:type="pct"/>
            <w:noWrap/>
            <w:vAlign w:val="center"/>
          </w:tcPr>
          <w:p>
            <w:pPr>
              <w:widowControl/>
              <w:adjustRightInd w:val="0"/>
              <w:snapToGrid w:val="0"/>
              <w:jc w:val="center"/>
              <w:rPr>
                <w:rFonts w:ascii="Times New Roman" w:hAnsi="Times New Roman" w:eastAsia="仿宋_GB2312"/>
                <w:b/>
                <w:bCs/>
                <w:color w:val="000000" w:themeColor="text1"/>
                <w:kern w:val="0"/>
                <w:szCs w:val="24"/>
                <w14:textFill>
                  <w14:solidFill>
                    <w14:schemeClr w14:val="tx1"/>
                  </w14:solidFill>
                </w14:textFill>
              </w:rPr>
            </w:pPr>
            <w:r>
              <w:rPr>
                <w:rFonts w:ascii="Times New Roman" w:hAnsi="Times New Roman" w:eastAsia="仿宋_GB2312"/>
                <w:b/>
                <w:bCs/>
                <w:color w:val="000000" w:themeColor="text1"/>
                <w:kern w:val="0"/>
                <w:szCs w:val="24"/>
                <w14:textFill>
                  <w14:solidFill>
                    <w14:schemeClr w14:val="tx1"/>
                  </w14:solidFill>
                </w14:textFill>
              </w:rPr>
              <w:t>2020年</w:t>
            </w:r>
          </w:p>
        </w:tc>
        <w:tc>
          <w:tcPr>
            <w:tcW w:w="740" w:type="pct"/>
            <w:vAlign w:val="center"/>
          </w:tcPr>
          <w:p>
            <w:pPr>
              <w:widowControl/>
              <w:adjustRightInd w:val="0"/>
              <w:snapToGrid w:val="0"/>
              <w:jc w:val="center"/>
              <w:rPr>
                <w:rFonts w:ascii="Times New Roman" w:hAnsi="Times New Roman" w:eastAsia="仿宋_GB2312"/>
                <w:b/>
                <w:bCs/>
                <w:color w:val="000000" w:themeColor="text1"/>
                <w:kern w:val="0"/>
                <w:szCs w:val="24"/>
                <w14:textFill>
                  <w14:solidFill>
                    <w14:schemeClr w14:val="tx1"/>
                  </w14:solidFill>
                </w14:textFill>
              </w:rPr>
            </w:pPr>
            <w:r>
              <w:rPr>
                <w:rFonts w:ascii="Times New Roman" w:hAnsi="Times New Roman" w:eastAsia="仿宋_GB2312"/>
                <w:b/>
                <w:bCs/>
                <w:color w:val="000000" w:themeColor="text1"/>
                <w:kern w:val="0"/>
                <w:szCs w:val="24"/>
                <w14:textFill>
                  <w14:solidFill>
                    <w14:schemeClr w14:val="tx1"/>
                  </w14:solidFill>
                </w14:textFill>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6" w:type="pct"/>
            <w:noWrap/>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1</w:t>
            </w:r>
          </w:p>
        </w:tc>
        <w:tc>
          <w:tcPr>
            <w:tcW w:w="2234" w:type="pct"/>
            <w:noWrap/>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生师比</w:t>
            </w:r>
          </w:p>
        </w:tc>
        <w:tc>
          <w:tcPr>
            <w:tcW w:w="739" w:type="pct"/>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w:t>
            </w:r>
          </w:p>
        </w:tc>
        <w:tc>
          <w:tcPr>
            <w:tcW w:w="800" w:type="pct"/>
            <w:noWrap/>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15.44</w:t>
            </w:r>
          </w:p>
        </w:tc>
        <w:tc>
          <w:tcPr>
            <w:tcW w:w="74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1</w:t>
            </w:r>
            <w:r>
              <w:rPr>
                <w:rFonts w:ascii="Times New Roman" w:hAnsi="Times New Roman" w:eastAsia="仿宋_GB2312"/>
                <w:color w:val="000000" w:themeColor="text1"/>
                <w:kern w:val="0"/>
                <w:szCs w:val="28"/>
                <w14:textFill>
                  <w14:solidFill>
                    <w14:schemeClr w14:val="tx1"/>
                  </w14:solidFill>
                </w14:textFill>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86" w:type="pct"/>
            <w:noWrap/>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2</w:t>
            </w:r>
          </w:p>
        </w:tc>
        <w:tc>
          <w:tcPr>
            <w:tcW w:w="2234" w:type="pct"/>
            <w:noWrap/>
            <w:vAlign w:val="center"/>
          </w:tcPr>
          <w:p>
            <w:pPr>
              <w:widowControl/>
              <w:adjustRightInd w:val="0"/>
              <w:snapToGrid w:val="0"/>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双师素质专任教师比例</w:t>
            </w:r>
          </w:p>
        </w:tc>
        <w:tc>
          <w:tcPr>
            <w:tcW w:w="739" w:type="pct"/>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w:t>
            </w:r>
          </w:p>
        </w:tc>
        <w:tc>
          <w:tcPr>
            <w:tcW w:w="800" w:type="pct"/>
            <w:noWrap/>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68.67</w:t>
            </w:r>
          </w:p>
        </w:tc>
        <w:tc>
          <w:tcPr>
            <w:tcW w:w="74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6</w:t>
            </w:r>
            <w:r>
              <w:rPr>
                <w:rFonts w:ascii="Times New Roman" w:hAnsi="Times New Roman" w:eastAsia="仿宋_GB2312"/>
                <w:color w:val="000000" w:themeColor="text1"/>
                <w:kern w:val="0"/>
                <w:szCs w:val="28"/>
                <w14:textFill>
                  <w14:solidFill>
                    <w14:schemeClr w14:val="tx1"/>
                  </w14:solidFill>
                </w14:textFill>
              </w:rPr>
              <w:t>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6" w:type="pct"/>
            <w:noWrap/>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3</w:t>
            </w:r>
          </w:p>
        </w:tc>
        <w:tc>
          <w:tcPr>
            <w:tcW w:w="2234" w:type="pct"/>
            <w:noWrap/>
            <w:vAlign w:val="center"/>
          </w:tcPr>
          <w:p>
            <w:pPr>
              <w:widowControl/>
              <w:adjustRightInd w:val="0"/>
              <w:snapToGrid w:val="0"/>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高级专业技术职务专任教师比例</w:t>
            </w:r>
          </w:p>
        </w:tc>
        <w:tc>
          <w:tcPr>
            <w:tcW w:w="739" w:type="pct"/>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w:t>
            </w:r>
          </w:p>
        </w:tc>
        <w:tc>
          <w:tcPr>
            <w:tcW w:w="800" w:type="pct"/>
            <w:noWrap/>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28.61</w:t>
            </w:r>
          </w:p>
        </w:tc>
        <w:tc>
          <w:tcPr>
            <w:tcW w:w="74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3</w:t>
            </w:r>
            <w:r>
              <w:rPr>
                <w:rFonts w:ascii="Times New Roman" w:hAnsi="Times New Roman" w:eastAsia="仿宋_GB2312"/>
                <w:color w:val="000000" w:themeColor="text1"/>
                <w:kern w:val="0"/>
                <w:szCs w:val="28"/>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86" w:type="pct"/>
            <w:vMerge w:val="restart"/>
            <w:noWrap/>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4</w:t>
            </w:r>
          </w:p>
        </w:tc>
        <w:tc>
          <w:tcPr>
            <w:tcW w:w="2234" w:type="pct"/>
            <w:noWrap/>
            <w:vAlign w:val="center"/>
          </w:tcPr>
          <w:p>
            <w:pPr>
              <w:widowControl/>
              <w:adjustRightInd w:val="0"/>
              <w:snapToGrid w:val="0"/>
              <w:rPr>
                <w:rFonts w:ascii="Times New Roman" w:hAnsi="Times New Roman" w:eastAsia="仿宋_GB2312"/>
                <w:strike/>
                <w:color w:val="000000" w:themeColor="text1"/>
                <w:kern w:val="0"/>
                <w:szCs w:val="24"/>
                <w14:textFill>
                  <w14:solidFill>
                    <w14:schemeClr w14:val="tx1"/>
                  </w14:solidFill>
                </w14:textFill>
              </w:rPr>
            </w:pPr>
            <w:r>
              <w:rPr>
                <w:rFonts w:hint="eastAsia" w:ascii="Times New Roman" w:hAnsi="Times New Roman" w:eastAsia="仿宋_GB2312"/>
                <w:color w:val="000000" w:themeColor="text1"/>
                <w:kern w:val="0"/>
                <w:szCs w:val="24"/>
                <w14:textFill>
                  <w14:solidFill>
                    <w14:schemeClr w14:val="tx1"/>
                  </w14:solidFill>
                </w14:textFill>
              </w:rPr>
              <w:t>教学计划内课程总数</w:t>
            </w:r>
          </w:p>
        </w:tc>
        <w:tc>
          <w:tcPr>
            <w:tcW w:w="739" w:type="pct"/>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hint="eastAsia" w:ascii="Times New Roman" w:hAnsi="Times New Roman" w:eastAsia="仿宋_GB2312"/>
                <w:color w:val="000000" w:themeColor="text1"/>
                <w:kern w:val="0"/>
                <w:szCs w:val="24"/>
                <w14:textFill>
                  <w14:solidFill>
                    <w14:schemeClr w14:val="tx1"/>
                  </w14:solidFill>
                </w14:textFill>
              </w:rPr>
              <w:t>门</w:t>
            </w:r>
          </w:p>
        </w:tc>
        <w:tc>
          <w:tcPr>
            <w:tcW w:w="800" w:type="pct"/>
            <w:noWrap/>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69372</w:t>
            </w:r>
          </w:p>
        </w:tc>
        <w:tc>
          <w:tcPr>
            <w:tcW w:w="74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7</w:t>
            </w:r>
            <w:r>
              <w:rPr>
                <w:rFonts w:ascii="Times New Roman" w:hAnsi="Times New Roman" w:eastAsia="仿宋_GB2312"/>
                <w:color w:val="000000" w:themeColor="text1"/>
                <w:kern w:val="0"/>
                <w:szCs w:val="28"/>
                <w14:textFill>
                  <w14:solidFill>
                    <w14:schemeClr w14:val="tx1"/>
                  </w14:solidFill>
                </w14:textFill>
              </w:rPr>
              <w:t>6908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86" w:type="pct"/>
            <w:vMerge w:val="continue"/>
            <w:noWrap/>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p>
        </w:tc>
        <w:tc>
          <w:tcPr>
            <w:tcW w:w="2234" w:type="pct"/>
            <w:noWrap/>
            <w:vAlign w:val="center"/>
          </w:tcPr>
          <w:p>
            <w:pPr>
              <w:widowControl/>
              <w:adjustRightInd w:val="0"/>
              <w:snapToGrid w:val="0"/>
              <w:ind w:firstLine="420" w:firstLineChars="200"/>
              <w:rPr>
                <w:rFonts w:ascii="Times New Roman" w:hAnsi="Times New Roman" w:eastAsia="仿宋_GB2312"/>
                <w:strike/>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其中：</w:t>
            </w:r>
            <w:r>
              <w:rPr>
                <w:rFonts w:hint="eastAsia" w:ascii="Times New Roman" w:hAnsi="Times New Roman" w:eastAsia="仿宋_GB2312"/>
                <w:color w:val="000000" w:themeColor="text1"/>
                <w:kern w:val="0"/>
                <w:szCs w:val="24"/>
                <w14:textFill>
                  <w14:solidFill>
                    <w14:schemeClr w14:val="tx1"/>
                  </w14:solidFill>
                </w14:textFill>
              </w:rPr>
              <w:t>线上开设课程数</w:t>
            </w:r>
          </w:p>
        </w:tc>
        <w:tc>
          <w:tcPr>
            <w:tcW w:w="739" w:type="pct"/>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hint="eastAsia" w:ascii="Times New Roman" w:hAnsi="Times New Roman" w:eastAsia="仿宋_GB2312"/>
                <w:color w:val="000000" w:themeColor="text1"/>
                <w:kern w:val="0"/>
                <w:szCs w:val="24"/>
                <w14:textFill>
                  <w14:solidFill>
                    <w14:schemeClr w14:val="tx1"/>
                  </w14:solidFill>
                </w14:textFill>
              </w:rPr>
              <w:t>门</w:t>
            </w:r>
          </w:p>
        </w:tc>
        <w:tc>
          <w:tcPr>
            <w:tcW w:w="800" w:type="pct"/>
            <w:noWrap/>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57690</w:t>
            </w:r>
          </w:p>
        </w:tc>
        <w:tc>
          <w:tcPr>
            <w:tcW w:w="74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35273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6" w:type="pct"/>
            <w:vMerge w:val="continue"/>
            <w:noWrap/>
            <w:vAlign w:val="center"/>
          </w:tcPr>
          <w:p>
            <w:pPr>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p>
        </w:tc>
        <w:tc>
          <w:tcPr>
            <w:tcW w:w="2234" w:type="pct"/>
            <w:noWrap/>
            <w:vAlign w:val="center"/>
          </w:tcPr>
          <w:p>
            <w:pPr>
              <w:widowControl/>
              <w:adjustRightInd w:val="0"/>
              <w:snapToGrid w:val="0"/>
              <w:rPr>
                <w:rFonts w:ascii="Times New Roman" w:hAnsi="Times New Roman" w:eastAsia="仿宋_GB2312"/>
                <w:color w:val="000000" w:themeColor="text1"/>
                <w:kern w:val="0"/>
                <w:szCs w:val="24"/>
                <w14:textFill>
                  <w14:solidFill>
                    <w14:schemeClr w14:val="tx1"/>
                  </w14:solidFill>
                </w14:textFill>
              </w:rPr>
            </w:pPr>
            <w:r>
              <w:rPr>
                <w:rFonts w:hint="eastAsia" w:ascii="Times New Roman" w:hAnsi="Times New Roman" w:eastAsia="仿宋_GB2312"/>
                <w:color w:val="000000" w:themeColor="text1"/>
                <w:kern w:val="0"/>
                <w:szCs w:val="24"/>
                <w14:textFill>
                  <w14:solidFill>
                    <w14:schemeClr w14:val="tx1"/>
                  </w14:solidFill>
                </w14:textFill>
              </w:rPr>
              <w:t>线上课程课均学生数</w:t>
            </w:r>
          </w:p>
        </w:tc>
        <w:tc>
          <w:tcPr>
            <w:tcW w:w="739" w:type="pct"/>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hint="eastAsia" w:ascii="Times New Roman" w:hAnsi="Times New Roman" w:eastAsia="仿宋_GB2312"/>
                <w:color w:val="000000" w:themeColor="text1"/>
                <w:kern w:val="0"/>
                <w:szCs w:val="24"/>
                <w14:textFill>
                  <w14:solidFill>
                    <w14:schemeClr w14:val="tx1"/>
                  </w14:solidFill>
                </w14:textFill>
              </w:rPr>
              <w:t>人</w:t>
            </w:r>
          </w:p>
        </w:tc>
        <w:tc>
          <w:tcPr>
            <w:tcW w:w="80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176</w:t>
            </w:r>
          </w:p>
        </w:tc>
        <w:tc>
          <w:tcPr>
            <w:tcW w:w="74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1</w:t>
            </w:r>
            <w:r>
              <w:rPr>
                <w:rFonts w:ascii="Times New Roman" w:hAnsi="Times New Roman" w:eastAsia="仿宋_GB2312"/>
                <w:color w:val="000000" w:themeColor="text1"/>
                <w:kern w:val="0"/>
                <w:szCs w:val="28"/>
                <w14:textFill>
                  <w14:solidFill>
                    <w14:schemeClr w14:val="tx1"/>
                  </w14:solidFill>
                </w14:textFill>
              </w:rPr>
              <w:t>71.91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6" w:type="pct"/>
            <w:noWrap/>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5</w:t>
            </w:r>
          </w:p>
        </w:tc>
        <w:tc>
          <w:tcPr>
            <w:tcW w:w="2234" w:type="pct"/>
            <w:noWrap/>
            <w:vAlign w:val="center"/>
          </w:tcPr>
          <w:p>
            <w:pPr>
              <w:widowControl/>
              <w:adjustRightInd w:val="0"/>
              <w:snapToGrid w:val="0"/>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校园网主干最大带宽</w:t>
            </w:r>
          </w:p>
        </w:tc>
        <w:tc>
          <w:tcPr>
            <w:tcW w:w="739" w:type="pct"/>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Mbps</w:t>
            </w:r>
          </w:p>
        </w:tc>
        <w:tc>
          <w:tcPr>
            <w:tcW w:w="80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8562.95</w:t>
            </w:r>
          </w:p>
        </w:tc>
        <w:tc>
          <w:tcPr>
            <w:tcW w:w="74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1</w:t>
            </w:r>
            <w:r>
              <w:rPr>
                <w:rFonts w:ascii="Times New Roman" w:hAnsi="Times New Roman" w:eastAsia="仿宋_GB2312"/>
                <w:color w:val="000000" w:themeColor="text1"/>
                <w:kern w:val="0"/>
                <w:szCs w:val="28"/>
                <w14:textFill>
                  <w14:solidFill>
                    <w14:schemeClr w14:val="tx1"/>
                  </w14:solidFill>
                </w14:textFill>
              </w:rPr>
              <w:t>0749.45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6" w:type="pct"/>
            <w:noWrap/>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6</w:t>
            </w:r>
          </w:p>
        </w:tc>
        <w:tc>
          <w:tcPr>
            <w:tcW w:w="2234" w:type="pct"/>
            <w:noWrap/>
            <w:vAlign w:val="center"/>
          </w:tcPr>
          <w:p>
            <w:pPr>
              <w:widowControl/>
              <w:adjustRightInd w:val="0"/>
              <w:snapToGrid w:val="0"/>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校园网出口带宽</w:t>
            </w:r>
          </w:p>
        </w:tc>
        <w:tc>
          <w:tcPr>
            <w:tcW w:w="739" w:type="pct"/>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Mbps</w:t>
            </w:r>
          </w:p>
        </w:tc>
        <w:tc>
          <w:tcPr>
            <w:tcW w:w="80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4431.61</w:t>
            </w:r>
          </w:p>
        </w:tc>
        <w:tc>
          <w:tcPr>
            <w:tcW w:w="74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5</w:t>
            </w:r>
            <w:r>
              <w:rPr>
                <w:rFonts w:ascii="Times New Roman" w:hAnsi="Times New Roman" w:eastAsia="仿宋_GB2312"/>
                <w:color w:val="000000" w:themeColor="text1"/>
                <w:kern w:val="0"/>
                <w:szCs w:val="28"/>
                <w14:textFill>
                  <w14:solidFill>
                    <w14:schemeClr w14:val="tx1"/>
                  </w14:solidFill>
                </w14:textFill>
              </w:rPr>
              <w:t>508.28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6" w:type="pct"/>
            <w:noWrap/>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7</w:t>
            </w:r>
          </w:p>
        </w:tc>
        <w:tc>
          <w:tcPr>
            <w:tcW w:w="2234" w:type="pct"/>
            <w:noWrap/>
            <w:vAlign w:val="center"/>
          </w:tcPr>
          <w:p>
            <w:pPr>
              <w:widowControl/>
              <w:adjustRightInd w:val="0"/>
              <w:snapToGrid w:val="0"/>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生均校内实践教学工位数</w:t>
            </w:r>
          </w:p>
        </w:tc>
        <w:tc>
          <w:tcPr>
            <w:tcW w:w="739" w:type="pct"/>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个/生</w:t>
            </w:r>
          </w:p>
        </w:tc>
        <w:tc>
          <w:tcPr>
            <w:tcW w:w="80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0</w:t>
            </w:r>
            <w:r>
              <w:rPr>
                <w:rFonts w:ascii="Times New Roman" w:hAnsi="Times New Roman" w:eastAsia="仿宋_GB2312"/>
                <w:color w:val="000000" w:themeColor="text1"/>
                <w:kern w:val="0"/>
                <w:szCs w:val="28"/>
                <w14:textFill>
                  <w14:solidFill>
                    <w14:schemeClr w14:val="tx1"/>
                  </w14:solidFill>
                </w14:textFill>
              </w:rPr>
              <w:t>.65</w:t>
            </w:r>
          </w:p>
        </w:tc>
        <w:tc>
          <w:tcPr>
            <w:tcW w:w="74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hint="eastAsia" w:ascii="Times New Roman" w:hAnsi="Times New Roman" w:eastAsia="仿宋_GB2312"/>
                <w:color w:val="000000" w:themeColor="text1"/>
                <w:kern w:val="0"/>
                <w:szCs w:val="28"/>
                <w14:textFill>
                  <w14:solidFill>
                    <w14:schemeClr w14:val="tx1"/>
                  </w14:solidFill>
                </w14:textFill>
              </w:rPr>
              <w:t>0</w:t>
            </w:r>
            <w:r>
              <w:rPr>
                <w:rFonts w:ascii="Times New Roman" w:hAnsi="Times New Roman" w:eastAsia="仿宋_GB2312"/>
                <w:color w:val="000000" w:themeColor="text1"/>
                <w:kern w:val="0"/>
                <w:szCs w:val="28"/>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6" w:type="pct"/>
            <w:noWrap/>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8</w:t>
            </w:r>
          </w:p>
        </w:tc>
        <w:tc>
          <w:tcPr>
            <w:tcW w:w="2234" w:type="pct"/>
            <w:noWrap/>
            <w:vAlign w:val="center"/>
          </w:tcPr>
          <w:p>
            <w:pPr>
              <w:widowControl/>
              <w:adjustRightInd w:val="0"/>
              <w:snapToGrid w:val="0"/>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生均教学科研仪器设备值</w:t>
            </w:r>
          </w:p>
        </w:tc>
        <w:tc>
          <w:tcPr>
            <w:tcW w:w="739" w:type="pct"/>
            <w:vAlign w:val="center"/>
          </w:tcPr>
          <w:p>
            <w:pPr>
              <w:widowControl/>
              <w:adjustRightInd w:val="0"/>
              <w:snapToGrid w:val="0"/>
              <w:jc w:val="center"/>
              <w:rPr>
                <w:rFonts w:ascii="Times New Roman" w:hAnsi="Times New Roman" w:eastAsia="仿宋_GB2312"/>
                <w:color w:val="000000" w:themeColor="text1"/>
                <w:kern w:val="0"/>
                <w:szCs w:val="24"/>
                <w14:textFill>
                  <w14:solidFill>
                    <w14:schemeClr w14:val="tx1"/>
                  </w14:solidFill>
                </w14:textFill>
              </w:rPr>
            </w:pPr>
            <w:r>
              <w:rPr>
                <w:rFonts w:ascii="Times New Roman" w:hAnsi="Times New Roman" w:eastAsia="仿宋_GB2312"/>
                <w:color w:val="000000" w:themeColor="text1"/>
                <w:kern w:val="0"/>
                <w:szCs w:val="24"/>
                <w14:textFill>
                  <w14:solidFill>
                    <w14:schemeClr w14:val="tx1"/>
                  </w14:solidFill>
                </w14:textFill>
              </w:rPr>
              <w:t>元/生</w:t>
            </w:r>
          </w:p>
        </w:tc>
        <w:tc>
          <w:tcPr>
            <w:tcW w:w="800" w:type="pct"/>
            <w:vAlign w:val="center"/>
          </w:tcPr>
          <w:p>
            <w:pPr>
              <w:widowControl/>
              <w:adjustRightInd w:val="0"/>
              <w:snapToGrid w:val="0"/>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11697.68</w:t>
            </w:r>
          </w:p>
        </w:tc>
        <w:tc>
          <w:tcPr>
            <w:tcW w:w="740" w:type="pct"/>
            <w:vAlign w:val="center"/>
          </w:tcPr>
          <w:p>
            <w:pPr>
              <w:widowControl/>
              <w:rPr>
                <w:rFonts w:ascii="Times New Roman" w:hAnsi="Times New Roman" w:eastAsia="仿宋_GB2312"/>
                <w:color w:val="000000" w:themeColor="text1"/>
                <w:kern w:val="0"/>
                <w:szCs w:val="28"/>
                <w14:textFill>
                  <w14:solidFill>
                    <w14:schemeClr w14:val="tx1"/>
                  </w14:solidFill>
                </w14:textFill>
              </w:rPr>
            </w:pPr>
            <w:r>
              <w:rPr>
                <w:rFonts w:ascii="Times New Roman" w:hAnsi="Times New Roman" w:eastAsia="仿宋_GB2312"/>
                <w:color w:val="000000" w:themeColor="text1"/>
                <w:kern w:val="0"/>
                <w:szCs w:val="28"/>
                <w14:textFill>
                  <w14:solidFill>
                    <w14:schemeClr w14:val="tx1"/>
                  </w14:solidFill>
                </w14:textFill>
              </w:rPr>
              <w:t>12217.98</w:t>
            </w:r>
          </w:p>
        </w:tc>
      </w:tr>
    </w:tbl>
    <w:p>
      <w:pPr>
        <w:widowControl/>
        <w:snapToGrid w:val="0"/>
        <w:spacing w:after="156" w:afterLines="50" w:line="400" w:lineRule="exact"/>
        <w:jc w:val="center"/>
        <w:rPr>
          <w:rFonts w:ascii="黑体" w:hAnsi="黑体" w:eastAsia="黑体" w:cs="黑体"/>
          <w:color w:val="000000" w:themeColor="text1"/>
          <w:sz w:val="32"/>
          <w:szCs w:val="32"/>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after="156" w:afterLines="50" w:line="400" w:lineRule="exact"/>
        <w:jc w:val="center"/>
        <w:rPr>
          <w:rFonts w:ascii="Times New Roman" w:hAnsi="Times New Roman" w:eastAsia="黑体"/>
          <w:color w:val="000000" w:themeColor="text1"/>
          <w:sz w:val="24"/>
          <w:szCs w:val="24"/>
          <w14:textFill>
            <w14:solidFill>
              <w14:schemeClr w14:val="tx1"/>
            </w14:solidFill>
          </w14:textFill>
        </w:rPr>
      </w:pPr>
    </w:p>
    <w:p>
      <w:pPr>
        <w:widowControl/>
        <w:spacing w:after="156" w:afterLines="50" w:line="520" w:lineRule="exact"/>
        <w:jc w:val="center"/>
        <w:rPr>
          <w:rStyle w:val="37"/>
          <w:rFonts w:ascii="方正小标宋简体" w:hAnsi="Times New Roman" w:eastAsia="方正小标宋简体"/>
          <w:b w:val="0"/>
          <w:color w:val="000000" w:themeColor="text1"/>
          <w:sz w:val="28"/>
          <w:szCs w:val="28"/>
          <w14:textFill>
            <w14:solidFill>
              <w14:schemeClr w14:val="tx1"/>
            </w14:solidFill>
          </w14:textFill>
        </w:rPr>
      </w:pPr>
      <w:bookmarkStart w:id="678" w:name="_Toc94172279"/>
      <w:bookmarkStart w:id="679" w:name="_Toc94172420"/>
      <w:bookmarkStart w:id="680" w:name="_Toc94183521"/>
      <w:r>
        <w:rPr>
          <w:rStyle w:val="37"/>
          <w:rFonts w:hint="eastAsia" w:ascii="方正小标宋简体" w:hAnsi="Times New Roman" w:eastAsia="方正小标宋简体"/>
          <w:b w:val="0"/>
          <w:color w:val="000000" w:themeColor="text1"/>
          <w:sz w:val="28"/>
          <w:szCs w:val="28"/>
          <w14:textFill>
            <w14:solidFill>
              <w14:schemeClr w14:val="tx1"/>
            </w14:solidFill>
          </w14:textFill>
        </w:rPr>
        <w:t>表4  国际影响表</w:t>
      </w:r>
      <w:bookmarkEnd w:id="678"/>
      <w:bookmarkEnd w:id="679"/>
      <w:bookmarkEnd w:id="680"/>
    </w:p>
    <w:tbl>
      <w:tblPr>
        <w:tblStyle w:val="21"/>
        <w:tblW w:w="8841" w:type="dxa"/>
        <w:jc w:val="center"/>
        <w:tblLayout w:type="fixed"/>
        <w:tblCellMar>
          <w:top w:w="0" w:type="dxa"/>
          <w:left w:w="108" w:type="dxa"/>
          <w:bottom w:w="0" w:type="dxa"/>
          <w:right w:w="108" w:type="dxa"/>
        </w:tblCellMar>
      </w:tblPr>
      <w:tblGrid>
        <w:gridCol w:w="788"/>
        <w:gridCol w:w="788"/>
        <w:gridCol w:w="452"/>
        <w:gridCol w:w="2555"/>
        <w:gridCol w:w="850"/>
        <w:gridCol w:w="1140"/>
        <w:gridCol w:w="1276"/>
        <w:gridCol w:w="992"/>
      </w:tblGrid>
      <w:tr>
        <w:tblPrEx>
          <w:tblCellMar>
            <w:top w:w="0" w:type="dxa"/>
            <w:left w:w="108" w:type="dxa"/>
            <w:bottom w:w="0" w:type="dxa"/>
            <w:right w:w="108" w:type="dxa"/>
          </w:tblCellMar>
        </w:tblPrEx>
        <w:trPr>
          <w:trHeight w:val="732"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院校代码</w:t>
            </w:r>
          </w:p>
        </w:tc>
        <w:tc>
          <w:tcPr>
            <w:tcW w:w="788"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院校名称</w:t>
            </w:r>
          </w:p>
        </w:tc>
        <w:tc>
          <w:tcPr>
            <w:tcW w:w="3007" w:type="dxa"/>
            <w:gridSpan w:val="2"/>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指标</w:t>
            </w:r>
          </w:p>
        </w:tc>
        <w:tc>
          <w:tcPr>
            <w:tcW w:w="850"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单位</w:t>
            </w:r>
          </w:p>
        </w:tc>
        <w:tc>
          <w:tcPr>
            <w:tcW w:w="1140"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2020年</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2021年</w:t>
            </w:r>
          </w:p>
        </w:tc>
        <w:tc>
          <w:tcPr>
            <w:tcW w:w="992"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备注</w:t>
            </w:r>
          </w:p>
        </w:tc>
      </w:tr>
      <w:tr>
        <w:tblPrEx>
          <w:tblCellMar>
            <w:top w:w="0" w:type="dxa"/>
            <w:left w:w="108" w:type="dxa"/>
            <w:bottom w:w="0" w:type="dxa"/>
            <w:right w:w="108" w:type="dxa"/>
          </w:tblCellMar>
        </w:tblPrEx>
        <w:trPr>
          <w:trHeight w:val="456" w:hRule="atLeast"/>
          <w:jc w:val="center"/>
        </w:trPr>
        <w:tc>
          <w:tcPr>
            <w:tcW w:w="788" w:type="dxa"/>
            <w:vMerge w:val="restar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p>
        </w:tc>
        <w:tc>
          <w:tcPr>
            <w:tcW w:w="788" w:type="dxa"/>
            <w:vMerge w:val="restar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p>
        </w:tc>
        <w:tc>
          <w:tcPr>
            <w:tcW w:w="452"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1</w:t>
            </w:r>
          </w:p>
        </w:tc>
        <w:tc>
          <w:tcPr>
            <w:tcW w:w="255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全日制国（境）外留学生人数（一年以上）</w:t>
            </w:r>
          </w:p>
        </w:tc>
        <w:tc>
          <w:tcPr>
            <w:tcW w:w="850"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114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p>
        </w:tc>
        <w:tc>
          <w:tcPr>
            <w:tcW w:w="1276" w:type="dxa"/>
            <w:tcBorders>
              <w:top w:val="nil"/>
              <w:left w:val="single" w:color="auto" w:sz="4" w:space="0"/>
              <w:bottom w:val="single" w:color="auto" w:sz="4" w:space="0"/>
              <w:right w:val="single" w:color="auto" w:sz="4" w:space="0"/>
            </w:tcBorders>
            <w:noWrap/>
            <w:vAlign w:val="center"/>
          </w:tcPr>
          <w:p>
            <w:pPr>
              <w:widowControl/>
              <w:spacing w:line="30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7</w:t>
            </w:r>
            <w:r>
              <w:rPr>
                <w:rFonts w:ascii="Times New Roman" w:hAnsi="Times New Roman" w:eastAsia="仿宋_GB2312"/>
                <w:color w:val="000000" w:themeColor="text1"/>
                <w:kern w:val="0"/>
                <w:sz w:val="24"/>
                <w:szCs w:val="28"/>
                <w14:textFill>
                  <w14:solidFill>
                    <w14:schemeClr w14:val="tx1"/>
                  </w14:solidFill>
                </w14:textFill>
              </w:rPr>
              <w:t>96</w:t>
            </w:r>
          </w:p>
        </w:tc>
        <w:tc>
          <w:tcPr>
            <w:tcW w:w="99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452"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2</w:t>
            </w:r>
          </w:p>
        </w:tc>
        <w:tc>
          <w:tcPr>
            <w:tcW w:w="255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非全日制国（境）外人员培训量</w:t>
            </w:r>
          </w:p>
        </w:tc>
        <w:tc>
          <w:tcPr>
            <w:tcW w:w="850"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人日</w:t>
            </w:r>
          </w:p>
        </w:tc>
        <w:tc>
          <w:tcPr>
            <w:tcW w:w="1140" w:type="dxa"/>
            <w:tcBorders>
              <w:top w:val="nil"/>
              <w:left w:val="nil"/>
              <w:bottom w:val="single" w:color="auto" w:sz="4" w:space="0"/>
              <w:right w:val="single" w:color="auto" w:sz="4" w:space="0"/>
            </w:tcBorders>
            <w:vAlign w:val="center"/>
          </w:tcPr>
          <w:p>
            <w:pPr>
              <w:widowControl/>
              <w:spacing w:line="300" w:lineRule="exac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41438</w:t>
            </w:r>
            <w:r>
              <w:rPr>
                <w:rFonts w:ascii="Times New Roman" w:hAnsi="Times New Roman" w:eastAsia="仿宋_GB2312"/>
                <w:color w:val="000000" w:themeColor="text1"/>
                <w:kern w:val="0"/>
                <w:sz w:val="24"/>
                <w:szCs w:val="24"/>
                <w14:textFill>
                  <w14:solidFill>
                    <w14:schemeClr w14:val="tx1"/>
                  </w14:solidFill>
                </w14:textFill>
              </w:rPr>
              <w:t>7</w:t>
            </w:r>
          </w:p>
        </w:tc>
        <w:tc>
          <w:tcPr>
            <w:tcW w:w="1276" w:type="dxa"/>
            <w:tcBorders>
              <w:top w:val="nil"/>
              <w:left w:val="single" w:color="auto" w:sz="4" w:space="0"/>
              <w:bottom w:val="single" w:color="auto" w:sz="4" w:space="0"/>
              <w:right w:val="single" w:color="auto" w:sz="4" w:space="0"/>
            </w:tcBorders>
            <w:noWrap/>
            <w:vAlign w:val="center"/>
          </w:tcPr>
          <w:p>
            <w:pPr>
              <w:widowControl/>
              <w:spacing w:line="30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2</w:t>
            </w:r>
            <w:r>
              <w:rPr>
                <w:rFonts w:ascii="Times New Roman" w:hAnsi="Times New Roman" w:eastAsia="仿宋_GB2312"/>
                <w:color w:val="000000" w:themeColor="text1"/>
                <w:kern w:val="0"/>
                <w:sz w:val="24"/>
                <w:szCs w:val="28"/>
                <w14:textFill>
                  <w14:solidFill>
                    <w14:schemeClr w14:val="tx1"/>
                  </w14:solidFill>
                </w14:textFill>
              </w:rPr>
              <w:t>08322</w:t>
            </w:r>
          </w:p>
        </w:tc>
        <w:tc>
          <w:tcPr>
            <w:tcW w:w="99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452"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3</w:t>
            </w:r>
          </w:p>
        </w:tc>
        <w:tc>
          <w:tcPr>
            <w:tcW w:w="255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在校生服务“走出去”企业国（境）外实习时间</w:t>
            </w:r>
          </w:p>
        </w:tc>
        <w:tc>
          <w:tcPr>
            <w:tcW w:w="850"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人日</w:t>
            </w:r>
          </w:p>
        </w:tc>
        <w:tc>
          <w:tcPr>
            <w:tcW w:w="114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p>
        </w:tc>
        <w:tc>
          <w:tcPr>
            <w:tcW w:w="1276" w:type="dxa"/>
            <w:tcBorders>
              <w:top w:val="nil"/>
              <w:left w:val="single" w:color="auto" w:sz="4" w:space="0"/>
              <w:bottom w:val="single" w:color="auto" w:sz="4" w:space="0"/>
              <w:right w:val="single" w:color="auto" w:sz="4" w:space="0"/>
            </w:tcBorders>
            <w:noWrap/>
            <w:vAlign w:val="center"/>
          </w:tcPr>
          <w:p>
            <w:pPr>
              <w:widowControl/>
              <w:spacing w:line="30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7</w:t>
            </w:r>
            <w:r>
              <w:rPr>
                <w:rFonts w:ascii="Times New Roman" w:hAnsi="Times New Roman" w:eastAsia="仿宋_GB2312"/>
                <w:color w:val="000000" w:themeColor="text1"/>
                <w:kern w:val="0"/>
                <w:sz w:val="24"/>
                <w:szCs w:val="28"/>
                <w14:textFill>
                  <w14:solidFill>
                    <w14:schemeClr w14:val="tx1"/>
                  </w14:solidFill>
                </w14:textFill>
              </w:rPr>
              <w:t>7865</w:t>
            </w:r>
          </w:p>
        </w:tc>
        <w:tc>
          <w:tcPr>
            <w:tcW w:w="99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452"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4</w:t>
            </w:r>
          </w:p>
        </w:tc>
        <w:tc>
          <w:tcPr>
            <w:tcW w:w="255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专任教师赴国（境）外指导和开展培训时间</w:t>
            </w:r>
          </w:p>
        </w:tc>
        <w:tc>
          <w:tcPr>
            <w:tcW w:w="850"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人日</w:t>
            </w:r>
          </w:p>
        </w:tc>
        <w:tc>
          <w:tcPr>
            <w:tcW w:w="1140" w:type="dxa"/>
            <w:tcBorders>
              <w:top w:val="nil"/>
              <w:left w:val="nil"/>
              <w:bottom w:val="single" w:color="auto" w:sz="4" w:space="0"/>
              <w:right w:val="single" w:color="auto" w:sz="4" w:space="0"/>
            </w:tcBorders>
            <w:vAlign w:val="center"/>
          </w:tcPr>
          <w:p>
            <w:pPr>
              <w:widowControl/>
              <w:spacing w:line="300" w:lineRule="exac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26901</w:t>
            </w:r>
          </w:p>
        </w:tc>
        <w:tc>
          <w:tcPr>
            <w:tcW w:w="1276" w:type="dxa"/>
            <w:tcBorders>
              <w:top w:val="nil"/>
              <w:left w:val="single" w:color="auto" w:sz="4" w:space="0"/>
              <w:bottom w:val="single" w:color="auto" w:sz="4" w:space="0"/>
              <w:right w:val="single" w:color="auto" w:sz="4" w:space="0"/>
            </w:tcBorders>
            <w:noWrap/>
            <w:vAlign w:val="center"/>
          </w:tcPr>
          <w:p>
            <w:pPr>
              <w:widowControl/>
              <w:spacing w:line="30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1</w:t>
            </w:r>
            <w:r>
              <w:rPr>
                <w:rFonts w:ascii="Times New Roman" w:hAnsi="Times New Roman" w:eastAsia="仿宋_GB2312"/>
                <w:color w:val="000000" w:themeColor="text1"/>
                <w:kern w:val="0"/>
                <w:sz w:val="24"/>
                <w:szCs w:val="28"/>
                <w14:textFill>
                  <w14:solidFill>
                    <w14:schemeClr w14:val="tx1"/>
                  </w14:solidFill>
                </w14:textFill>
              </w:rPr>
              <w:t>5151</w:t>
            </w:r>
          </w:p>
        </w:tc>
        <w:tc>
          <w:tcPr>
            <w:tcW w:w="99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452"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5</w:t>
            </w:r>
          </w:p>
        </w:tc>
        <w:tc>
          <w:tcPr>
            <w:tcW w:w="255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在国（境）外组织担任职务的专任教师人数</w:t>
            </w:r>
          </w:p>
        </w:tc>
        <w:tc>
          <w:tcPr>
            <w:tcW w:w="850"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114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p>
        </w:tc>
        <w:tc>
          <w:tcPr>
            <w:tcW w:w="1276" w:type="dxa"/>
            <w:tcBorders>
              <w:top w:val="nil"/>
              <w:left w:val="single" w:color="auto" w:sz="4" w:space="0"/>
              <w:bottom w:val="single" w:color="auto" w:sz="4" w:space="0"/>
              <w:right w:val="single" w:color="auto" w:sz="4" w:space="0"/>
            </w:tcBorders>
            <w:noWrap/>
            <w:vAlign w:val="center"/>
          </w:tcPr>
          <w:p>
            <w:pPr>
              <w:widowControl/>
              <w:spacing w:line="30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2</w:t>
            </w:r>
            <w:r>
              <w:rPr>
                <w:rFonts w:ascii="Times New Roman" w:hAnsi="Times New Roman" w:eastAsia="仿宋_GB2312"/>
                <w:color w:val="000000" w:themeColor="text1"/>
                <w:kern w:val="0"/>
                <w:sz w:val="24"/>
                <w:szCs w:val="28"/>
                <w14:textFill>
                  <w14:solidFill>
                    <w14:schemeClr w14:val="tx1"/>
                  </w14:solidFill>
                </w14:textFill>
              </w:rPr>
              <w:t>32</w:t>
            </w:r>
          </w:p>
        </w:tc>
        <w:tc>
          <w:tcPr>
            <w:tcW w:w="992" w:type="dxa"/>
            <w:tcBorders>
              <w:top w:val="nil"/>
              <w:left w:val="nil"/>
              <w:bottom w:val="single" w:color="auto" w:sz="4" w:space="0"/>
              <w:right w:val="single" w:color="auto" w:sz="4" w:space="0"/>
            </w:tcBorders>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452" w:type="dxa"/>
            <w:vMerge w:val="restart"/>
            <w:tcBorders>
              <w:top w:val="nil"/>
              <w:left w:val="nil"/>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6</w:t>
            </w:r>
          </w:p>
        </w:tc>
        <w:tc>
          <w:tcPr>
            <w:tcW w:w="255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开发并被国（境）外采用的专业教学标准数</w:t>
            </w:r>
          </w:p>
        </w:tc>
        <w:tc>
          <w:tcPr>
            <w:tcW w:w="850"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个</w:t>
            </w:r>
          </w:p>
        </w:tc>
        <w:tc>
          <w:tcPr>
            <w:tcW w:w="1140" w:type="dxa"/>
            <w:tcBorders>
              <w:top w:val="nil"/>
              <w:left w:val="nil"/>
              <w:bottom w:val="single" w:color="auto" w:sz="4" w:space="0"/>
              <w:right w:val="single" w:color="auto" w:sz="4" w:space="0"/>
            </w:tcBorders>
            <w:vAlign w:val="center"/>
          </w:tcPr>
          <w:p>
            <w:pPr>
              <w:widowControl/>
              <w:spacing w:line="300" w:lineRule="exac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63</w:t>
            </w:r>
          </w:p>
        </w:tc>
        <w:tc>
          <w:tcPr>
            <w:tcW w:w="1276" w:type="dxa"/>
            <w:tcBorders>
              <w:top w:val="nil"/>
              <w:left w:val="single" w:color="auto" w:sz="4" w:space="0"/>
              <w:bottom w:val="single" w:color="auto" w:sz="4" w:space="0"/>
              <w:right w:val="single" w:color="auto" w:sz="4" w:space="0"/>
            </w:tcBorders>
            <w:noWrap/>
            <w:vAlign w:val="center"/>
          </w:tcPr>
          <w:p>
            <w:pPr>
              <w:widowControl/>
              <w:spacing w:line="300" w:lineRule="exac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7</w:t>
            </w:r>
            <w:r>
              <w:rPr>
                <w:rFonts w:ascii="Times New Roman" w:hAnsi="Times New Roman" w:eastAsia="仿宋_GB2312"/>
                <w:color w:val="000000" w:themeColor="text1"/>
                <w:kern w:val="0"/>
                <w:sz w:val="24"/>
                <w:szCs w:val="24"/>
                <w14:textFill>
                  <w14:solidFill>
                    <w14:schemeClr w14:val="tx1"/>
                  </w14:solidFill>
                </w14:textFill>
              </w:rPr>
              <w:t>6</w:t>
            </w:r>
          </w:p>
        </w:tc>
        <w:tc>
          <w:tcPr>
            <w:tcW w:w="992" w:type="dxa"/>
            <w:vMerge w:val="restart"/>
            <w:tcBorders>
              <w:top w:val="nil"/>
              <w:left w:val="nil"/>
              <w:right w:val="single" w:color="auto" w:sz="4" w:space="0"/>
            </w:tcBorders>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452" w:type="dxa"/>
            <w:vMerge w:val="continue"/>
            <w:tcBorders>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p>
        </w:tc>
        <w:tc>
          <w:tcPr>
            <w:tcW w:w="255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开发并被国（境）外采用的课程标准数</w:t>
            </w:r>
          </w:p>
        </w:tc>
        <w:tc>
          <w:tcPr>
            <w:tcW w:w="850"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个</w:t>
            </w:r>
          </w:p>
        </w:tc>
        <w:tc>
          <w:tcPr>
            <w:tcW w:w="1140" w:type="dxa"/>
            <w:tcBorders>
              <w:top w:val="nil"/>
              <w:left w:val="nil"/>
              <w:bottom w:val="single" w:color="auto" w:sz="4" w:space="0"/>
              <w:right w:val="single" w:color="auto" w:sz="4" w:space="0"/>
            </w:tcBorders>
            <w:vAlign w:val="center"/>
          </w:tcPr>
          <w:p>
            <w:pPr>
              <w:widowControl/>
              <w:spacing w:line="300" w:lineRule="exac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335</w:t>
            </w:r>
          </w:p>
        </w:tc>
        <w:tc>
          <w:tcPr>
            <w:tcW w:w="1276" w:type="dxa"/>
            <w:tcBorders>
              <w:top w:val="nil"/>
              <w:left w:val="single" w:color="auto" w:sz="4" w:space="0"/>
              <w:bottom w:val="single" w:color="auto" w:sz="4" w:space="0"/>
              <w:right w:val="single" w:color="auto" w:sz="4" w:space="0"/>
            </w:tcBorders>
            <w:noWrap/>
            <w:vAlign w:val="center"/>
          </w:tcPr>
          <w:p>
            <w:pPr>
              <w:widowControl/>
              <w:spacing w:line="300" w:lineRule="exac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3</w:t>
            </w:r>
            <w:r>
              <w:rPr>
                <w:rFonts w:ascii="Times New Roman" w:hAnsi="Times New Roman" w:eastAsia="仿宋_GB2312"/>
                <w:color w:val="000000" w:themeColor="text1"/>
                <w:kern w:val="0"/>
                <w:sz w:val="24"/>
                <w:szCs w:val="24"/>
                <w14:textFill>
                  <w14:solidFill>
                    <w14:schemeClr w14:val="tx1"/>
                  </w14:solidFill>
                </w14:textFill>
              </w:rPr>
              <w:t>86</w:t>
            </w:r>
          </w:p>
        </w:tc>
        <w:tc>
          <w:tcPr>
            <w:tcW w:w="992" w:type="dxa"/>
            <w:vMerge w:val="continue"/>
            <w:tcBorders>
              <w:left w:val="nil"/>
              <w:bottom w:val="single" w:color="auto" w:sz="4" w:space="0"/>
              <w:right w:val="single" w:color="auto" w:sz="4" w:space="0"/>
            </w:tcBorders>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452" w:type="dxa"/>
            <w:tcBorders>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7</w:t>
            </w:r>
          </w:p>
        </w:tc>
        <w:tc>
          <w:tcPr>
            <w:tcW w:w="255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国（境）外技能大赛获奖数量</w:t>
            </w:r>
          </w:p>
        </w:tc>
        <w:tc>
          <w:tcPr>
            <w:tcW w:w="850"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项</w:t>
            </w:r>
          </w:p>
        </w:tc>
        <w:tc>
          <w:tcPr>
            <w:tcW w:w="1140" w:type="dxa"/>
            <w:tcBorders>
              <w:top w:val="nil"/>
              <w:left w:val="nil"/>
              <w:bottom w:val="single" w:color="auto" w:sz="4" w:space="0"/>
              <w:right w:val="single" w:color="auto" w:sz="4" w:space="0"/>
            </w:tcBorders>
            <w:vAlign w:val="center"/>
          </w:tcPr>
          <w:p>
            <w:pPr>
              <w:widowControl/>
              <w:spacing w:line="300" w:lineRule="exac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329</w:t>
            </w:r>
          </w:p>
        </w:tc>
        <w:tc>
          <w:tcPr>
            <w:tcW w:w="1276" w:type="dxa"/>
            <w:tcBorders>
              <w:top w:val="nil"/>
              <w:left w:val="single" w:color="auto" w:sz="4" w:space="0"/>
              <w:bottom w:val="single" w:color="auto" w:sz="4" w:space="0"/>
              <w:right w:val="single" w:color="auto" w:sz="4" w:space="0"/>
            </w:tcBorders>
            <w:noWrap/>
            <w:vAlign w:val="center"/>
          </w:tcPr>
          <w:p>
            <w:pPr>
              <w:widowControl/>
              <w:spacing w:line="300" w:lineRule="exac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1</w:t>
            </w:r>
            <w:r>
              <w:rPr>
                <w:rFonts w:ascii="Times New Roman" w:hAnsi="Times New Roman" w:eastAsia="仿宋_GB2312"/>
                <w:color w:val="000000" w:themeColor="text1"/>
                <w:kern w:val="0"/>
                <w:sz w:val="24"/>
                <w:szCs w:val="24"/>
                <w14:textFill>
                  <w14:solidFill>
                    <w14:schemeClr w14:val="tx1"/>
                  </w14:solidFill>
                </w14:textFill>
              </w:rPr>
              <w:t>93</w:t>
            </w:r>
          </w:p>
        </w:tc>
        <w:tc>
          <w:tcPr>
            <w:tcW w:w="992" w:type="dxa"/>
            <w:tcBorders>
              <w:left w:val="nil"/>
              <w:bottom w:val="single" w:color="auto" w:sz="4" w:space="0"/>
              <w:right w:val="single" w:color="auto" w:sz="4" w:space="0"/>
            </w:tcBorders>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692"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452" w:type="dxa"/>
            <w:tcBorders>
              <w:left w:val="nil"/>
              <w:bottom w:val="single" w:color="auto" w:sz="4" w:space="0"/>
              <w:right w:val="single" w:color="auto" w:sz="4" w:space="0"/>
            </w:tcBorders>
            <w:noWrap/>
            <w:vAlign w:val="center"/>
          </w:tcPr>
          <w:p>
            <w:pPr>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8</w:t>
            </w:r>
          </w:p>
        </w:tc>
        <w:tc>
          <w:tcPr>
            <w:tcW w:w="2555" w:type="dxa"/>
            <w:tcBorders>
              <w:top w:val="nil"/>
              <w:left w:val="nil"/>
              <w:bottom w:val="single" w:color="auto" w:sz="4" w:space="0"/>
              <w:right w:val="single" w:color="auto" w:sz="4" w:space="0"/>
            </w:tcBorders>
            <w:noWrap/>
            <w:vAlign w:val="center"/>
          </w:tcPr>
          <w:p>
            <w:pP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国际合作科研平台数</w:t>
            </w:r>
          </w:p>
        </w:tc>
        <w:tc>
          <w:tcPr>
            <w:tcW w:w="850" w:type="dxa"/>
            <w:tcBorders>
              <w:top w:val="nil"/>
              <w:left w:val="nil"/>
              <w:bottom w:val="single" w:color="auto" w:sz="4" w:space="0"/>
              <w:right w:val="single" w:color="auto" w:sz="4" w:space="0"/>
            </w:tcBorders>
            <w:noWrap/>
            <w:vAlign w:val="center"/>
          </w:tcPr>
          <w:p>
            <w:pPr>
              <w:jc w:val="center"/>
              <w:rPr>
                <w:rFonts w:ascii="Times New Roman" w:hAnsi="Times New Roman" w:eastAsia="仿宋_GB2312"/>
                <w:color w:val="000000" w:themeColor="text1"/>
                <w:sz w:val="24"/>
                <w:szCs w:val="24"/>
                <w14:textFill>
                  <w14:solidFill>
                    <w14:schemeClr w14:val="tx1"/>
                  </w14:solidFill>
                </w14:textFill>
              </w:rPr>
            </w:pPr>
            <w:r>
              <w:rPr>
                <w:rFonts w:ascii="Times New Roman" w:hAnsi="Times New Roman" w:eastAsia="仿宋_GB2312"/>
                <w:color w:val="000000" w:themeColor="text1"/>
                <w:sz w:val="24"/>
                <w:szCs w:val="24"/>
                <w14:textFill>
                  <w14:solidFill>
                    <w14:schemeClr w14:val="tx1"/>
                  </w14:solidFill>
                </w14:textFill>
              </w:rPr>
              <w:t>个</w:t>
            </w:r>
          </w:p>
        </w:tc>
        <w:tc>
          <w:tcPr>
            <w:tcW w:w="1140" w:type="dxa"/>
            <w:tcBorders>
              <w:top w:val="nil"/>
              <w:left w:val="nil"/>
              <w:bottom w:val="single" w:color="auto" w:sz="4" w:space="0"/>
              <w:right w:val="single" w:color="auto" w:sz="4" w:space="0"/>
            </w:tcBorders>
            <w:vAlign w:val="center"/>
          </w:tcPr>
          <w:p>
            <w:pPr>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p>
        </w:tc>
        <w:tc>
          <w:tcPr>
            <w:tcW w:w="1276"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5</w:t>
            </w:r>
            <w:r>
              <w:rPr>
                <w:rFonts w:ascii="Times New Roman" w:hAnsi="Times New Roman" w:eastAsia="仿宋_GB2312"/>
                <w:color w:val="000000" w:themeColor="text1"/>
                <w:kern w:val="0"/>
                <w:sz w:val="24"/>
                <w:szCs w:val="24"/>
                <w14:textFill>
                  <w14:solidFill>
                    <w14:schemeClr w14:val="tx1"/>
                  </w14:solidFill>
                </w14:textFill>
              </w:rPr>
              <w:t>0</w:t>
            </w:r>
          </w:p>
        </w:tc>
        <w:tc>
          <w:tcPr>
            <w:tcW w:w="992" w:type="dxa"/>
            <w:tcBorders>
              <w:left w:val="nil"/>
              <w:bottom w:val="single" w:color="auto" w:sz="4" w:space="0"/>
              <w:right w:val="single" w:color="auto" w:sz="4" w:space="0"/>
            </w:tcBorders>
            <w:vAlign w:val="center"/>
          </w:tcPr>
          <w:p>
            <w:pPr>
              <w:rPr>
                <w:rFonts w:ascii="Times New Roman" w:hAnsi="Times New Roman" w:eastAsia="仿宋_GB2312"/>
                <w:color w:val="000000" w:themeColor="text1"/>
                <w:sz w:val="24"/>
                <w:szCs w:val="24"/>
                <w14:textFill>
                  <w14:solidFill>
                    <w14:schemeClr w14:val="tx1"/>
                  </w14:solidFill>
                </w14:textFill>
              </w:rPr>
            </w:pPr>
          </w:p>
        </w:tc>
      </w:tr>
    </w:tbl>
    <w:p>
      <w:pPr>
        <w:spacing w:line="14" w:lineRule="exact"/>
        <w:rPr>
          <w:color w:val="000000" w:themeColor="text1"/>
          <w14:textFill>
            <w14:solidFill>
              <w14:schemeClr w14:val="tx1"/>
            </w14:solidFill>
          </w14:textFill>
        </w:rPr>
      </w:pPr>
    </w:p>
    <w:p>
      <w:pPr>
        <w:widowControl/>
        <w:spacing w:before="156" w:beforeLines="50"/>
        <w:ind w:firstLine="640" w:firstLineChars="200"/>
        <w:rPr>
          <w:rFonts w:ascii="黑体" w:hAnsi="黑体" w:eastAsia="黑体" w:cs="黑体"/>
          <w:color w:val="000000" w:themeColor="text1"/>
          <w:sz w:val="32"/>
          <w:szCs w:val="32"/>
          <w14:textFill>
            <w14:solidFill>
              <w14:schemeClr w14:val="tx1"/>
            </w14:solidFill>
          </w14:textFill>
        </w:rPr>
      </w:pPr>
    </w:p>
    <w:p>
      <w:pPr>
        <w:widowControl/>
        <w:snapToGrid w:val="0"/>
        <w:spacing w:before="156" w:beforeLines="50" w:line="312" w:lineRule="auto"/>
        <w:jc w:val="center"/>
        <w:rPr>
          <w:rFonts w:ascii="黑体" w:hAnsi="黑体" w:eastAsia="黑体" w:cs="黑体"/>
          <w:color w:val="000000" w:themeColor="text1"/>
          <w:sz w:val="32"/>
          <w:szCs w:val="32"/>
          <w14:textFill>
            <w14:solidFill>
              <w14:schemeClr w14:val="tx1"/>
            </w14:solidFill>
          </w14:textFill>
        </w:rPr>
      </w:pPr>
    </w:p>
    <w:p>
      <w:pPr>
        <w:widowControl/>
        <w:snapToGrid w:val="0"/>
        <w:spacing w:before="156" w:beforeLines="50" w:line="312" w:lineRule="auto"/>
        <w:jc w:val="center"/>
        <w:rPr>
          <w:rFonts w:ascii="黑体" w:hAnsi="黑体" w:eastAsia="黑体" w:cs="黑体"/>
          <w:color w:val="000000" w:themeColor="text1"/>
          <w:sz w:val="32"/>
          <w:szCs w:val="32"/>
          <w14:textFill>
            <w14:solidFill>
              <w14:schemeClr w14:val="tx1"/>
            </w14:solidFill>
          </w14:textFill>
        </w:rPr>
      </w:pPr>
    </w:p>
    <w:p>
      <w:pPr>
        <w:widowControl/>
        <w:snapToGrid w:val="0"/>
        <w:spacing w:before="156" w:beforeLines="50" w:line="312" w:lineRule="auto"/>
        <w:jc w:val="center"/>
        <w:rPr>
          <w:rFonts w:ascii="黑体" w:hAnsi="黑体" w:eastAsia="黑体" w:cs="黑体"/>
          <w:color w:val="000000" w:themeColor="text1"/>
          <w:sz w:val="32"/>
          <w:szCs w:val="32"/>
          <w14:textFill>
            <w14:solidFill>
              <w14:schemeClr w14:val="tx1"/>
            </w14:solidFill>
          </w14:textFill>
        </w:rPr>
      </w:pPr>
    </w:p>
    <w:p>
      <w:pPr>
        <w:widowControl/>
        <w:snapToGrid w:val="0"/>
        <w:spacing w:before="156" w:beforeLines="50" w:line="312" w:lineRule="auto"/>
        <w:jc w:val="center"/>
        <w:rPr>
          <w:rFonts w:ascii="黑体" w:hAnsi="黑体" w:eastAsia="黑体" w:cs="黑体"/>
          <w:color w:val="000000" w:themeColor="text1"/>
          <w:sz w:val="32"/>
          <w:szCs w:val="32"/>
          <w14:textFill>
            <w14:solidFill>
              <w14:schemeClr w14:val="tx1"/>
            </w14:solidFill>
          </w14:textFill>
        </w:rPr>
      </w:pPr>
    </w:p>
    <w:p>
      <w:pPr>
        <w:widowControl/>
        <w:snapToGrid w:val="0"/>
        <w:spacing w:before="156" w:beforeLines="50" w:line="312" w:lineRule="auto"/>
        <w:jc w:val="center"/>
        <w:rPr>
          <w:rFonts w:ascii="黑体" w:hAnsi="黑体" w:eastAsia="黑体" w:cs="黑体"/>
          <w:color w:val="000000" w:themeColor="text1"/>
          <w:sz w:val="32"/>
          <w:szCs w:val="32"/>
          <w14:textFill>
            <w14:solidFill>
              <w14:schemeClr w14:val="tx1"/>
            </w14:solidFill>
          </w14:textFill>
        </w:rPr>
      </w:pPr>
    </w:p>
    <w:p>
      <w:pPr>
        <w:widowControl/>
        <w:snapToGrid w:val="0"/>
        <w:spacing w:before="156" w:beforeLines="50" w:line="312" w:lineRule="auto"/>
        <w:jc w:val="center"/>
        <w:rPr>
          <w:rFonts w:ascii="Times New Roman" w:hAnsi="Times New Roman" w:eastAsia="黑体"/>
          <w:color w:val="000000" w:themeColor="text1"/>
          <w:sz w:val="24"/>
          <w:szCs w:val="24"/>
          <w14:textFill>
            <w14:solidFill>
              <w14:schemeClr w14:val="tx1"/>
            </w14:solidFill>
          </w14:textFill>
        </w:rPr>
      </w:pPr>
    </w:p>
    <w:p>
      <w:pPr>
        <w:widowControl/>
        <w:snapToGrid w:val="0"/>
        <w:spacing w:before="156" w:beforeLines="50" w:line="312" w:lineRule="auto"/>
        <w:jc w:val="center"/>
        <w:rPr>
          <w:rFonts w:ascii="Times New Roman" w:hAnsi="Times New Roman" w:eastAsia="黑体"/>
          <w:color w:val="000000" w:themeColor="text1"/>
          <w:sz w:val="24"/>
          <w:szCs w:val="24"/>
          <w14:textFill>
            <w14:solidFill>
              <w14:schemeClr w14:val="tx1"/>
            </w14:solidFill>
          </w14:textFill>
        </w:rPr>
      </w:pPr>
    </w:p>
    <w:p>
      <w:pPr>
        <w:widowControl/>
        <w:spacing w:after="156" w:afterLines="50" w:line="520" w:lineRule="exact"/>
        <w:jc w:val="center"/>
        <w:rPr>
          <w:rStyle w:val="37"/>
          <w:rFonts w:ascii="方正小标宋简体" w:hAnsi="Times New Roman" w:eastAsia="方正小标宋简体"/>
          <w:b w:val="0"/>
          <w:color w:val="000000" w:themeColor="text1"/>
          <w:sz w:val="28"/>
          <w:szCs w:val="28"/>
          <w14:textFill>
            <w14:solidFill>
              <w14:schemeClr w14:val="tx1"/>
            </w14:solidFill>
          </w14:textFill>
        </w:rPr>
      </w:pPr>
      <w:bookmarkStart w:id="681" w:name="_Toc94172280"/>
      <w:bookmarkStart w:id="682" w:name="_Toc94172421"/>
      <w:bookmarkStart w:id="683" w:name="_Toc94183522"/>
      <w:r>
        <w:rPr>
          <w:rStyle w:val="37"/>
          <w:rFonts w:hint="eastAsia" w:ascii="方正小标宋简体" w:hAnsi="Times New Roman" w:eastAsia="方正小标宋简体"/>
          <w:b w:val="0"/>
          <w:color w:val="000000" w:themeColor="text1"/>
          <w:sz w:val="28"/>
          <w:szCs w:val="28"/>
          <w14:textFill>
            <w14:solidFill>
              <w14:schemeClr w14:val="tx1"/>
            </w14:solidFill>
          </w14:textFill>
        </w:rPr>
        <w:t>表5  服务贡献表</w:t>
      </w:r>
      <w:bookmarkEnd w:id="681"/>
      <w:bookmarkEnd w:id="682"/>
      <w:bookmarkEnd w:id="683"/>
    </w:p>
    <w:tbl>
      <w:tblPr>
        <w:tblStyle w:val="21"/>
        <w:tblW w:w="5074" w:type="pct"/>
        <w:jc w:val="center"/>
        <w:tblLayout w:type="fixed"/>
        <w:tblCellMar>
          <w:top w:w="0" w:type="dxa"/>
          <w:left w:w="108" w:type="dxa"/>
          <w:bottom w:w="0" w:type="dxa"/>
          <w:right w:w="108" w:type="dxa"/>
        </w:tblCellMar>
      </w:tblPr>
      <w:tblGrid>
        <w:gridCol w:w="795"/>
        <w:gridCol w:w="741"/>
        <w:gridCol w:w="504"/>
        <w:gridCol w:w="2447"/>
        <w:gridCol w:w="849"/>
        <w:gridCol w:w="1298"/>
        <w:gridCol w:w="1438"/>
        <w:gridCol w:w="1122"/>
      </w:tblGrid>
      <w:tr>
        <w:tblPrEx>
          <w:tblCellMar>
            <w:top w:w="0" w:type="dxa"/>
            <w:left w:w="108" w:type="dxa"/>
            <w:bottom w:w="0" w:type="dxa"/>
            <w:right w:w="108" w:type="dxa"/>
          </w:tblCellMar>
        </w:tblPrEx>
        <w:trPr>
          <w:trHeight w:val="734" w:hRule="atLeast"/>
          <w:jc w:val="center"/>
        </w:trPr>
        <w:tc>
          <w:tcPr>
            <w:tcW w:w="43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院校代码</w:t>
            </w:r>
          </w:p>
        </w:tc>
        <w:tc>
          <w:tcPr>
            <w:tcW w:w="403"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院校名称</w:t>
            </w:r>
          </w:p>
        </w:tc>
        <w:tc>
          <w:tcPr>
            <w:tcW w:w="1605"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指标</w:t>
            </w:r>
          </w:p>
        </w:tc>
        <w:tc>
          <w:tcPr>
            <w:tcW w:w="462"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单位</w:t>
            </w:r>
          </w:p>
        </w:tc>
        <w:tc>
          <w:tcPr>
            <w:tcW w:w="706"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2020年</w:t>
            </w:r>
          </w:p>
        </w:tc>
        <w:tc>
          <w:tcPr>
            <w:tcW w:w="782"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2021年</w:t>
            </w:r>
          </w:p>
        </w:tc>
        <w:tc>
          <w:tcPr>
            <w:tcW w:w="610"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备注</w:t>
            </w:r>
          </w:p>
        </w:tc>
      </w:tr>
      <w:tr>
        <w:tblPrEx>
          <w:tblCellMar>
            <w:top w:w="0" w:type="dxa"/>
            <w:left w:w="108" w:type="dxa"/>
            <w:bottom w:w="0" w:type="dxa"/>
            <w:right w:w="108" w:type="dxa"/>
          </w:tblCellMar>
        </w:tblPrEx>
        <w:trPr>
          <w:trHeight w:val="421" w:hRule="atLeast"/>
          <w:jc w:val="center"/>
        </w:trPr>
        <w:tc>
          <w:tcPr>
            <w:tcW w:w="432" w:type="pct"/>
            <w:vMerge w:val="restart"/>
            <w:tcBorders>
              <w:top w:val="single" w:color="auto" w:sz="4" w:space="0"/>
              <w:left w:val="single" w:color="auto" w:sz="4" w:space="0"/>
              <w:right w:val="single" w:color="auto" w:sz="4" w:space="0"/>
            </w:tcBorders>
            <w:shd w:val="clear" w:color="000000" w:fill="FFFFFF"/>
            <w:vAlign w:val="bottom"/>
          </w:tcPr>
          <w:p>
            <w:pPr>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restart"/>
            <w:tcBorders>
              <w:top w:val="single" w:color="auto" w:sz="4" w:space="0"/>
              <w:left w:val="single" w:color="auto" w:sz="4" w:space="0"/>
              <w:right w:val="single" w:color="auto" w:sz="4" w:space="0"/>
            </w:tcBorders>
            <w:shd w:val="clear" w:color="000000" w:fill="FFFFFF"/>
            <w:vAlign w:val="bottom"/>
          </w:tcPr>
          <w:p>
            <w:pPr>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restart"/>
            <w:tcBorders>
              <w:top w:val="single" w:color="auto" w:sz="4" w:space="0"/>
              <w:left w:val="single" w:color="auto" w:sz="4" w:space="0"/>
              <w:right w:val="single" w:color="auto" w:sz="4" w:space="0"/>
            </w:tcBorders>
            <w:shd w:val="clear" w:color="000000" w:fill="FFFFFF"/>
            <w:vAlign w:val="center"/>
          </w:tcPr>
          <w:p>
            <w:pPr>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1</w:t>
            </w:r>
          </w:p>
        </w:tc>
        <w:tc>
          <w:tcPr>
            <w:tcW w:w="1331" w:type="pct"/>
            <w:tcBorders>
              <w:top w:val="single" w:color="auto" w:sz="4" w:space="0"/>
              <w:left w:val="nil"/>
              <w:bottom w:val="single" w:color="auto" w:sz="4" w:space="0"/>
              <w:right w:val="single" w:color="auto" w:sz="4" w:space="0"/>
            </w:tcBorders>
            <w:shd w:val="clear" w:color="000000" w:fill="FFFFFF"/>
            <w:noWrap/>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全日制在校生人数</w:t>
            </w:r>
          </w:p>
        </w:tc>
        <w:tc>
          <w:tcPr>
            <w:tcW w:w="462"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06" w:type="pct"/>
            <w:tcBorders>
              <w:top w:val="single" w:color="auto" w:sz="4" w:space="0"/>
              <w:left w:val="nil"/>
              <w:bottom w:val="single" w:color="auto" w:sz="4" w:space="0"/>
              <w:right w:val="single" w:color="auto" w:sz="4" w:space="0"/>
            </w:tcBorders>
            <w:shd w:val="clear" w:color="000000" w:fill="FFFFFF"/>
            <w:noWrap/>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802147</w:t>
            </w:r>
          </w:p>
        </w:tc>
        <w:tc>
          <w:tcPr>
            <w:tcW w:w="782" w:type="pct"/>
            <w:tcBorders>
              <w:top w:val="single" w:color="auto" w:sz="4" w:space="0"/>
              <w:left w:val="nil"/>
              <w:bottom w:val="single" w:color="auto" w:sz="4" w:space="0"/>
              <w:right w:val="single" w:color="auto" w:sz="4" w:space="0"/>
            </w:tcBorders>
            <w:shd w:val="clear" w:color="000000" w:fill="FFFFFF"/>
            <w:noWrap/>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8</w:t>
            </w:r>
            <w:r>
              <w:rPr>
                <w:rFonts w:ascii="Times New Roman" w:hAnsi="Times New Roman" w:eastAsia="仿宋_GB2312"/>
                <w:color w:val="000000" w:themeColor="text1"/>
                <w:kern w:val="0"/>
                <w:sz w:val="24"/>
                <w:szCs w:val="28"/>
                <w14:textFill>
                  <w14:solidFill>
                    <w14:schemeClr w14:val="tx1"/>
                  </w14:solidFill>
                </w14:textFill>
              </w:rPr>
              <w:t>92839</w:t>
            </w:r>
          </w:p>
        </w:tc>
        <w:tc>
          <w:tcPr>
            <w:tcW w:w="610" w:type="pct"/>
            <w:tcBorders>
              <w:top w:val="single" w:color="auto" w:sz="4" w:space="0"/>
              <w:left w:val="nil"/>
              <w:bottom w:val="single" w:color="auto" w:sz="4" w:space="0"/>
              <w:right w:val="single" w:color="auto" w:sz="4" w:space="0"/>
            </w:tcBorders>
            <w:shd w:val="clear" w:color="000000" w:fill="FFFFFF"/>
          </w:tcPr>
          <w:p>
            <w:pPr>
              <w:widowControl/>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shd w:val="clear" w:color="000000" w:fill="FFFFFF"/>
            <w:vAlign w:val="bottom"/>
          </w:tcPr>
          <w:p>
            <w:pPr>
              <w:widowControl/>
              <w:jc w:val="center"/>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shd w:val="clear" w:color="000000" w:fill="FFFFFF"/>
            <w:vAlign w:val="bottom"/>
          </w:tcPr>
          <w:p>
            <w:pPr>
              <w:widowControl/>
              <w:jc w:val="center"/>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continue"/>
            <w:tcBorders>
              <w:left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4"/>
                <w14:textFill>
                  <w14:solidFill>
                    <w14:schemeClr w14:val="tx1"/>
                  </w14:solidFill>
                </w14:textFill>
              </w:rPr>
            </w:pPr>
          </w:p>
        </w:tc>
        <w:tc>
          <w:tcPr>
            <w:tcW w:w="1331" w:type="pct"/>
            <w:tcBorders>
              <w:top w:val="nil"/>
              <w:left w:val="nil"/>
              <w:bottom w:val="single" w:color="auto" w:sz="4" w:space="0"/>
              <w:right w:val="single" w:color="auto" w:sz="4" w:space="0"/>
            </w:tcBorders>
            <w:shd w:val="clear" w:color="000000" w:fill="FFFFFF"/>
            <w:noWrap/>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毕业生人数</w:t>
            </w:r>
          </w:p>
        </w:tc>
        <w:tc>
          <w:tcPr>
            <w:tcW w:w="462"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06" w:type="pct"/>
            <w:tcBorders>
              <w:top w:val="nil"/>
              <w:left w:val="nil"/>
              <w:bottom w:val="single" w:color="auto" w:sz="4" w:space="0"/>
              <w:right w:val="single" w:color="auto" w:sz="4" w:space="0"/>
            </w:tcBorders>
            <w:shd w:val="clear" w:color="000000" w:fill="FFFFFF"/>
            <w:noWrap/>
            <w:vAlign w:val="center"/>
          </w:tcPr>
          <w:p>
            <w:pPr>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255172</w:t>
            </w:r>
          </w:p>
        </w:tc>
        <w:tc>
          <w:tcPr>
            <w:tcW w:w="782" w:type="pct"/>
            <w:tcBorders>
              <w:top w:val="nil"/>
              <w:left w:val="nil"/>
              <w:bottom w:val="single" w:color="auto" w:sz="4" w:space="0"/>
              <w:right w:val="single" w:color="auto" w:sz="4" w:space="0"/>
            </w:tcBorders>
            <w:shd w:val="clear" w:color="000000" w:fill="FFFFFF"/>
            <w:noWrap/>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2</w:t>
            </w:r>
            <w:r>
              <w:rPr>
                <w:rFonts w:ascii="Times New Roman" w:hAnsi="Times New Roman" w:eastAsia="仿宋_GB2312"/>
                <w:color w:val="000000" w:themeColor="text1"/>
                <w:kern w:val="0"/>
                <w:sz w:val="24"/>
                <w:szCs w:val="28"/>
                <w14:textFill>
                  <w14:solidFill>
                    <w14:schemeClr w14:val="tx1"/>
                  </w14:solidFill>
                </w14:textFill>
              </w:rPr>
              <w:t>60612</w:t>
            </w:r>
          </w:p>
        </w:tc>
        <w:tc>
          <w:tcPr>
            <w:tcW w:w="610" w:type="pct"/>
            <w:tcBorders>
              <w:top w:val="nil"/>
              <w:left w:val="nil"/>
              <w:bottom w:val="single" w:color="auto" w:sz="4" w:space="0"/>
              <w:right w:val="single" w:color="auto" w:sz="4" w:space="0"/>
            </w:tcBorders>
            <w:shd w:val="clear" w:color="000000" w:fill="FFFFFF"/>
          </w:tcPr>
          <w:p>
            <w:pPr>
              <w:widowControl/>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其中：就业人数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06" w:type="pct"/>
            <w:tcBorders>
              <w:top w:val="nil"/>
              <w:left w:val="nil"/>
              <w:bottom w:val="single" w:color="auto" w:sz="4" w:space="0"/>
              <w:right w:val="single" w:color="auto" w:sz="4" w:space="0"/>
            </w:tcBorders>
            <w:shd w:val="clear" w:color="000000" w:fill="FFFFFF"/>
            <w:vAlign w:val="center"/>
          </w:tcPr>
          <w:p>
            <w:pPr>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236519</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2</w:t>
            </w:r>
            <w:r>
              <w:rPr>
                <w:rFonts w:ascii="Times New Roman" w:hAnsi="Times New Roman" w:eastAsia="仿宋_GB2312"/>
                <w:color w:val="000000" w:themeColor="text1"/>
                <w:kern w:val="0"/>
                <w:sz w:val="24"/>
                <w:szCs w:val="28"/>
                <w14:textFill>
                  <w14:solidFill>
                    <w14:schemeClr w14:val="tx1"/>
                  </w14:solidFill>
                </w14:textFill>
              </w:rPr>
              <w:t>48400</w:t>
            </w:r>
          </w:p>
        </w:tc>
        <w:tc>
          <w:tcPr>
            <w:tcW w:w="610" w:type="pct"/>
            <w:tcBorders>
              <w:top w:val="nil"/>
              <w:left w:val="nil"/>
              <w:bottom w:val="single" w:color="auto" w:sz="4" w:space="0"/>
              <w:right w:val="single" w:color="auto" w:sz="4" w:space="0"/>
            </w:tcBorders>
            <w:shd w:val="clear" w:color="000000" w:fill="FFFFFF"/>
          </w:tcPr>
          <w:p>
            <w:pPr>
              <w:widowControl/>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8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毕业生就业去向：</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706"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78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610" w:type="pct"/>
            <w:tcBorders>
              <w:top w:val="nil"/>
              <w:left w:val="nil"/>
              <w:bottom w:val="single" w:color="auto" w:sz="4" w:space="0"/>
              <w:right w:val="single" w:color="auto" w:sz="4" w:space="0"/>
            </w:tcBorders>
            <w:shd w:val="clear" w:color="000000" w:fill="FFFFFF"/>
          </w:tcPr>
          <w:p>
            <w:pPr>
              <w:widowControl/>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714"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A类:留在当地就业人数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06" w:type="pct"/>
            <w:tcBorders>
              <w:top w:val="nil"/>
              <w:left w:val="nil"/>
              <w:bottom w:val="single" w:color="auto" w:sz="4" w:space="0"/>
              <w:right w:val="single" w:color="auto" w:sz="4" w:space="0"/>
            </w:tcBorders>
            <w:shd w:val="clear" w:color="000000" w:fill="FFFFFF"/>
            <w:vAlign w:val="center"/>
          </w:tcPr>
          <w:p>
            <w:pPr>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128743</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1</w:t>
            </w:r>
            <w:r>
              <w:rPr>
                <w:rFonts w:ascii="Times New Roman" w:hAnsi="Times New Roman" w:eastAsia="仿宋_GB2312"/>
                <w:color w:val="000000" w:themeColor="text1"/>
                <w:kern w:val="0"/>
                <w:sz w:val="24"/>
                <w:szCs w:val="28"/>
                <w14:textFill>
                  <w14:solidFill>
                    <w14:schemeClr w14:val="tx1"/>
                  </w14:solidFill>
                </w14:textFill>
              </w:rPr>
              <w:t>55683</w:t>
            </w:r>
          </w:p>
        </w:tc>
        <w:tc>
          <w:tcPr>
            <w:tcW w:w="610" w:type="pct"/>
            <w:tcBorders>
              <w:top w:val="nil"/>
              <w:left w:val="nil"/>
              <w:bottom w:val="single" w:color="auto" w:sz="4" w:space="0"/>
              <w:right w:val="single" w:color="auto" w:sz="4" w:space="0"/>
            </w:tcBorders>
            <w:shd w:val="clear" w:color="000000" w:fill="FFFFFF"/>
          </w:tcPr>
          <w:p>
            <w:pPr>
              <w:widowControl/>
              <w:jc w:val="center"/>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724"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B类:到西部地区和东北地区就业人数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06" w:type="pct"/>
            <w:tcBorders>
              <w:top w:val="nil"/>
              <w:left w:val="nil"/>
              <w:bottom w:val="single" w:color="auto" w:sz="4" w:space="0"/>
              <w:right w:val="single" w:color="auto" w:sz="4" w:space="0"/>
            </w:tcBorders>
            <w:shd w:val="clear" w:color="000000" w:fill="FFFFFF"/>
            <w:vAlign w:val="center"/>
          </w:tcPr>
          <w:p>
            <w:pPr>
              <w:ind w:left="-103" w:leftChars="-49" w:firstLine="100" w:firstLineChars="42"/>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5879</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5</w:t>
            </w:r>
            <w:r>
              <w:rPr>
                <w:rFonts w:ascii="Times New Roman" w:hAnsi="Times New Roman" w:eastAsia="仿宋_GB2312"/>
                <w:color w:val="000000" w:themeColor="text1"/>
                <w:kern w:val="0"/>
                <w:sz w:val="24"/>
                <w:szCs w:val="28"/>
                <w14:textFill>
                  <w14:solidFill>
                    <w14:schemeClr w14:val="tx1"/>
                  </w14:solidFill>
                </w14:textFill>
              </w:rPr>
              <w:t>142</w:t>
            </w:r>
          </w:p>
        </w:tc>
        <w:tc>
          <w:tcPr>
            <w:tcW w:w="610"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674"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C类:到规模以下企业等基层服务人数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06" w:type="pct"/>
            <w:tcBorders>
              <w:top w:val="nil"/>
              <w:left w:val="nil"/>
              <w:bottom w:val="single" w:color="auto" w:sz="4" w:space="0"/>
              <w:right w:val="single" w:color="auto" w:sz="4" w:space="0"/>
            </w:tcBorders>
            <w:shd w:val="clear" w:color="000000" w:fill="FFFFFF"/>
            <w:vAlign w:val="center"/>
          </w:tcPr>
          <w:p>
            <w:pPr>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143433</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1</w:t>
            </w:r>
            <w:r>
              <w:rPr>
                <w:rFonts w:ascii="Times New Roman" w:hAnsi="Times New Roman" w:eastAsia="仿宋_GB2312"/>
                <w:color w:val="000000" w:themeColor="text1"/>
                <w:kern w:val="0"/>
                <w:sz w:val="24"/>
                <w:szCs w:val="28"/>
                <w14:textFill>
                  <w14:solidFill>
                    <w14:schemeClr w14:val="tx1"/>
                  </w14:solidFill>
                </w14:textFill>
              </w:rPr>
              <w:t>48836</w:t>
            </w:r>
          </w:p>
        </w:tc>
        <w:tc>
          <w:tcPr>
            <w:tcW w:w="610" w:type="pct"/>
            <w:vMerge w:val="restart"/>
            <w:tcBorders>
              <w:top w:val="nil"/>
              <w:left w:val="nil"/>
              <w:right w:val="single" w:color="auto" w:sz="4" w:space="0"/>
            </w:tcBorders>
            <w:shd w:val="clear" w:color="000000" w:fill="FFFFFF"/>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684"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D类:到规模以上企业就业人数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06" w:type="pct"/>
            <w:tcBorders>
              <w:top w:val="nil"/>
              <w:left w:val="nil"/>
              <w:bottom w:val="single" w:color="auto" w:sz="4" w:space="0"/>
              <w:right w:val="single" w:color="auto" w:sz="4" w:space="0"/>
            </w:tcBorders>
            <w:shd w:val="clear" w:color="000000" w:fill="FFFFFF"/>
            <w:vAlign w:val="center"/>
          </w:tcPr>
          <w:p>
            <w:pPr>
              <w:ind w:firstLine="240" w:firstLineChars="100"/>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4</w:t>
            </w:r>
            <w:r>
              <w:rPr>
                <w:rFonts w:ascii="Times New Roman" w:hAnsi="Times New Roman" w:eastAsia="仿宋_GB2312"/>
                <w:color w:val="000000" w:themeColor="text1"/>
                <w:kern w:val="0"/>
                <w:sz w:val="24"/>
                <w:szCs w:val="28"/>
                <w14:textFill>
                  <w14:solidFill>
                    <w14:schemeClr w14:val="tx1"/>
                  </w14:solidFill>
                </w14:textFill>
              </w:rPr>
              <w:t>4540</w:t>
            </w:r>
          </w:p>
        </w:tc>
        <w:tc>
          <w:tcPr>
            <w:tcW w:w="610" w:type="pct"/>
            <w:vMerge w:val="continue"/>
            <w:tcBorders>
              <w:top w:val="nil"/>
              <w:left w:val="nil"/>
              <w:right w:val="single" w:color="auto" w:sz="4" w:space="0"/>
            </w:tcBorders>
            <w:shd w:val="clear" w:color="000000" w:fill="FFFFFF"/>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724"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其中:到500强企业就业人数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06"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22386</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19493</w:t>
            </w:r>
          </w:p>
        </w:tc>
        <w:tc>
          <w:tcPr>
            <w:tcW w:w="610" w:type="pct"/>
            <w:vMerge w:val="continue"/>
            <w:tcBorders>
              <w:left w:val="nil"/>
              <w:bottom w:val="single" w:color="auto" w:sz="4" w:space="0"/>
              <w:right w:val="single" w:color="auto" w:sz="4" w:space="0"/>
            </w:tcBorders>
            <w:shd w:val="clear" w:color="000000" w:fill="FFFFFF"/>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6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restart"/>
            <w:tcBorders>
              <w:top w:val="nil"/>
              <w:left w:val="nil"/>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2</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横向技术服务到款额</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万元</w:t>
            </w:r>
          </w:p>
        </w:tc>
        <w:tc>
          <w:tcPr>
            <w:tcW w:w="706"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35794.67</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39450.81</w:t>
            </w:r>
          </w:p>
        </w:tc>
        <w:tc>
          <w:tcPr>
            <w:tcW w:w="610"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continue"/>
            <w:tcBorders>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横向技术服务产生的经济效益</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万元</w:t>
            </w:r>
          </w:p>
        </w:tc>
        <w:tc>
          <w:tcPr>
            <w:tcW w:w="706"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383729.08</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468397.67</w:t>
            </w:r>
          </w:p>
        </w:tc>
        <w:tc>
          <w:tcPr>
            <w:tcW w:w="610" w:type="pct"/>
            <w:tcBorders>
              <w:top w:val="nil"/>
              <w:left w:val="nil"/>
              <w:bottom w:val="single" w:color="auto" w:sz="4" w:space="0"/>
              <w:right w:val="single" w:color="auto" w:sz="4" w:space="0"/>
            </w:tcBorders>
            <w:shd w:val="clear" w:color="000000" w:fill="FFFFFF"/>
          </w:tcPr>
          <w:p>
            <w:pPr>
              <w:widowControl/>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3</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纵向科研经费到款额</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万元</w:t>
            </w:r>
          </w:p>
        </w:tc>
        <w:tc>
          <w:tcPr>
            <w:tcW w:w="706"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13755.82</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1</w:t>
            </w:r>
            <w:r>
              <w:rPr>
                <w:rFonts w:ascii="Times New Roman" w:hAnsi="Times New Roman" w:eastAsia="仿宋_GB2312"/>
                <w:color w:val="000000" w:themeColor="text1"/>
                <w:kern w:val="0"/>
                <w:sz w:val="24"/>
                <w:szCs w:val="28"/>
                <w14:textFill>
                  <w14:solidFill>
                    <w14:schemeClr w14:val="tx1"/>
                  </w14:solidFill>
                </w14:textFill>
              </w:rPr>
              <w:t>2624.16</w:t>
            </w:r>
          </w:p>
        </w:tc>
        <w:tc>
          <w:tcPr>
            <w:tcW w:w="610"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4</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技术交易到款额</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万元</w:t>
            </w:r>
          </w:p>
        </w:tc>
        <w:tc>
          <w:tcPr>
            <w:tcW w:w="706"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10250.11</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12404.57</w:t>
            </w:r>
          </w:p>
        </w:tc>
        <w:tc>
          <w:tcPr>
            <w:tcW w:w="610"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color w:val="000000" w:themeColor="text1"/>
                <w:kern w:val="0"/>
                <w:sz w:val="24"/>
                <w:szCs w:val="24"/>
                <w:highlight w:val="yellow"/>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restart"/>
            <w:tcBorders>
              <w:top w:val="nil"/>
              <w:left w:val="nil"/>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5</w:t>
            </w:r>
          </w:p>
        </w:tc>
        <w:tc>
          <w:tcPr>
            <w:tcW w:w="1331"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专利申请/授权数量</w:t>
            </w:r>
          </w:p>
        </w:tc>
        <w:tc>
          <w:tcPr>
            <w:tcW w:w="462"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项/项</w:t>
            </w:r>
          </w:p>
        </w:tc>
        <w:tc>
          <w:tcPr>
            <w:tcW w:w="706" w:type="pct"/>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p>
        </w:tc>
        <w:tc>
          <w:tcPr>
            <w:tcW w:w="782" w:type="pct"/>
            <w:tcBorders>
              <w:top w:val="nil"/>
              <w:left w:val="nil"/>
              <w:bottom w:val="single" w:color="auto" w:sz="4" w:space="0"/>
              <w:right w:val="single" w:color="auto" w:sz="4" w:space="0"/>
            </w:tcBorders>
            <w:shd w:val="clear" w:color="000000" w:fill="FFFFFF"/>
            <w:vAlign w:val="center"/>
          </w:tcPr>
          <w:p>
            <w:pPr>
              <w:widowControl/>
              <w:adjustRightInd w:val="0"/>
              <w:snapToGrid w:val="0"/>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4</w:t>
            </w:r>
            <w:r>
              <w:rPr>
                <w:rFonts w:ascii="Times New Roman" w:hAnsi="Times New Roman" w:eastAsia="仿宋_GB2312"/>
                <w:color w:val="000000" w:themeColor="text1"/>
                <w:kern w:val="0"/>
                <w:sz w:val="24"/>
                <w:szCs w:val="28"/>
                <w14:textFill>
                  <w14:solidFill>
                    <w14:schemeClr w14:val="tx1"/>
                  </w14:solidFill>
                </w14:textFill>
              </w:rPr>
              <w:t>579</w:t>
            </w:r>
            <w:r>
              <w:rPr>
                <w:rFonts w:hint="eastAsia" w:ascii="Times New Roman" w:hAnsi="Times New Roman" w:eastAsia="仿宋_GB2312"/>
                <w:color w:val="000000" w:themeColor="text1"/>
                <w:kern w:val="0"/>
                <w:sz w:val="24"/>
                <w:szCs w:val="28"/>
                <w14:textFill>
                  <w14:solidFill>
                    <w14:schemeClr w14:val="tx1"/>
                  </w14:solidFill>
                </w14:textFill>
              </w:rPr>
              <w:t>/</w:t>
            </w:r>
            <w:r>
              <w:rPr>
                <w:rFonts w:ascii="Times New Roman" w:hAnsi="Times New Roman" w:eastAsia="仿宋_GB2312"/>
                <w:color w:val="000000" w:themeColor="text1"/>
                <w:kern w:val="0"/>
                <w:sz w:val="24"/>
                <w:szCs w:val="28"/>
                <w14:textFill>
                  <w14:solidFill>
                    <w14:schemeClr w14:val="tx1"/>
                  </w14:solidFill>
                </w14:textFill>
              </w:rPr>
              <w:t>3130</w:t>
            </w:r>
          </w:p>
        </w:tc>
        <w:tc>
          <w:tcPr>
            <w:tcW w:w="610" w:type="pct"/>
            <w:vMerge w:val="restart"/>
            <w:tcBorders>
              <w:top w:val="nil"/>
              <w:left w:val="nil"/>
              <w:right w:val="single" w:color="auto" w:sz="4" w:space="0"/>
            </w:tcBorders>
            <w:shd w:val="clear" w:color="000000" w:fill="FFFFFF"/>
            <w:vAlign w:val="center"/>
          </w:tcPr>
          <w:p>
            <w:pPr>
              <w:adjustRightInd w:val="0"/>
              <w:snapToGrid w:val="0"/>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vMerge w:val="continue"/>
            <w:tcBorders>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p>
        </w:tc>
        <w:tc>
          <w:tcPr>
            <w:tcW w:w="1331"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其中：发明专利申请/授权数量</w:t>
            </w:r>
          </w:p>
        </w:tc>
        <w:tc>
          <w:tcPr>
            <w:tcW w:w="462"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项/项</w:t>
            </w:r>
          </w:p>
        </w:tc>
        <w:tc>
          <w:tcPr>
            <w:tcW w:w="706" w:type="pct"/>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r>
              <w:rPr>
                <w:rFonts w:ascii="Times New Roman" w:hAnsi="Times New Roman" w:eastAsia="仿宋_GB2312"/>
                <w:color w:val="000000" w:themeColor="text1"/>
                <w:kern w:val="0"/>
                <w:sz w:val="24"/>
                <w:szCs w:val="24"/>
                <w14:textFill>
                  <w14:solidFill>
                    <w14:schemeClr w14:val="tx1"/>
                  </w14:solidFill>
                </w14:textFill>
              </w:rPr>
              <w:t>484</w:t>
            </w:r>
          </w:p>
        </w:tc>
        <w:tc>
          <w:tcPr>
            <w:tcW w:w="782" w:type="pct"/>
            <w:tcBorders>
              <w:top w:val="nil"/>
              <w:left w:val="nil"/>
              <w:bottom w:val="single" w:color="auto" w:sz="4" w:space="0"/>
              <w:right w:val="single" w:color="auto" w:sz="4" w:space="0"/>
            </w:tcBorders>
            <w:shd w:val="clear" w:color="000000" w:fill="FFFFFF"/>
            <w:vAlign w:val="center"/>
          </w:tcPr>
          <w:p>
            <w:pPr>
              <w:widowControl/>
              <w:adjustRightInd w:val="0"/>
              <w:snapToGrid w:val="0"/>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2</w:t>
            </w:r>
            <w:r>
              <w:rPr>
                <w:rFonts w:ascii="Times New Roman" w:hAnsi="Times New Roman" w:eastAsia="仿宋_GB2312"/>
                <w:color w:val="000000" w:themeColor="text1"/>
                <w:kern w:val="0"/>
                <w:sz w:val="24"/>
                <w:szCs w:val="28"/>
                <w14:textFill>
                  <w14:solidFill>
                    <w14:schemeClr w14:val="tx1"/>
                  </w14:solidFill>
                </w14:textFill>
              </w:rPr>
              <w:t>022</w:t>
            </w:r>
            <w:r>
              <w:rPr>
                <w:rFonts w:hint="eastAsia" w:ascii="Times New Roman" w:hAnsi="Times New Roman" w:eastAsia="仿宋_GB2312"/>
                <w:color w:val="000000" w:themeColor="text1"/>
                <w:kern w:val="0"/>
                <w:sz w:val="24"/>
                <w:szCs w:val="28"/>
                <w14:textFill>
                  <w14:solidFill>
                    <w14:schemeClr w14:val="tx1"/>
                  </w14:solidFill>
                </w14:textFill>
              </w:rPr>
              <w:t>/</w:t>
            </w:r>
            <w:r>
              <w:rPr>
                <w:rFonts w:ascii="Times New Roman" w:hAnsi="Times New Roman" w:eastAsia="仿宋_GB2312"/>
                <w:color w:val="000000" w:themeColor="text1"/>
                <w:kern w:val="0"/>
                <w:sz w:val="24"/>
                <w:szCs w:val="28"/>
                <w14:textFill>
                  <w14:solidFill>
                    <w14:schemeClr w14:val="tx1"/>
                  </w14:solidFill>
                </w14:textFill>
              </w:rPr>
              <w:t>666</w:t>
            </w:r>
          </w:p>
        </w:tc>
        <w:tc>
          <w:tcPr>
            <w:tcW w:w="610" w:type="pct"/>
            <w:vMerge w:val="continue"/>
            <w:tcBorders>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6</w:t>
            </w:r>
          </w:p>
        </w:tc>
        <w:tc>
          <w:tcPr>
            <w:tcW w:w="1331"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专利成果转化数量</w:t>
            </w:r>
          </w:p>
        </w:tc>
        <w:tc>
          <w:tcPr>
            <w:tcW w:w="462"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项</w:t>
            </w:r>
          </w:p>
        </w:tc>
        <w:tc>
          <w:tcPr>
            <w:tcW w:w="706" w:type="pct"/>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p>
        </w:tc>
        <w:tc>
          <w:tcPr>
            <w:tcW w:w="782" w:type="pct"/>
            <w:tcBorders>
              <w:top w:val="nil"/>
              <w:left w:val="nil"/>
              <w:bottom w:val="single" w:color="auto" w:sz="4" w:space="0"/>
              <w:right w:val="single" w:color="auto" w:sz="4" w:space="0"/>
            </w:tcBorders>
            <w:shd w:val="clear" w:color="000000" w:fill="FFFFFF"/>
            <w:vAlign w:val="center"/>
          </w:tcPr>
          <w:p>
            <w:pPr>
              <w:widowControl/>
              <w:adjustRightInd w:val="0"/>
              <w:snapToGrid w:val="0"/>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2</w:t>
            </w:r>
            <w:r>
              <w:rPr>
                <w:rFonts w:ascii="Times New Roman" w:hAnsi="Times New Roman" w:eastAsia="仿宋_GB2312"/>
                <w:color w:val="000000" w:themeColor="text1"/>
                <w:kern w:val="0"/>
                <w:sz w:val="24"/>
                <w:szCs w:val="28"/>
                <w14:textFill>
                  <w14:solidFill>
                    <w14:schemeClr w14:val="tx1"/>
                  </w14:solidFill>
                </w14:textFill>
              </w:rPr>
              <w:t>57</w:t>
            </w:r>
          </w:p>
        </w:tc>
        <w:tc>
          <w:tcPr>
            <w:tcW w:w="610"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7</w:t>
            </w:r>
          </w:p>
        </w:tc>
        <w:tc>
          <w:tcPr>
            <w:tcW w:w="1331"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专利成果转化到款额</w:t>
            </w:r>
          </w:p>
        </w:tc>
        <w:tc>
          <w:tcPr>
            <w:tcW w:w="462"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万元</w:t>
            </w:r>
          </w:p>
        </w:tc>
        <w:tc>
          <w:tcPr>
            <w:tcW w:w="706"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p>
        </w:tc>
        <w:tc>
          <w:tcPr>
            <w:tcW w:w="782" w:type="pct"/>
            <w:tcBorders>
              <w:top w:val="nil"/>
              <w:left w:val="nil"/>
              <w:bottom w:val="single" w:color="auto" w:sz="4" w:space="0"/>
              <w:right w:val="single" w:color="auto" w:sz="4" w:space="0"/>
            </w:tcBorders>
            <w:shd w:val="clear" w:color="000000" w:fill="FFFFFF"/>
            <w:vAlign w:val="center"/>
          </w:tcPr>
          <w:p>
            <w:pPr>
              <w:widowControl/>
              <w:adjustRightInd w:val="0"/>
              <w:snapToGrid w:val="0"/>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1</w:t>
            </w:r>
            <w:r>
              <w:rPr>
                <w:rFonts w:ascii="Times New Roman" w:hAnsi="Times New Roman" w:eastAsia="仿宋_GB2312"/>
                <w:color w:val="000000" w:themeColor="text1"/>
                <w:kern w:val="0"/>
                <w:sz w:val="24"/>
                <w:szCs w:val="28"/>
                <w14:textFill>
                  <w14:solidFill>
                    <w14:schemeClr w14:val="tx1"/>
                  </w14:solidFill>
                </w14:textFill>
              </w:rPr>
              <w:t>867.67</w:t>
            </w:r>
          </w:p>
        </w:tc>
        <w:tc>
          <w:tcPr>
            <w:tcW w:w="61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highlight w:val="yellow"/>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8</w:t>
            </w:r>
          </w:p>
        </w:tc>
        <w:tc>
          <w:tcPr>
            <w:tcW w:w="1331"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非学历培训项目数</w:t>
            </w:r>
          </w:p>
        </w:tc>
        <w:tc>
          <w:tcPr>
            <w:tcW w:w="462"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项</w:t>
            </w:r>
          </w:p>
        </w:tc>
        <w:tc>
          <w:tcPr>
            <w:tcW w:w="706"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p>
        </w:tc>
        <w:tc>
          <w:tcPr>
            <w:tcW w:w="782" w:type="pct"/>
            <w:tcBorders>
              <w:top w:val="nil"/>
              <w:left w:val="nil"/>
              <w:bottom w:val="single" w:color="auto" w:sz="4" w:space="0"/>
              <w:right w:val="single" w:color="auto" w:sz="4" w:space="0"/>
            </w:tcBorders>
            <w:shd w:val="clear" w:color="000000" w:fill="FFFFFF"/>
            <w:vAlign w:val="center"/>
          </w:tcPr>
          <w:p>
            <w:pPr>
              <w:widowControl/>
              <w:adjustRightInd w:val="0"/>
              <w:snapToGrid w:val="0"/>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4</w:t>
            </w:r>
            <w:r>
              <w:rPr>
                <w:rFonts w:ascii="Times New Roman" w:hAnsi="Times New Roman" w:eastAsia="仿宋_GB2312"/>
                <w:color w:val="000000" w:themeColor="text1"/>
                <w:kern w:val="0"/>
                <w:sz w:val="24"/>
                <w:szCs w:val="28"/>
                <w14:textFill>
                  <w14:solidFill>
                    <w14:schemeClr w14:val="tx1"/>
                  </w14:solidFill>
                </w14:textFill>
              </w:rPr>
              <w:t>790</w:t>
            </w:r>
          </w:p>
        </w:tc>
        <w:tc>
          <w:tcPr>
            <w:tcW w:w="61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highlight w:val="yellow"/>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9</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非学历培训</w:t>
            </w:r>
            <w:r>
              <w:rPr>
                <w:rFonts w:hint="eastAsia" w:ascii="Times New Roman" w:hAnsi="Times New Roman" w:eastAsia="仿宋_GB2312"/>
                <w:color w:val="000000" w:themeColor="text1"/>
                <w:kern w:val="0"/>
                <w:sz w:val="24"/>
                <w:szCs w:val="24"/>
                <w14:textFill>
                  <w14:solidFill>
                    <w14:schemeClr w14:val="tx1"/>
                  </w14:solidFill>
                </w14:textFill>
              </w:rPr>
              <w:t>时间</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学时</w:t>
            </w:r>
          </w:p>
        </w:tc>
        <w:tc>
          <w:tcPr>
            <w:tcW w:w="706"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75931520</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3</w:t>
            </w:r>
            <w:r>
              <w:rPr>
                <w:rFonts w:ascii="Times New Roman" w:hAnsi="Times New Roman" w:eastAsia="仿宋_GB2312"/>
                <w:color w:val="000000" w:themeColor="text1"/>
                <w:kern w:val="0"/>
                <w:sz w:val="24"/>
                <w:szCs w:val="28"/>
                <w14:textFill>
                  <w14:solidFill>
                    <w14:schemeClr w14:val="tx1"/>
                  </w14:solidFill>
                </w14:textFill>
              </w:rPr>
              <w:t>7976982</w:t>
            </w:r>
          </w:p>
        </w:tc>
        <w:tc>
          <w:tcPr>
            <w:tcW w:w="610"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10</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非学历培训</w:t>
            </w:r>
            <w:r>
              <w:rPr>
                <w:rFonts w:hint="eastAsia" w:ascii="Times New Roman" w:hAnsi="Times New Roman" w:eastAsia="仿宋_GB2312"/>
                <w:color w:val="000000" w:themeColor="text1"/>
                <w:kern w:val="0"/>
                <w:sz w:val="24"/>
                <w:szCs w:val="24"/>
                <w14:textFill>
                  <w14:solidFill>
                    <w14:schemeClr w14:val="tx1"/>
                  </w14:solidFill>
                </w14:textFill>
              </w:rPr>
              <w:t>到账经费</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万元</w:t>
            </w:r>
          </w:p>
        </w:tc>
        <w:tc>
          <w:tcPr>
            <w:tcW w:w="706"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98152.13</w:t>
            </w:r>
          </w:p>
        </w:tc>
        <w:tc>
          <w:tcPr>
            <w:tcW w:w="782"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8</w:t>
            </w:r>
            <w:r>
              <w:rPr>
                <w:rFonts w:ascii="Times New Roman" w:hAnsi="Times New Roman" w:eastAsia="仿宋_GB2312"/>
                <w:color w:val="000000" w:themeColor="text1"/>
                <w:kern w:val="0"/>
                <w:sz w:val="24"/>
                <w:szCs w:val="24"/>
                <w14:textFill>
                  <w14:solidFill>
                    <w14:schemeClr w14:val="tx1"/>
                  </w14:solidFill>
                </w14:textFill>
              </w:rPr>
              <w:t>7580.75</w:t>
            </w:r>
          </w:p>
        </w:tc>
        <w:tc>
          <w:tcPr>
            <w:tcW w:w="610"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1</w:t>
            </w:r>
            <w:r>
              <w:rPr>
                <w:rFonts w:hint="eastAsia" w:ascii="Times New Roman" w:hAnsi="Times New Roman" w:eastAsia="仿宋_GB2312"/>
                <w:color w:val="000000" w:themeColor="text1"/>
                <w:kern w:val="0"/>
                <w:sz w:val="24"/>
                <w:szCs w:val="24"/>
                <w14:textFill>
                  <w14:solidFill>
                    <w14:schemeClr w14:val="tx1"/>
                  </w14:solidFill>
                </w14:textFill>
              </w:rPr>
              <w:t>1</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公益性培训服务</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学时</w:t>
            </w:r>
          </w:p>
        </w:tc>
        <w:tc>
          <w:tcPr>
            <w:tcW w:w="706"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w:t>
            </w:r>
          </w:p>
        </w:tc>
        <w:tc>
          <w:tcPr>
            <w:tcW w:w="782" w:type="pct"/>
            <w:tcBorders>
              <w:top w:val="nil"/>
              <w:left w:val="nil"/>
              <w:bottom w:val="single" w:color="auto" w:sz="4" w:space="0"/>
              <w:right w:val="single" w:color="auto" w:sz="4" w:space="0"/>
            </w:tcBorders>
            <w:shd w:val="clear" w:color="000000" w:fill="FFFFFF"/>
            <w:vAlign w:val="center"/>
          </w:tcPr>
          <w:p>
            <w:pPr>
              <w:widowControl/>
              <w:adjustRightInd w:val="0"/>
              <w:snapToGrid w:val="0"/>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4</w:t>
            </w:r>
            <w:r>
              <w:rPr>
                <w:rFonts w:ascii="Times New Roman" w:hAnsi="Times New Roman" w:eastAsia="仿宋_GB2312"/>
                <w:color w:val="000000" w:themeColor="text1"/>
                <w:kern w:val="0"/>
                <w:sz w:val="24"/>
                <w:szCs w:val="24"/>
                <w14:textFill>
                  <w14:solidFill>
                    <w14:schemeClr w14:val="tx1"/>
                  </w14:solidFill>
                </w14:textFill>
              </w:rPr>
              <w:t>374588</w:t>
            </w:r>
          </w:p>
        </w:tc>
        <w:tc>
          <w:tcPr>
            <w:tcW w:w="610"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874" w:hRule="atLeast"/>
          <w:jc w:val="center"/>
        </w:trPr>
        <w:tc>
          <w:tcPr>
            <w:tcW w:w="432"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403"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c>
          <w:tcPr>
            <w:tcW w:w="3555" w:type="pct"/>
            <w:gridSpan w:val="5"/>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主要办学经费来源（单选）：省级财政（）   地市级财政（）  区县级财政（）  行业企业（）     其他（）</w:t>
            </w:r>
          </w:p>
        </w:tc>
        <w:tc>
          <w:tcPr>
            <w:tcW w:w="610"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color w:val="000000" w:themeColor="text1"/>
                <w:kern w:val="0"/>
                <w:sz w:val="24"/>
                <w:szCs w:val="24"/>
                <w14:textFill>
                  <w14:solidFill>
                    <w14:schemeClr w14:val="tx1"/>
                  </w14:solidFill>
                </w14:textFill>
              </w:rPr>
            </w:pPr>
          </w:p>
        </w:tc>
      </w:tr>
    </w:tbl>
    <w:p>
      <w:pPr>
        <w:widowControl/>
        <w:snapToGrid w:val="0"/>
        <w:spacing w:line="312" w:lineRule="auto"/>
        <w:jc w:val="center"/>
        <w:rPr>
          <w:rFonts w:ascii="Times New Roman" w:hAnsi="Times New Roman" w:eastAsia="黑体"/>
          <w:color w:val="000000" w:themeColor="text1"/>
          <w:sz w:val="24"/>
          <w:szCs w:val="24"/>
          <w14:textFill>
            <w14:solidFill>
              <w14:schemeClr w14:val="tx1"/>
            </w14:solidFill>
          </w14:textFill>
        </w:rPr>
      </w:pPr>
    </w:p>
    <w:p>
      <w:pPr>
        <w:widowControl/>
        <w:spacing w:after="156" w:afterLines="50" w:line="520" w:lineRule="exact"/>
        <w:jc w:val="center"/>
        <w:rPr>
          <w:rStyle w:val="37"/>
          <w:rFonts w:ascii="方正小标宋简体" w:hAnsi="Times New Roman" w:eastAsia="方正小标宋简体"/>
          <w:b w:val="0"/>
          <w:color w:val="000000" w:themeColor="text1"/>
          <w:sz w:val="28"/>
          <w:szCs w:val="28"/>
          <w14:textFill>
            <w14:solidFill>
              <w14:schemeClr w14:val="tx1"/>
            </w14:solidFill>
          </w14:textFill>
        </w:rPr>
      </w:pPr>
      <w:bookmarkStart w:id="684" w:name="_Toc94183523"/>
      <w:bookmarkStart w:id="685" w:name="_Toc94172281"/>
      <w:bookmarkStart w:id="686" w:name="_Toc94172422"/>
      <w:r>
        <w:rPr>
          <w:rStyle w:val="37"/>
          <w:rFonts w:hint="eastAsia" w:ascii="方正小标宋简体" w:hAnsi="Times New Roman" w:eastAsia="方正小标宋简体"/>
          <w:b w:val="0"/>
          <w:color w:val="000000" w:themeColor="text1"/>
          <w:sz w:val="28"/>
          <w:szCs w:val="28"/>
          <w14:textFill>
            <w14:solidFill>
              <w14:schemeClr w14:val="tx1"/>
            </w14:solidFill>
          </w14:textFill>
        </w:rPr>
        <w:t>表6  落实政策表</w:t>
      </w:r>
      <w:bookmarkEnd w:id="684"/>
      <w:bookmarkEnd w:id="685"/>
      <w:bookmarkEnd w:id="686"/>
    </w:p>
    <w:tbl>
      <w:tblPr>
        <w:tblStyle w:val="21"/>
        <w:tblW w:w="5063" w:type="pct"/>
        <w:jc w:val="center"/>
        <w:tblLayout w:type="autofit"/>
        <w:tblCellMar>
          <w:top w:w="0" w:type="dxa"/>
          <w:left w:w="57" w:type="dxa"/>
          <w:bottom w:w="0" w:type="dxa"/>
          <w:right w:w="57" w:type="dxa"/>
        </w:tblCellMar>
      </w:tblPr>
      <w:tblGrid>
        <w:gridCol w:w="707"/>
        <w:gridCol w:w="1196"/>
        <w:gridCol w:w="341"/>
        <w:gridCol w:w="3380"/>
        <w:gridCol w:w="708"/>
        <w:gridCol w:w="1426"/>
        <w:gridCol w:w="1313"/>
      </w:tblGrid>
      <w:tr>
        <w:tblPrEx>
          <w:tblCellMar>
            <w:top w:w="0" w:type="dxa"/>
            <w:left w:w="57" w:type="dxa"/>
            <w:bottom w:w="0" w:type="dxa"/>
            <w:right w:w="57" w:type="dxa"/>
          </w:tblCellMar>
        </w:tblPrEx>
        <w:trPr>
          <w:trHeight w:val="480" w:hRule="atLeast"/>
          <w:jc w:val="center"/>
        </w:trPr>
        <w:tc>
          <w:tcPr>
            <w:tcW w:w="390"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院校</w:t>
            </w:r>
          </w:p>
          <w:p>
            <w:pPr>
              <w:widowControl/>
              <w:spacing w:line="36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代码</w:t>
            </w:r>
          </w:p>
        </w:tc>
        <w:tc>
          <w:tcPr>
            <w:tcW w:w="659" w:type="pct"/>
            <w:tcBorders>
              <w:top w:val="single" w:color="auto" w:sz="4" w:space="0"/>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院校名称</w:t>
            </w:r>
          </w:p>
        </w:tc>
        <w:tc>
          <w:tcPr>
            <w:tcW w:w="2051" w:type="pct"/>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指标</w:t>
            </w:r>
          </w:p>
        </w:tc>
        <w:tc>
          <w:tcPr>
            <w:tcW w:w="390" w:type="pct"/>
            <w:tcBorders>
              <w:top w:val="single" w:color="auto" w:sz="4" w:space="0"/>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单位</w:t>
            </w:r>
          </w:p>
        </w:tc>
        <w:tc>
          <w:tcPr>
            <w:tcW w:w="786" w:type="pct"/>
            <w:tcBorders>
              <w:top w:val="single" w:color="auto" w:sz="4" w:space="0"/>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2020年</w:t>
            </w:r>
          </w:p>
        </w:tc>
        <w:tc>
          <w:tcPr>
            <w:tcW w:w="724" w:type="pct"/>
            <w:tcBorders>
              <w:top w:val="single" w:color="auto" w:sz="4" w:space="0"/>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color w:val="000000" w:themeColor="text1"/>
                <w:kern w:val="0"/>
                <w:sz w:val="24"/>
                <w:szCs w:val="24"/>
                <w14:textFill>
                  <w14:solidFill>
                    <w14:schemeClr w14:val="tx1"/>
                  </w14:solidFill>
                </w14:textFill>
              </w:rPr>
            </w:pPr>
            <w:r>
              <w:rPr>
                <w:rFonts w:ascii="Times New Roman" w:hAnsi="Times New Roman" w:eastAsia="仿宋_GB2312"/>
                <w:b/>
                <w:bCs/>
                <w:color w:val="000000" w:themeColor="text1"/>
                <w:kern w:val="0"/>
                <w:sz w:val="24"/>
                <w:szCs w:val="24"/>
                <w14:textFill>
                  <w14:solidFill>
                    <w14:schemeClr w14:val="tx1"/>
                  </w14:solidFill>
                </w14:textFill>
              </w:rPr>
              <w:t>2021年</w:t>
            </w:r>
          </w:p>
        </w:tc>
      </w:tr>
      <w:tr>
        <w:tblPrEx>
          <w:tblCellMar>
            <w:top w:w="0" w:type="dxa"/>
            <w:left w:w="57" w:type="dxa"/>
            <w:bottom w:w="0" w:type="dxa"/>
            <w:right w:w="57" w:type="dxa"/>
          </w:tblCellMar>
        </w:tblPrEx>
        <w:trPr>
          <w:trHeight w:val="390" w:hRule="atLeast"/>
          <w:jc w:val="center"/>
        </w:trPr>
        <w:tc>
          <w:tcPr>
            <w:tcW w:w="390" w:type="pct"/>
            <w:vMerge w:val="restart"/>
            <w:tcBorders>
              <w:top w:val="single" w:color="auto" w:sz="4" w:space="0"/>
              <w:left w:val="single" w:color="auto" w:sz="4" w:space="0"/>
              <w:right w:val="single" w:color="auto" w:sz="4" w:space="0"/>
            </w:tcBorders>
            <w:shd w:val="clear" w:color="000000" w:fill="FFFFFF"/>
            <w:vAlign w:val="bottom"/>
          </w:tcPr>
          <w:p>
            <w:pPr>
              <w:widowControl/>
              <w:spacing w:line="360" w:lineRule="exac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restart"/>
            <w:tcBorders>
              <w:top w:val="single" w:color="auto" w:sz="4" w:space="0"/>
              <w:left w:val="single" w:color="auto" w:sz="4" w:space="0"/>
              <w:right w:val="single" w:color="auto" w:sz="4" w:space="0"/>
            </w:tcBorders>
            <w:shd w:val="clear" w:color="000000" w:fill="FFFFFF"/>
            <w:vAlign w:val="bottom"/>
          </w:tcPr>
          <w:p>
            <w:pPr>
              <w:widowControl/>
              <w:spacing w:line="360" w:lineRule="exac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restart"/>
            <w:tcBorders>
              <w:top w:val="nil"/>
              <w:left w:val="nil"/>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1</w:t>
            </w:r>
          </w:p>
        </w:tc>
        <w:tc>
          <w:tcPr>
            <w:tcW w:w="1863" w:type="pct"/>
            <w:tcBorders>
              <w:top w:val="nil"/>
              <w:left w:val="nil"/>
              <w:bottom w:val="single" w:color="auto" w:sz="4" w:space="0"/>
              <w:right w:val="single" w:color="auto" w:sz="4" w:space="0"/>
            </w:tcBorders>
            <w:shd w:val="clear" w:color="auto" w:fill="auto"/>
            <w:noWrap/>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年生均财政拨款水平</w:t>
            </w:r>
          </w:p>
        </w:tc>
        <w:tc>
          <w:tcPr>
            <w:tcW w:w="390" w:type="pct"/>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元</w:t>
            </w:r>
          </w:p>
        </w:tc>
        <w:tc>
          <w:tcPr>
            <w:tcW w:w="786" w:type="pct"/>
            <w:tcBorders>
              <w:top w:val="nil"/>
              <w:left w:val="nil"/>
              <w:bottom w:val="single" w:color="auto" w:sz="4" w:space="0"/>
              <w:right w:val="single" w:color="auto" w:sz="4" w:space="0"/>
            </w:tcBorders>
            <w:shd w:val="clear" w:color="000000" w:fill="FFFFFF"/>
            <w:noWrap/>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12861.15</w:t>
            </w:r>
          </w:p>
        </w:tc>
        <w:tc>
          <w:tcPr>
            <w:tcW w:w="724" w:type="pct"/>
            <w:tcBorders>
              <w:top w:val="nil"/>
              <w:left w:val="nil"/>
              <w:bottom w:val="single" w:color="auto" w:sz="4" w:space="0"/>
              <w:right w:val="single" w:color="auto" w:sz="4" w:space="0"/>
            </w:tcBorders>
            <w:shd w:val="clear" w:color="000000" w:fill="FFFFFF"/>
            <w:noWrap/>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1</w:t>
            </w:r>
            <w:r>
              <w:rPr>
                <w:rFonts w:ascii="Times New Roman" w:hAnsi="Times New Roman" w:eastAsia="仿宋_GB2312"/>
                <w:color w:val="000000" w:themeColor="text1"/>
                <w:kern w:val="0"/>
                <w:sz w:val="24"/>
                <w:szCs w:val="28"/>
                <w14:textFill>
                  <w14:solidFill>
                    <w14:schemeClr w14:val="tx1"/>
                  </w14:solidFill>
                </w14:textFill>
              </w:rPr>
              <w:t>1564.41</w:t>
            </w:r>
          </w:p>
        </w:tc>
      </w:tr>
      <w:tr>
        <w:trPr>
          <w:trHeight w:val="390"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continue"/>
            <w:tcBorders>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p>
        </w:tc>
        <w:tc>
          <w:tcPr>
            <w:tcW w:w="1863" w:type="pct"/>
            <w:tcBorders>
              <w:top w:val="nil"/>
              <w:left w:val="nil"/>
              <w:bottom w:val="single" w:color="auto" w:sz="4" w:space="0"/>
              <w:right w:val="single" w:color="auto" w:sz="4" w:space="0"/>
            </w:tcBorders>
            <w:shd w:val="clear" w:color="auto" w:fill="auto"/>
            <w:noWrap/>
            <w:vAlign w:val="center"/>
          </w:tcPr>
          <w:p>
            <w:pPr>
              <w:widowControl/>
              <w:spacing w:line="360" w:lineRule="exact"/>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其中：年生均财政专项经费</w:t>
            </w:r>
          </w:p>
        </w:tc>
        <w:tc>
          <w:tcPr>
            <w:tcW w:w="390" w:type="pct"/>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元</w:t>
            </w:r>
          </w:p>
        </w:tc>
        <w:tc>
          <w:tcPr>
            <w:tcW w:w="786" w:type="pct"/>
            <w:tcBorders>
              <w:top w:val="nil"/>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3280.70</w:t>
            </w:r>
          </w:p>
        </w:tc>
        <w:tc>
          <w:tcPr>
            <w:tcW w:w="724" w:type="pct"/>
            <w:tcBorders>
              <w:top w:val="nil"/>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4010.21</w:t>
            </w:r>
          </w:p>
        </w:tc>
      </w:tr>
      <w:tr>
        <w:tblPrEx>
          <w:tblCellMar>
            <w:top w:w="0" w:type="dxa"/>
            <w:left w:w="57" w:type="dxa"/>
            <w:bottom w:w="0" w:type="dxa"/>
            <w:right w:w="57" w:type="dxa"/>
          </w:tblCellMar>
        </w:tblPrEx>
        <w:trPr>
          <w:trHeight w:val="390"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restart"/>
            <w:tcBorders>
              <w:top w:val="nil"/>
              <w:left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2</w:t>
            </w:r>
          </w:p>
        </w:tc>
        <w:tc>
          <w:tcPr>
            <w:tcW w:w="1863" w:type="pct"/>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教职员工额定编制数</w:t>
            </w:r>
          </w:p>
        </w:tc>
        <w:tc>
          <w:tcPr>
            <w:tcW w:w="390" w:type="pct"/>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86" w:type="pct"/>
            <w:tcBorders>
              <w:top w:val="nil"/>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56098</w:t>
            </w:r>
          </w:p>
        </w:tc>
        <w:tc>
          <w:tcPr>
            <w:tcW w:w="724" w:type="pct"/>
            <w:tcBorders>
              <w:top w:val="nil"/>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6</w:t>
            </w:r>
            <w:r>
              <w:rPr>
                <w:rFonts w:ascii="Times New Roman" w:hAnsi="Times New Roman" w:eastAsia="仿宋_GB2312"/>
                <w:color w:val="000000" w:themeColor="text1"/>
                <w:kern w:val="0"/>
                <w:sz w:val="24"/>
                <w:szCs w:val="28"/>
                <w14:textFill>
                  <w14:solidFill>
                    <w14:schemeClr w14:val="tx1"/>
                  </w14:solidFill>
                </w14:textFill>
              </w:rPr>
              <w:t>0137</w:t>
            </w:r>
          </w:p>
        </w:tc>
      </w:tr>
      <w:tr>
        <w:tblPrEx>
          <w:tblCellMar>
            <w:top w:w="0" w:type="dxa"/>
            <w:left w:w="57" w:type="dxa"/>
            <w:bottom w:w="0" w:type="dxa"/>
            <w:right w:w="57" w:type="dxa"/>
          </w:tblCellMar>
        </w:tblPrEx>
        <w:trPr>
          <w:trHeight w:val="390"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63" w:type="pct"/>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在岗教职员工总数</w:t>
            </w:r>
          </w:p>
        </w:tc>
        <w:tc>
          <w:tcPr>
            <w:tcW w:w="390" w:type="pct"/>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86" w:type="pct"/>
            <w:tcBorders>
              <w:top w:val="nil"/>
              <w:left w:val="nil"/>
              <w:bottom w:val="single" w:color="auto" w:sz="4" w:space="0"/>
              <w:right w:val="single" w:color="auto" w:sz="4" w:space="0"/>
            </w:tcBorders>
            <w:shd w:val="clear" w:color="000000" w:fill="FFFFFF"/>
            <w:vAlign w:val="center"/>
          </w:tcPr>
          <w:p>
            <w:pPr>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50838</w:t>
            </w:r>
          </w:p>
        </w:tc>
        <w:tc>
          <w:tcPr>
            <w:tcW w:w="724" w:type="pct"/>
            <w:tcBorders>
              <w:top w:val="nil"/>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5</w:t>
            </w:r>
            <w:r>
              <w:rPr>
                <w:rFonts w:ascii="Times New Roman" w:hAnsi="Times New Roman" w:eastAsia="仿宋_GB2312"/>
                <w:color w:val="000000" w:themeColor="text1"/>
                <w:kern w:val="0"/>
                <w:sz w:val="24"/>
                <w:szCs w:val="28"/>
                <w14:textFill>
                  <w14:solidFill>
                    <w14:schemeClr w14:val="tx1"/>
                  </w14:solidFill>
                </w14:textFill>
              </w:rPr>
              <w:t>5164</w:t>
            </w:r>
          </w:p>
        </w:tc>
      </w:tr>
      <w:tr>
        <w:tblPrEx>
          <w:tblCellMar>
            <w:top w:w="0" w:type="dxa"/>
            <w:left w:w="57" w:type="dxa"/>
            <w:bottom w:w="0" w:type="dxa"/>
            <w:right w:w="57" w:type="dxa"/>
          </w:tblCellMar>
        </w:tblPrEx>
        <w:trPr>
          <w:trHeight w:val="390"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continue"/>
            <w:tcBorders>
              <w:left w:val="single" w:color="auto" w:sz="4" w:space="0"/>
              <w:bottom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63" w:type="pct"/>
            <w:tcBorders>
              <w:top w:val="nil"/>
              <w:left w:val="nil"/>
              <w:bottom w:val="single" w:color="auto" w:sz="4" w:space="0"/>
              <w:right w:val="single" w:color="auto" w:sz="4" w:space="0"/>
            </w:tcBorders>
            <w:shd w:val="clear" w:color="000000" w:fill="FFFFFF"/>
            <w:vAlign w:val="center"/>
          </w:tcPr>
          <w:p>
            <w:pPr>
              <w:widowControl/>
              <w:spacing w:line="360" w:lineRule="exact"/>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其中：专任教师总数</w:t>
            </w:r>
          </w:p>
        </w:tc>
        <w:tc>
          <w:tcPr>
            <w:tcW w:w="390" w:type="pct"/>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人</w:t>
            </w:r>
          </w:p>
        </w:tc>
        <w:tc>
          <w:tcPr>
            <w:tcW w:w="786" w:type="pct"/>
            <w:tcBorders>
              <w:top w:val="nil"/>
              <w:left w:val="nil"/>
              <w:bottom w:val="single" w:color="auto" w:sz="4" w:space="0"/>
              <w:right w:val="single" w:color="auto" w:sz="4" w:space="0"/>
            </w:tcBorders>
            <w:shd w:val="clear" w:color="000000" w:fill="FFFFFF"/>
            <w:vAlign w:val="center"/>
          </w:tcPr>
          <w:p>
            <w:pPr>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37465</w:t>
            </w:r>
          </w:p>
        </w:tc>
        <w:tc>
          <w:tcPr>
            <w:tcW w:w="724" w:type="pct"/>
            <w:tcBorders>
              <w:top w:val="nil"/>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4</w:t>
            </w:r>
            <w:r>
              <w:rPr>
                <w:rFonts w:ascii="Times New Roman" w:hAnsi="Times New Roman" w:eastAsia="仿宋_GB2312"/>
                <w:color w:val="000000" w:themeColor="text1"/>
                <w:kern w:val="0"/>
                <w:sz w:val="24"/>
                <w:szCs w:val="28"/>
                <w14:textFill>
                  <w14:solidFill>
                    <w14:schemeClr w14:val="tx1"/>
                  </w14:solidFill>
                </w14:textFill>
              </w:rPr>
              <w:t>1127</w:t>
            </w:r>
          </w:p>
        </w:tc>
      </w:tr>
      <w:tr>
        <w:tblPrEx>
          <w:tblCellMar>
            <w:top w:w="0" w:type="dxa"/>
            <w:left w:w="57" w:type="dxa"/>
            <w:bottom w:w="0" w:type="dxa"/>
            <w:right w:w="57" w:type="dxa"/>
          </w:tblCellMar>
        </w:tblPrEx>
        <w:trPr>
          <w:trHeight w:val="465"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3</w:t>
            </w:r>
          </w:p>
        </w:tc>
        <w:tc>
          <w:tcPr>
            <w:tcW w:w="1863"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企业提供的校内实践教学设备值</w:t>
            </w:r>
          </w:p>
        </w:tc>
        <w:tc>
          <w:tcPr>
            <w:tcW w:w="39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万元</w:t>
            </w:r>
          </w:p>
        </w:tc>
        <w:tc>
          <w:tcPr>
            <w:tcW w:w="786"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89725.89</w:t>
            </w:r>
          </w:p>
        </w:tc>
        <w:tc>
          <w:tcPr>
            <w:tcW w:w="724"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5</w:t>
            </w:r>
            <w:r>
              <w:rPr>
                <w:rFonts w:ascii="Times New Roman" w:hAnsi="Times New Roman" w:eastAsia="仿宋_GB2312"/>
                <w:color w:val="000000" w:themeColor="text1"/>
                <w:kern w:val="0"/>
                <w:sz w:val="24"/>
                <w:szCs w:val="28"/>
                <w14:textFill>
                  <w14:solidFill>
                    <w14:schemeClr w14:val="tx1"/>
                  </w14:solidFill>
                </w14:textFill>
              </w:rPr>
              <w:t>6359.16</w:t>
            </w:r>
          </w:p>
        </w:tc>
      </w:tr>
      <w:tr>
        <w:tblPrEx>
          <w:tblCellMar>
            <w:top w:w="0" w:type="dxa"/>
            <w:left w:w="57" w:type="dxa"/>
            <w:bottom w:w="0" w:type="dxa"/>
            <w:right w:w="57" w:type="dxa"/>
          </w:tblCellMar>
        </w:tblPrEx>
        <w:trPr>
          <w:trHeight w:val="465"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restart"/>
            <w:tcBorders>
              <w:top w:val="single" w:color="auto" w:sz="4" w:space="0"/>
              <w:left w:val="nil"/>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4</w:t>
            </w:r>
          </w:p>
        </w:tc>
        <w:tc>
          <w:tcPr>
            <w:tcW w:w="1863"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生均</w:t>
            </w:r>
            <w:r>
              <w:rPr>
                <w:rFonts w:hint="eastAsia" w:ascii="Times New Roman" w:hAnsi="Times New Roman" w:eastAsia="仿宋_GB2312"/>
                <w:color w:val="000000" w:themeColor="text1"/>
                <w:kern w:val="0"/>
                <w:sz w:val="24"/>
                <w:szCs w:val="24"/>
                <w14:textFill>
                  <w14:solidFill>
                    <w14:schemeClr w14:val="tx1"/>
                  </w14:solidFill>
                </w14:textFill>
              </w:rPr>
              <w:t>企业</w:t>
            </w:r>
            <w:r>
              <w:rPr>
                <w:rFonts w:ascii="Times New Roman" w:hAnsi="Times New Roman" w:eastAsia="仿宋_GB2312"/>
                <w:color w:val="000000" w:themeColor="text1"/>
                <w:kern w:val="0"/>
                <w:sz w:val="24"/>
                <w:szCs w:val="24"/>
                <w14:textFill>
                  <w14:solidFill>
                    <w14:schemeClr w14:val="tx1"/>
                  </w14:solidFill>
                </w14:textFill>
              </w:rPr>
              <w:t>实习经费补贴</w:t>
            </w:r>
          </w:p>
        </w:tc>
        <w:tc>
          <w:tcPr>
            <w:tcW w:w="39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元</w:t>
            </w:r>
          </w:p>
        </w:tc>
        <w:tc>
          <w:tcPr>
            <w:tcW w:w="786" w:type="pct"/>
            <w:tcBorders>
              <w:top w:val="single" w:color="auto" w:sz="4" w:space="0"/>
              <w:left w:val="nil"/>
              <w:bottom w:val="single" w:color="auto" w:sz="4" w:space="0"/>
              <w:right w:val="single" w:color="auto" w:sz="4" w:space="0"/>
            </w:tcBorders>
            <w:shd w:val="clear" w:color="000000" w:fill="FFFFFF"/>
            <w:vAlign w:val="center"/>
          </w:tcPr>
          <w:p>
            <w:pPr>
              <w:textAlignment w:val="center"/>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 xml:space="preserve">395.90 </w:t>
            </w:r>
          </w:p>
        </w:tc>
        <w:tc>
          <w:tcPr>
            <w:tcW w:w="724"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219.60</w:t>
            </w:r>
          </w:p>
        </w:tc>
      </w:tr>
      <w:tr>
        <w:tblPrEx>
          <w:tblCellMar>
            <w:top w:w="0" w:type="dxa"/>
            <w:left w:w="57" w:type="dxa"/>
            <w:bottom w:w="0" w:type="dxa"/>
            <w:right w:w="57" w:type="dxa"/>
          </w:tblCellMar>
        </w:tblPrEx>
        <w:trPr>
          <w:trHeight w:val="465"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continue"/>
            <w:tcBorders>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p>
        </w:tc>
        <w:tc>
          <w:tcPr>
            <w:tcW w:w="1863"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其中：生均财政专项补贴</w:t>
            </w:r>
          </w:p>
        </w:tc>
        <w:tc>
          <w:tcPr>
            <w:tcW w:w="39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元</w:t>
            </w:r>
          </w:p>
        </w:tc>
        <w:tc>
          <w:tcPr>
            <w:tcW w:w="786" w:type="pct"/>
            <w:tcBorders>
              <w:top w:val="single" w:color="auto" w:sz="4" w:space="0"/>
              <w:left w:val="nil"/>
              <w:bottom w:val="single" w:color="auto" w:sz="4" w:space="0"/>
              <w:right w:val="single" w:color="auto" w:sz="4" w:space="0"/>
            </w:tcBorders>
            <w:shd w:val="clear" w:color="000000" w:fill="FFFFFF"/>
            <w:vAlign w:val="center"/>
          </w:tcPr>
          <w:p>
            <w:pPr>
              <w:textAlignment w:val="center"/>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 xml:space="preserve">118.79 </w:t>
            </w:r>
          </w:p>
        </w:tc>
        <w:tc>
          <w:tcPr>
            <w:tcW w:w="724"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19.40</w:t>
            </w:r>
          </w:p>
        </w:tc>
      </w:tr>
      <w:tr>
        <w:tblPrEx>
          <w:tblCellMar>
            <w:top w:w="0" w:type="dxa"/>
            <w:left w:w="57" w:type="dxa"/>
            <w:bottom w:w="0" w:type="dxa"/>
            <w:right w:w="57" w:type="dxa"/>
          </w:tblCellMar>
        </w:tblPrEx>
        <w:trPr>
          <w:trHeight w:val="465"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restart"/>
            <w:tcBorders>
              <w:top w:val="nil"/>
              <w:left w:val="nil"/>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5</w:t>
            </w:r>
          </w:p>
        </w:tc>
        <w:tc>
          <w:tcPr>
            <w:tcW w:w="1863"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生均企业实习责任保险补贴</w:t>
            </w:r>
          </w:p>
        </w:tc>
        <w:tc>
          <w:tcPr>
            <w:tcW w:w="390"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元</w:t>
            </w:r>
          </w:p>
        </w:tc>
        <w:tc>
          <w:tcPr>
            <w:tcW w:w="786" w:type="pct"/>
            <w:tcBorders>
              <w:top w:val="single" w:color="auto" w:sz="4" w:space="0"/>
              <w:left w:val="single" w:color="auto" w:sz="4" w:space="0"/>
              <w:bottom w:val="single" w:color="auto" w:sz="4" w:space="0"/>
              <w:right w:val="single" w:color="auto" w:sz="4" w:space="0"/>
            </w:tcBorders>
            <w:shd w:val="clear" w:color="000000" w:fill="FFFFFF"/>
            <w:vAlign w:val="center"/>
          </w:tcPr>
          <w:p>
            <w:pPr>
              <w:textAlignment w:val="center"/>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 xml:space="preserve">35.44 </w:t>
            </w:r>
          </w:p>
        </w:tc>
        <w:tc>
          <w:tcPr>
            <w:tcW w:w="724"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29.51</w:t>
            </w:r>
          </w:p>
        </w:tc>
      </w:tr>
      <w:tr>
        <w:tblPrEx>
          <w:tblCellMar>
            <w:top w:w="0" w:type="dxa"/>
            <w:left w:w="57" w:type="dxa"/>
            <w:bottom w:w="0" w:type="dxa"/>
            <w:right w:w="57" w:type="dxa"/>
          </w:tblCellMar>
        </w:tblPrEx>
        <w:trPr>
          <w:trHeight w:val="465"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continue"/>
            <w:tcBorders>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p>
        </w:tc>
        <w:tc>
          <w:tcPr>
            <w:tcW w:w="1863"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其中：生均财政专项补贴</w:t>
            </w:r>
          </w:p>
        </w:tc>
        <w:tc>
          <w:tcPr>
            <w:tcW w:w="390"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元</w:t>
            </w:r>
          </w:p>
        </w:tc>
        <w:tc>
          <w:tcPr>
            <w:tcW w:w="786" w:type="pct"/>
            <w:tcBorders>
              <w:top w:val="single" w:color="auto" w:sz="4" w:space="0"/>
              <w:left w:val="single" w:color="auto" w:sz="4" w:space="0"/>
              <w:bottom w:val="single" w:color="auto" w:sz="4" w:space="0"/>
              <w:right w:val="single" w:color="auto" w:sz="4" w:space="0"/>
            </w:tcBorders>
            <w:shd w:val="clear" w:color="000000" w:fill="FFFFFF"/>
            <w:vAlign w:val="center"/>
          </w:tcPr>
          <w:p>
            <w:pPr>
              <w:textAlignment w:val="center"/>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 xml:space="preserve">5.97 </w:t>
            </w:r>
          </w:p>
        </w:tc>
        <w:tc>
          <w:tcPr>
            <w:tcW w:w="724"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5.36</w:t>
            </w:r>
          </w:p>
        </w:tc>
      </w:tr>
      <w:tr>
        <w:tblPrEx>
          <w:tblCellMar>
            <w:top w:w="0" w:type="dxa"/>
            <w:left w:w="57" w:type="dxa"/>
            <w:bottom w:w="0" w:type="dxa"/>
            <w:right w:w="57" w:type="dxa"/>
          </w:tblCellMar>
        </w:tblPrEx>
        <w:trPr>
          <w:trHeight w:val="390"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restart"/>
            <w:tcBorders>
              <w:top w:val="nil"/>
              <w:left w:val="nil"/>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6</w:t>
            </w:r>
          </w:p>
        </w:tc>
        <w:tc>
          <w:tcPr>
            <w:tcW w:w="1863"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企业兼职教师年课时总量</w:t>
            </w:r>
          </w:p>
        </w:tc>
        <w:tc>
          <w:tcPr>
            <w:tcW w:w="39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课时</w:t>
            </w:r>
          </w:p>
        </w:tc>
        <w:tc>
          <w:tcPr>
            <w:tcW w:w="786"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2394657</w:t>
            </w:r>
          </w:p>
        </w:tc>
        <w:tc>
          <w:tcPr>
            <w:tcW w:w="724"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2</w:t>
            </w:r>
            <w:r>
              <w:rPr>
                <w:rFonts w:ascii="Times New Roman" w:hAnsi="Times New Roman" w:eastAsia="仿宋_GB2312"/>
                <w:color w:val="000000" w:themeColor="text1"/>
                <w:kern w:val="0"/>
                <w:sz w:val="24"/>
                <w:szCs w:val="28"/>
                <w14:textFill>
                  <w14:solidFill>
                    <w14:schemeClr w14:val="tx1"/>
                  </w14:solidFill>
                </w14:textFill>
              </w:rPr>
              <w:t>632850</w:t>
            </w:r>
          </w:p>
        </w:tc>
      </w:tr>
      <w:tr>
        <w:tblPrEx>
          <w:tblCellMar>
            <w:top w:w="0" w:type="dxa"/>
            <w:left w:w="57" w:type="dxa"/>
            <w:bottom w:w="0" w:type="dxa"/>
            <w:right w:w="57" w:type="dxa"/>
          </w:tblCellMar>
        </w:tblPrEx>
        <w:trPr>
          <w:trHeight w:val="390" w:hRule="atLeast"/>
          <w:jc w:val="center"/>
        </w:trPr>
        <w:tc>
          <w:tcPr>
            <w:tcW w:w="390"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continue"/>
            <w:tcBorders>
              <w:left w:val="nil"/>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4"/>
                <w14:textFill>
                  <w14:solidFill>
                    <w14:schemeClr w14:val="tx1"/>
                  </w14:solidFill>
                </w14:textFill>
              </w:rPr>
            </w:pPr>
          </w:p>
        </w:tc>
        <w:tc>
          <w:tcPr>
            <w:tcW w:w="1863"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年支付企业兼职教师课酬</w:t>
            </w:r>
          </w:p>
        </w:tc>
        <w:tc>
          <w:tcPr>
            <w:tcW w:w="39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元</w:t>
            </w:r>
          </w:p>
        </w:tc>
        <w:tc>
          <w:tcPr>
            <w:tcW w:w="786"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141047550</w:t>
            </w:r>
          </w:p>
        </w:tc>
        <w:tc>
          <w:tcPr>
            <w:tcW w:w="724"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1</w:t>
            </w:r>
            <w:r>
              <w:rPr>
                <w:rFonts w:ascii="Times New Roman" w:hAnsi="Times New Roman" w:eastAsia="仿宋_GB2312"/>
                <w:color w:val="000000" w:themeColor="text1"/>
                <w:kern w:val="0"/>
                <w:sz w:val="24"/>
                <w:szCs w:val="28"/>
                <w14:textFill>
                  <w14:solidFill>
                    <w14:schemeClr w14:val="tx1"/>
                  </w14:solidFill>
                </w14:textFill>
              </w:rPr>
              <w:t>27762828</w:t>
            </w:r>
          </w:p>
        </w:tc>
      </w:tr>
      <w:tr>
        <w:tblPrEx>
          <w:tblCellMar>
            <w:top w:w="0" w:type="dxa"/>
            <w:left w:w="57" w:type="dxa"/>
            <w:bottom w:w="0" w:type="dxa"/>
            <w:right w:w="57" w:type="dxa"/>
          </w:tblCellMar>
        </w:tblPrEx>
        <w:trPr>
          <w:trHeight w:val="390" w:hRule="atLeast"/>
          <w:jc w:val="center"/>
        </w:trPr>
        <w:tc>
          <w:tcPr>
            <w:tcW w:w="390" w:type="pct"/>
            <w:vMerge w:val="continue"/>
            <w:tcBorders>
              <w:left w:val="single" w:color="auto" w:sz="4" w:space="0"/>
              <w:bottom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659" w:type="pct"/>
            <w:vMerge w:val="continue"/>
            <w:tcBorders>
              <w:left w:val="single" w:color="auto" w:sz="4" w:space="0"/>
              <w:bottom w:val="single" w:color="auto" w:sz="4" w:space="0"/>
              <w:right w:val="single" w:color="auto" w:sz="4" w:space="0"/>
            </w:tcBorders>
            <w:vAlign w:val="center"/>
          </w:tcPr>
          <w:p>
            <w:pPr>
              <w:widowControl/>
              <w:spacing w:line="360" w:lineRule="exact"/>
              <w:jc w:val="left"/>
              <w:rPr>
                <w:rFonts w:ascii="Times New Roman" w:hAnsi="Times New Roman" w:eastAsia="仿宋_GB2312"/>
                <w:color w:val="000000" w:themeColor="text1"/>
                <w:kern w:val="0"/>
                <w:sz w:val="24"/>
                <w:szCs w:val="24"/>
                <w14:textFill>
                  <w14:solidFill>
                    <w14:schemeClr w14:val="tx1"/>
                  </w14:solidFill>
                </w14:textFill>
              </w:rPr>
            </w:pPr>
          </w:p>
        </w:tc>
        <w:tc>
          <w:tcPr>
            <w:tcW w:w="188" w:type="pct"/>
            <w:vMerge w:val="continue"/>
            <w:tcBorders>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p>
        </w:tc>
        <w:tc>
          <w:tcPr>
            <w:tcW w:w="1863"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ind w:firstLine="240" w:firstLineChars="100"/>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其中：财政专项补贴</w:t>
            </w:r>
          </w:p>
        </w:tc>
        <w:tc>
          <w:tcPr>
            <w:tcW w:w="39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元</w:t>
            </w:r>
          </w:p>
        </w:tc>
        <w:tc>
          <w:tcPr>
            <w:tcW w:w="786"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ascii="Times New Roman" w:hAnsi="Times New Roman" w:eastAsia="仿宋_GB2312"/>
                <w:color w:val="000000" w:themeColor="text1"/>
                <w:kern w:val="0"/>
                <w:sz w:val="24"/>
                <w:szCs w:val="28"/>
                <w14:textFill>
                  <w14:solidFill>
                    <w14:schemeClr w14:val="tx1"/>
                  </w14:solidFill>
                </w14:textFill>
              </w:rPr>
              <w:t>15743773</w:t>
            </w:r>
          </w:p>
        </w:tc>
        <w:tc>
          <w:tcPr>
            <w:tcW w:w="724"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8"/>
                <w14:textFill>
                  <w14:solidFill>
                    <w14:schemeClr w14:val="tx1"/>
                  </w14:solidFill>
                </w14:textFill>
              </w:rPr>
            </w:pPr>
            <w:r>
              <w:rPr>
                <w:rFonts w:hint="eastAsia" w:ascii="Times New Roman" w:hAnsi="Times New Roman" w:eastAsia="仿宋_GB2312"/>
                <w:color w:val="000000" w:themeColor="text1"/>
                <w:kern w:val="0"/>
                <w:sz w:val="24"/>
                <w:szCs w:val="28"/>
                <w14:textFill>
                  <w14:solidFill>
                    <w14:schemeClr w14:val="tx1"/>
                  </w14:solidFill>
                </w14:textFill>
              </w:rPr>
              <w:t>2</w:t>
            </w:r>
            <w:r>
              <w:rPr>
                <w:rFonts w:ascii="Times New Roman" w:hAnsi="Times New Roman" w:eastAsia="仿宋_GB2312"/>
                <w:color w:val="000000" w:themeColor="text1"/>
                <w:kern w:val="0"/>
                <w:sz w:val="24"/>
                <w:szCs w:val="28"/>
                <w14:textFill>
                  <w14:solidFill>
                    <w14:schemeClr w14:val="tx1"/>
                  </w14:solidFill>
                </w14:textFill>
              </w:rPr>
              <w:t>2813159</w:t>
            </w:r>
          </w:p>
        </w:tc>
      </w:tr>
    </w:tbl>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widowControl/>
        <w:ind w:firstLine="480" w:firstLineChars="200"/>
        <w:rPr>
          <w:rFonts w:ascii="Times New Roman" w:hAnsi="Times New Roman" w:eastAsia="仿宋_GB2312"/>
          <w:color w:val="000000" w:themeColor="text1"/>
          <w:sz w:val="24"/>
          <w:szCs w:val="24"/>
          <w14:textFill>
            <w14:solidFill>
              <w14:schemeClr w14:val="tx1"/>
            </w14:solidFill>
          </w14:textFill>
        </w:rPr>
      </w:pPr>
    </w:p>
    <w:p>
      <w:pPr>
        <w:spacing w:line="520" w:lineRule="exact"/>
        <w:ind w:firstLine="560" w:firstLineChars="200"/>
        <w:rPr>
          <w:rFonts w:ascii="仿宋_GB2312" w:eastAsia="仿宋_GB2312"/>
          <w:color w:val="000000" w:themeColor="text1"/>
          <w:sz w:val="28"/>
          <w:szCs w:val="28"/>
          <w14:textFill>
            <w14:solidFill>
              <w14:schemeClr w14:val="tx1"/>
            </w14:solidFill>
          </w14:textFill>
        </w:rPr>
      </w:pPr>
    </w:p>
    <w:sectPr>
      <w:footerReference r:id="rId5" w:type="default"/>
      <w:type w:val="continuous"/>
      <w:pgSz w:w="11906" w:h="16838"/>
      <w:pgMar w:top="1440" w:right="1531" w:bottom="1440" w:left="1531" w:header="851" w:footer="85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ascii="Times New Roman" w:hAnsi="Times New Roman" w:cs="Times New Roman"/>
        <w:sz w:val="21"/>
        <w:szCs w:val="21"/>
      </w:rPr>
      <w:t xml:space="preserve">— </w:t>
    </w:r>
    <w:sdt>
      <w:sdtPr>
        <w:rPr>
          <w:rFonts w:ascii="Times New Roman" w:hAnsi="Times New Roman" w:cs="Times New Roman"/>
          <w:sz w:val="21"/>
          <w:szCs w:val="21"/>
        </w:rPr>
        <w:id w:val="-1882327072"/>
        <w:docPartObj>
          <w:docPartGallery w:val="AutoText"/>
        </w:docPartObj>
      </w:sdtPr>
      <w:sdtEndPr>
        <w:rPr>
          <w:rFonts w:asciiTheme="minorHAnsi" w:hAnsiTheme="minorHAnsi" w:cstheme="minorBidi"/>
          <w:sz w:val="18"/>
          <w:szCs w:val="18"/>
        </w:r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12</w:t>
        </w:r>
        <w:r>
          <w:rPr>
            <w:rFonts w:ascii="Times New Roman" w:hAnsi="Times New Roman" w:cs="Times New Roman"/>
            <w:sz w:val="21"/>
            <w:szCs w:val="21"/>
          </w:rPr>
          <w:fldChar w:fldCharType="end"/>
        </w:r>
        <w:r>
          <w:rPr>
            <w:rFonts w:ascii="Times New Roman" w:hAnsi="Times New Roman" w:cs="Times New Roman"/>
            <w:sz w:val="21"/>
            <w:szCs w:val="21"/>
          </w:rPr>
          <w:t xml:space="preserve"> —</w:t>
        </w:r>
      </w:sdtContent>
    </w:sdt>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5"/>
      </w:pPr>
      <w:r>
        <w:rPr>
          <w:rStyle w:val="27"/>
          <w:rFonts w:ascii="仿宋" w:hAnsi="仿宋" w:eastAsia="仿宋"/>
          <w:sz w:val="20"/>
          <w:szCs w:val="20"/>
        </w:rPr>
        <w:footnoteRef/>
      </w:r>
      <w:r>
        <w:rPr>
          <w:rFonts w:ascii="仿宋" w:hAnsi="仿宋" w:eastAsia="仿宋"/>
          <w:sz w:val="20"/>
          <w:szCs w:val="20"/>
        </w:rPr>
        <w:t xml:space="preserve"> </w:t>
      </w:r>
      <w:r>
        <w:rPr>
          <w:rFonts w:hint="eastAsia" w:ascii="仿宋" w:hAnsi="仿宋" w:eastAsia="仿宋"/>
          <w:sz w:val="20"/>
          <w:szCs w:val="20"/>
        </w:rPr>
        <w:t>数据来源：2</w:t>
      </w:r>
      <w:r>
        <w:rPr>
          <w:rFonts w:ascii="仿宋" w:hAnsi="仿宋" w:eastAsia="仿宋"/>
          <w:sz w:val="20"/>
          <w:szCs w:val="20"/>
        </w:rPr>
        <w:t>021</w:t>
      </w:r>
      <w:r>
        <w:rPr>
          <w:rFonts w:hint="eastAsia" w:ascii="仿宋" w:hAnsi="仿宋" w:eastAsia="仿宋"/>
          <w:sz w:val="20"/>
          <w:szCs w:val="20"/>
        </w:rPr>
        <w:t>年《全国高等职业院校状态数据监控中心》</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DE6"/>
    <w:rsid w:val="00006C33"/>
    <w:rsid w:val="00007AA1"/>
    <w:rsid w:val="00020A8D"/>
    <w:rsid w:val="00022F44"/>
    <w:rsid w:val="0003032A"/>
    <w:rsid w:val="00055DA2"/>
    <w:rsid w:val="000715AC"/>
    <w:rsid w:val="00077C91"/>
    <w:rsid w:val="000863DC"/>
    <w:rsid w:val="0008773C"/>
    <w:rsid w:val="000C1599"/>
    <w:rsid w:val="000D0AFC"/>
    <w:rsid w:val="000F6313"/>
    <w:rsid w:val="001039CA"/>
    <w:rsid w:val="00106FA0"/>
    <w:rsid w:val="00112C9A"/>
    <w:rsid w:val="00114107"/>
    <w:rsid w:val="00125CEC"/>
    <w:rsid w:val="001363E3"/>
    <w:rsid w:val="00140A8E"/>
    <w:rsid w:val="001478AF"/>
    <w:rsid w:val="00154971"/>
    <w:rsid w:val="00154A38"/>
    <w:rsid w:val="00154EC7"/>
    <w:rsid w:val="00165670"/>
    <w:rsid w:val="00182811"/>
    <w:rsid w:val="0019169C"/>
    <w:rsid w:val="00194CA5"/>
    <w:rsid w:val="001B765C"/>
    <w:rsid w:val="001C1550"/>
    <w:rsid w:val="001C54FE"/>
    <w:rsid w:val="001C64F2"/>
    <w:rsid w:val="001F2EAC"/>
    <w:rsid w:val="001F5DD5"/>
    <w:rsid w:val="0020053E"/>
    <w:rsid w:val="002017FA"/>
    <w:rsid w:val="00205D96"/>
    <w:rsid w:val="002062E4"/>
    <w:rsid w:val="00207691"/>
    <w:rsid w:val="002208D8"/>
    <w:rsid w:val="00226333"/>
    <w:rsid w:val="002274F7"/>
    <w:rsid w:val="0023252F"/>
    <w:rsid w:val="00237610"/>
    <w:rsid w:val="0024243F"/>
    <w:rsid w:val="002447C4"/>
    <w:rsid w:val="00251026"/>
    <w:rsid w:val="00256D0F"/>
    <w:rsid w:val="002643A0"/>
    <w:rsid w:val="002D7F9D"/>
    <w:rsid w:val="002E5E07"/>
    <w:rsid w:val="002F31B2"/>
    <w:rsid w:val="00322AA4"/>
    <w:rsid w:val="00323A61"/>
    <w:rsid w:val="00335334"/>
    <w:rsid w:val="003569E0"/>
    <w:rsid w:val="00363270"/>
    <w:rsid w:val="00374FA3"/>
    <w:rsid w:val="003B1100"/>
    <w:rsid w:val="003B3EBC"/>
    <w:rsid w:val="00425656"/>
    <w:rsid w:val="00430250"/>
    <w:rsid w:val="0044170F"/>
    <w:rsid w:val="00446A44"/>
    <w:rsid w:val="00470D06"/>
    <w:rsid w:val="00474114"/>
    <w:rsid w:val="004A7E01"/>
    <w:rsid w:val="004B2553"/>
    <w:rsid w:val="004C213D"/>
    <w:rsid w:val="004C55AD"/>
    <w:rsid w:val="004E7B68"/>
    <w:rsid w:val="004F41F3"/>
    <w:rsid w:val="004F651B"/>
    <w:rsid w:val="005050C8"/>
    <w:rsid w:val="00513C0F"/>
    <w:rsid w:val="00517FEF"/>
    <w:rsid w:val="00521CA3"/>
    <w:rsid w:val="00525712"/>
    <w:rsid w:val="00527CBC"/>
    <w:rsid w:val="005510A6"/>
    <w:rsid w:val="00555520"/>
    <w:rsid w:val="005567DB"/>
    <w:rsid w:val="00563DAE"/>
    <w:rsid w:val="005734FB"/>
    <w:rsid w:val="00574D93"/>
    <w:rsid w:val="00584535"/>
    <w:rsid w:val="005B23A2"/>
    <w:rsid w:val="005E0A9C"/>
    <w:rsid w:val="005F5949"/>
    <w:rsid w:val="0061263B"/>
    <w:rsid w:val="006160C9"/>
    <w:rsid w:val="00627642"/>
    <w:rsid w:val="006278D3"/>
    <w:rsid w:val="00633023"/>
    <w:rsid w:val="00643590"/>
    <w:rsid w:val="006448EB"/>
    <w:rsid w:val="006472F5"/>
    <w:rsid w:val="00652F1E"/>
    <w:rsid w:val="00676566"/>
    <w:rsid w:val="00677591"/>
    <w:rsid w:val="006B09E1"/>
    <w:rsid w:val="006D554B"/>
    <w:rsid w:val="006E10E0"/>
    <w:rsid w:val="006F1A57"/>
    <w:rsid w:val="007069F1"/>
    <w:rsid w:val="00710830"/>
    <w:rsid w:val="00726E84"/>
    <w:rsid w:val="007320FB"/>
    <w:rsid w:val="00732FC2"/>
    <w:rsid w:val="00733ECB"/>
    <w:rsid w:val="007407D2"/>
    <w:rsid w:val="007641BC"/>
    <w:rsid w:val="00770826"/>
    <w:rsid w:val="00772CE1"/>
    <w:rsid w:val="0077366D"/>
    <w:rsid w:val="0078492E"/>
    <w:rsid w:val="00786227"/>
    <w:rsid w:val="00794D74"/>
    <w:rsid w:val="007B06DD"/>
    <w:rsid w:val="007B5E4E"/>
    <w:rsid w:val="007C4CFC"/>
    <w:rsid w:val="007C63D6"/>
    <w:rsid w:val="00802DF6"/>
    <w:rsid w:val="0081639E"/>
    <w:rsid w:val="008177EB"/>
    <w:rsid w:val="008214F0"/>
    <w:rsid w:val="008269E8"/>
    <w:rsid w:val="0085747A"/>
    <w:rsid w:val="00857AC8"/>
    <w:rsid w:val="008628A6"/>
    <w:rsid w:val="008777FC"/>
    <w:rsid w:val="008846A0"/>
    <w:rsid w:val="008A3AD7"/>
    <w:rsid w:val="008A6D98"/>
    <w:rsid w:val="008A78CB"/>
    <w:rsid w:val="008C7193"/>
    <w:rsid w:val="008D4CEE"/>
    <w:rsid w:val="008D6172"/>
    <w:rsid w:val="008E5681"/>
    <w:rsid w:val="009105D1"/>
    <w:rsid w:val="00912EB5"/>
    <w:rsid w:val="0096303B"/>
    <w:rsid w:val="00963DE6"/>
    <w:rsid w:val="00980DB7"/>
    <w:rsid w:val="009843A2"/>
    <w:rsid w:val="00987102"/>
    <w:rsid w:val="00990B77"/>
    <w:rsid w:val="00996639"/>
    <w:rsid w:val="009A6927"/>
    <w:rsid w:val="009C6B6B"/>
    <w:rsid w:val="009C6F2D"/>
    <w:rsid w:val="009D115D"/>
    <w:rsid w:val="009E0769"/>
    <w:rsid w:val="009E23ED"/>
    <w:rsid w:val="009F4B7E"/>
    <w:rsid w:val="009F5665"/>
    <w:rsid w:val="009F6374"/>
    <w:rsid w:val="00A07FB8"/>
    <w:rsid w:val="00A12860"/>
    <w:rsid w:val="00A23343"/>
    <w:rsid w:val="00A2544A"/>
    <w:rsid w:val="00A51954"/>
    <w:rsid w:val="00A52A7E"/>
    <w:rsid w:val="00A65675"/>
    <w:rsid w:val="00A81535"/>
    <w:rsid w:val="00AA2D4B"/>
    <w:rsid w:val="00AC1CF8"/>
    <w:rsid w:val="00AC22EE"/>
    <w:rsid w:val="00AC471A"/>
    <w:rsid w:val="00AF518B"/>
    <w:rsid w:val="00B04FE3"/>
    <w:rsid w:val="00B13965"/>
    <w:rsid w:val="00B14BC1"/>
    <w:rsid w:val="00B2348B"/>
    <w:rsid w:val="00B24C2E"/>
    <w:rsid w:val="00B40415"/>
    <w:rsid w:val="00B411A3"/>
    <w:rsid w:val="00B41FF4"/>
    <w:rsid w:val="00B424B4"/>
    <w:rsid w:val="00B44690"/>
    <w:rsid w:val="00B536C6"/>
    <w:rsid w:val="00B678D2"/>
    <w:rsid w:val="00B91E67"/>
    <w:rsid w:val="00B9324F"/>
    <w:rsid w:val="00BA0E0D"/>
    <w:rsid w:val="00BB4755"/>
    <w:rsid w:val="00BB6297"/>
    <w:rsid w:val="00BC0DEF"/>
    <w:rsid w:val="00BD100A"/>
    <w:rsid w:val="00BF290D"/>
    <w:rsid w:val="00C2280B"/>
    <w:rsid w:val="00C2662E"/>
    <w:rsid w:val="00C419BD"/>
    <w:rsid w:val="00C47052"/>
    <w:rsid w:val="00C91181"/>
    <w:rsid w:val="00C939DE"/>
    <w:rsid w:val="00CB7FA3"/>
    <w:rsid w:val="00CD4152"/>
    <w:rsid w:val="00CE79E2"/>
    <w:rsid w:val="00CF3415"/>
    <w:rsid w:val="00D06BE7"/>
    <w:rsid w:val="00D30CCF"/>
    <w:rsid w:val="00D4251A"/>
    <w:rsid w:val="00D4730A"/>
    <w:rsid w:val="00D50CDF"/>
    <w:rsid w:val="00D51643"/>
    <w:rsid w:val="00D6182B"/>
    <w:rsid w:val="00D72DD4"/>
    <w:rsid w:val="00D7523F"/>
    <w:rsid w:val="00D826E0"/>
    <w:rsid w:val="00D86F5B"/>
    <w:rsid w:val="00D96219"/>
    <w:rsid w:val="00DA6D50"/>
    <w:rsid w:val="00DB0076"/>
    <w:rsid w:val="00DB12E1"/>
    <w:rsid w:val="00DD46F1"/>
    <w:rsid w:val="00DF4CF7"/>
    <w:rsid w:val="00E17D11"/>
    <w:rsid w:val="00E21D62"/>
    <w:rsid w:val="00E32E3D"/>
    <w:rsid w:val="00E36D5E"/>
    <w:rsid w:val="00E426D2"/>
    <w:rsid w:val="00E47390"/>
    <w:rsid w:val="00E47FAA"/>
    <w:rsid w:val="00E52BFA"/>
    <w:rsid w:val="00E616FD"/>
    <w:rsid w:val="00ED08DD"/>
    <w:rsid w:val="00ED100F"/>
    <w:rsid w:val="00ED4765"/>
    <w:rsid w:val="00EF29DD"/>
    <w:rsid w:val="00F00576"/>
    <w:rsid w:val="00F034C4"/>
    <w:rsid w:val="00F356CE"/>
    <w:rsid w:val="00F44E85"/>
    <w:rsid w:val="00F45D8E"/>
    <w:rsid w:val="00F513B8"/>
    <w:rsid w:val="00F52873"/>
    <w:rsid w:val="00FE2433"/>
    <w:rsid w:val="2C9E1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uiPriority="39" w:semiHidden="0" w:name="toc 8"/>
    <w:lsdException w:qFormat="1" w:uiPriority="39" w:semiHidden="0" w:name="toc 9"/>
    <w:lsdException w:uiPriority="99" w:name="Normal Indent"/>
    <w:lsdException w:qFormat="1" w:uiPriority="99" w:semiHidden="0" w:name="footnote text"/>
    <w:lsdException w:qFormat="1" w:uiPriority="99" w:name="annotation text"/>
    <w:lsdException w:uiPriority="99" w:semiHidden="0" w:name="header"/>
    <w:lsdException w:qFormat="1"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9"/>
    <w:pPr>
      <w:keepNext/>
      <w:keepLines/>
      <w:spacing w:before="340" w:after="330" w:line="578" w:lineRule="auto"/>
      <w:outlineLvl w:val="0"/>
    </w:pPr>
    <w:rPr>
      <w:b/>
      <w:bCs/>
      <w:kern w:val="44"/>
      <w:sz w:val="44"/>
      <w:szCs w:val="4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unhideWhenUsed/>
    <w:uiPriority w:val="39"/>
    <w:pPr>
      <w:ind w:left="2520" w:leftChars="1200"/>
    </w:pPr>
  </w:style>
  <w:style w:type="paragraph" w:styleId="4">
    <w:name w:val="caption"/>
    <w:basedOn w:val="1"/>
    <w:next w:val="1"/>
    <w:qFormat/>
    <w:uiPriority w:val="35"/>
    <w:pPr>
      <w:widowControl/>
      <w:adjustRightInd w:val="0"/>
      <w:snapToGrid w:val="0"/>
      <w:spacing w:after="200"/>
      <w:jc w:val="left"/>
    </w:pPr>
    <w:rPr>
      <w:rFonts w:ascii="等线 Light" w:hAnsi="等线 Light" w:eastAsia="黑体" w:cs="Times New Roman"/>
      <w:kern w:val="0"/>
      <w:sz w:val="20"/>
      <w:szCs w:val="20"/>
    </w:rPr>
  </w:style>
  <w:style w:type="paragraph" w:styleId="5">
    <w:name w:val="annotation text"/>
    <w:basedOn w:val="1"/>
    <w:link w:val="35"/>
    <w:semiHidden/>
    <w:unhideWhenUsed/>
    <w:qFormat/>
    <w:uiPriority w:val="99"/>
    <w:pPr>
      <w:jc w:val="left"/>
    </w:pPr>
  </w:style>
  <w:style w:type="paragraph" w:styleId="6">
    <w:name w:val="Body Text"/>
    <w:basedOn w:val="1"/>
    <w:link w:val="32"/>
    <w:unhideWhenUsed/>
    <w:uiPriority w:val="99"/>
    <w:pPr>
      <w:spacing w:after="120"/>
    </w:pPr>
  </w:style>
  <w:style w:type="paragraph" w:styleId="7">
    <w:name w:val="toc 5"/>
    <w:basedOn w:val="1"/>
    <w:next w:val="1"/>
    <w:unhideWhenUsed/>
    <w:qFormat/>
    <w:uiPriority w:val="39"/>
    <w:pPr>
      <w:ind w:left="1680" w:leftChars="800"/>
    </w:pPr>
  </w:style>
  <w:style w:type="paragraph" w:styleId="8">
    <w:name w:val="toc 3"/>
    <w:basedOn w:val="1"/>
    <w:next w:val="1"/>
    <w:unhideWhenUsed/>
    <w:qFormat/>
    <w:uiPriority w:val="39"/>
    <w:pPr>
      <w:tabs>
        <w:tab w:val="right" w:leader="dot" w:pos="8834"/>
      </w:tabs>
      <w:jc w:val="center"/>
    </w:pPr>
  </w:style>
  <w:style w:type="paragraph" w:styleId="9">
    <w:name w:val="toc 8"/>
    <w:basedOn w:val="1"/>
    <w:next w:val="1"/>
    <w:unhideWhenUsed/>
    <w:uiPriority w:val="39"/>
    <w:pPr>
      <w:ind w:left="2940" w:leftChars="1400"/>
    </w:pPr>
  </w:style>
  <w:style w:type="paragraph" w:styleId="10">
    <w:name w:val="Body Text Indent 2"/>
    <w:basedOn w:val="1"/>
    <w:link w:val="30"/>
    <w:unhideWhenUsed/>
    <w:qFormat/>
    <w:uiPriority w:val="99"/>
    <w:pPr>
      <w:spacing w:after="120" w:line="480" w:lineRule="auto"/>
      <w:ind w:left="420" w:leftChars="200"/>
    </w:pPr>
    <w:rPr>
      <w:rFonts w:ascii="Times New Roman" w:hAnsi="Times New Roman" w:eastAsia="宋体" w:cs="Times New Roman"/>
      <w:szCs w:val="24"/>
    </w:rPr>
  </w:style>
  <w:style w:type="paragraph" w:styleId="11">
    <w:name w:val="footer"/>
    <w:basedOn w:val="1"/>
    <w:link w:val="29"/>
    <w:unhideWhenUsed/>
    <w:qFormat/>
    <w:uiPriority w:val="0"/>
    <w:pPr>
      <w:tabs>
        <w:tab w:val="center" w:pos="4153"/>
        <w:tab w:val="right" w:pos="8306"/>
      </w:tabs>
      <w:snapToGrid w:val="0"/>
      <w:jc w:val="left"/>
    </w:pPr>
    <w:rPr>
      <w:sz w:val="18"/>
      <w:szCs w:val="18"/>
    </w:rPr>
  </w:style>
  <w:style w:type="paragraph" w:styleId="12">
    <w:name w:val="header"/>
    <w:basedOn w:val="1"/>
    <w:link w:val="28"/>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834"/>
      </w:tabs>
      <w:spacing w:line="360" w:lineRule="auto"/>
      <w:jc w:val="center"/>
    </w:pPr>
    <w:rPr>
      <w:rFonts w:ascii="宋体" w:hAnsi="宋体" w:eastAsia="宋体" w:cs="黑体"/>
      <w:sz w:val="28"/>
      <w:szCs w:val="28"/>
    </w:rPr>
  </w:style>
  <w:style w:type="paragraph" w:styleId="14">
    <w:name w:val="toc 4"/>
    <w:basedOn w:val="1"/>
    <w:next w:val="1"/>
    <w:unhideWhenUsed/>
    <w:qFormat/>
    <w:uiPriority w:val="39"/>
    <w:pPr>
      <w:ind w:left="1260" w:leftChars="600"/>
    </w:pPr>
  </w:style>
  <w:style w:type="paragraph" w:styleId="15">
    <w:name w:val="footnote text"/>
    <w:basedOn w:val="1"/>
    <w:link w:val="33"/>
    <w:unhideWhenUsed/>
    <w:qFormat/>
    <w:uiPriority w:val="99"/>
    <w:pPr>
      <w:snapToGrid w:val="0"/>
      <w:jc w:val="left"/>
    </w:pPr>
    <w:rPr>
      <w:sz w:val="18"/>
      <w:szCs w:val="18"/>
    </w:rPr>
  </w:style>
  <w:style w:type="paragraph" w:styleId="16">
    <w:name w:val="toc 6"/>
    <w:basedOn w:val="1"/>
    <w:next w:val="1"/>
    <w:unhideWhenUsed/>
    <w:qFormat/>
    <w:uiPriority w:val="39"/>
    <w:pPr>
      <w:ind w:left="2100" w:leftChars="1000"/>
    </w:pPr>
  </w:style>
  <w:style w:type="paragraph" w:styleId="17">
    <w:name w:val="toc 2"/>
    <w:basedOn w:val="1"/>
    <w:next w:val="1"/>
    <w:qFormat/>
    <w:uiPriority w:val="39"/>
    <w:pPr>
      <w:widowControl/>
      <w:adjustRightInd w:val="0"/>
      <w:snapToGrid w:val="0"/>
      <w:ind w:left="220"/>
      <w:jc w:val="left"/>
    </w:pPr>
    <w:rPr>
      <w:rFonts w:ascii="Times New Roman" w:hAnsi="Times New Roman" w:eastAsia="宋体" w:cs="Times New Roman"/>
      <w:smallCaps/>
      <w:kern w:val="0"/>
      <w:sz w:val="20"/>
      <w:szCs w:val="20"/>
    </w:rPr>
  </w:style>
  <w:style w:type="paragraph" w:styleId="18">
    <w:name w:val="toc 9"/>
    <w:basedOn w:val="1"/>
    <w:next w:val="1"/>
    <w:unhideWhenUsed/>
    <w:qFormat/>
    <w:uiPriority w:val="39"/>
    <w:pPr>
      <w:ind w:left="3360" w:leftChars="1600"/>
    </w:pPr>
  </w:style>
  <w:style w:type="paragraph" w:styleId="19">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20">
    <w:name w:val="annotation subject"/>
    <w:basedOn w:val="5"/>
    <w:next w:val="5"/>
    <w:link w:val="36"/>
    <w:semiHidden/>
    <w:unhideWhenUsed/>
    <w:qFormat/>
    <w:uiPriority w:val="99"/>
    <w:rPr>
      <w:b/>
      <w:bCs/>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semiHidden/>
    <w:unhideWhenUsed/>
    <w:uiPriority w:val="99"/>
    <w:rPr>
      <w:color w:val="954F72" w:themeColor="followedHyperlink"/>
      <w:u w:val="single"/>
      <w14:textFill>
        <w14:solidFill>
          <w14:schemeClr w14:val="folHlink"/>
        </w14:solidFill>
      </w14:textFill>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semiHidden/>
    <w:unhideWhenUsed/>
    <w:uiPriority w:val="99"/>
    <w:rPr>
      <w:sz w:val="21"/>
      <w:szCs w:val="21"/>
    </w:rPr>
  </w:style>
  <w:style w:type="character" w:styleId="27">
    <w:name w:val="footnote reference"/>
    <w:basedOn w:val="23"/>
    <w:unhideWhenUsed/>
    <w:qFormat/>
    <w:uiPriority w:val="99"/>
    <w:rPr>
      <w:vertAlign w:val="superscript"/>
    </w:rPr>
  </w:style>
  <w:style w:type="character" w:customStyle="1" w:styleId="28">
    <w:name w:val="页眉 字符"/>
    <w:basedOn w:val="23"/>
    <w:link w:val="12"/>
    <w:qFormat/>
    <w:uiPriority w:val="99"/>
    <w:rPr>
      <w:sz w:val="18"/>
      <w:szCs w:val="18"/>
    </w:rPr>
  </w:style>
  <w:style w:type="character" w:customStyle="1" w:styleId="29">
    <w:name w:val="页脚 字符"/>
    <w:basedOn w:val="23"/>
    <w:link w:val="11"/>
    <w:qFormat/>
    <w:uiPriority w:val="0"/>
    <w:rPr>
      <w:sz w:val="18"/>
      <w:szCs w:val="18"/>
    </w:rPr>
  </w:style>
  <w:style w:type="character" w:customStyle="1" w:styleId="30">
    <w:name w:val="正文文本缩进 2 字符"/>
    <w:basedOn w:val="23"/>
    <w:link w:val="10"/>
    <w:qFormat/>
    <w:uiPriority w:val="99"/>
    <w:rPr>
      <w:rFonts w:ascii="Times New Roman" w:hAnsi="Times New Roman" w:eastAsia="宋体" w:cs="Times New Roman"/>
      <w:szCs w:val="24"/>
    </w:rPr>
  </w:style>
  <w:style w:type="paragraph" w:customStyle="1" w:styleId="31">
    <w:name w:val="首行缩进"/>
    <w:basedOn w:val="1"/>
    <w:qFormat/>
    <w:uiPriority w:val="0"/>
    <w:pPr>
      <w:ind w:firstLine="480" w:firstLineChars="200"/>
    </w:pPr>
    <w:rPr>
      <w:rFonts w:ascii="Times New Roman" w:hAnsi="Times New Roman" w:eastAsia="宋体" w:cs="Times New Roman"/>
      <w:szCs w:val="24"/>
      <w:lang w:val="zh-CN"/>
    </w:rPr>
  </w:style>
  <w:style w:type="character" w:customStyle="1" w:styleId="32">
    <w:name w:val="正文文本 字符"/>
    <w:basedOn w:val="23"/>
    <w:link w:val="6"/>
    <w:qFormat/>
    <w:uiPriority w:val="99"/>
  </w:style>
  <w:style w:type="character" w:customStyle="1" w:styleId="33">
    <w:name w:val="脚注文本 字符"/>
    <w:basedOn w:val="23"/>
    <w:link w:val="15"/>
    <w:qFormat/>
    <w:uiPriority w:val="99"/>
    <w:rPr>
      <w:sz w:val="18"/>
      <w:szCs w:val="18"/>
    </w:rPr>
  </w:style>
  <w:style w:type="table" w:customStyle="1" w:styleId="34">
    <w:name w:val="网格型1"/>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5">
    <w:name w:val="批注文字 字符"/>
    <w:basedOn w:val="23"/>
    <w:link w:val="5"/>
    <w:semiHidden/>
    <w:uiPriority w:val="99"/>
  </w:style>
  <w:style w:type="character" w:customStyle="1" w:styleId="36">
    <w:name w:val="批注主题 字符"/>
    <w:basedOn w:val="35"/>
    <w:link w:val="20"/>
    <w:semiHidden/>
    <w:qFormat/>
    <w:uiPriority w:val="99"/>
    <w:rPr>
      <w:b/>
      <w:bCs/>
    </w:rPr>
  </w:style>
  <w:style w:type="character" w:customStyle="1" w:styleId="37">
    <w:name w:val="标题 1 字符"/>
    <w:basedOn w:val="23"/>
    <w:link w:val="2"/>
    <w:qFormat/>
    <w:uiPriority w:val="0"/>
    <w:rPr>
      <w:b/>
      <w:bCs/>
      <w:kern w:val="44"/>
      <w:sz w:val="44"/>
      <w:szCs w:val="44"/>
    </w:rPr>
  </w:style>
  <w:style w:type="paragraph" w:customStyle="1" w:styleId="3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9">
    <w:name w:val="Unresolved Mention"/>
    <w:basedOn w:val="2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13.jpeg"/><Relationship Id="rId30" Type="http://schemas.openxmlformats.org/officeDocument/2006/relationships/chart" Target="charts/chart12.xml"/><Relationship Id="rId3" Type="http://schemas.openxmlformats.org/officeDocument/2006/relationships/footnotes" Target="footnotes.xml"/><Relationship Id="rId29" Type="http://schemas.openxmlformats.org/officeDocument/2006/relationships/chart" Target="charts/chart11.xml"/><Relationship Id="rId28" Type="http://schemas.openxmlformats.org/officeDocument/2006/relationships/chart" Target="charts/chart10.xml"/><Relationship Id="rId27" Type="http://schemas.openxmlformats.org/officeDocument/2006/relationships/chart" Target="charts/chart9.xml"/><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chart" Target="charts/chart8.xml"/><Relationship Id="rId23" Type="http://schemas.openxmlformats.org/officeDocument/2006/relationships/chart" Target="charts/chart7.xml"/><Relationship Id="rId22" Type="http://schemas.openxmlformats.org/officeDocument/2006/relationships/chart" Target="charts/chart6.xml"/><Relationship Id="rId21" Type="http://schemas.openxmlformats.org/officeDocument/2006/relationships/chart" Target="charts/chart5.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chart" Target="charts/chart2.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chart" Target="charts/chart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32769;&#34903;&#30340;&#20141;&#23376;\Desktop\2022&#23665;&#19996;&#30465;&#36136;&#37327;&#24180;&#25253;\&#25240;&#32447;&#22270;.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32769;&#34903;&#30340;&#20141;&#23376;\Desktop\2022&#23665;&#19996;&#30465;&#36136;&#37327;&#24180;&#25253;\&#25240;&#32447;&#22270;.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32769;&#34903;&#30340;&#20141;&#23376;\Desktop\2022&#23665;&#19996;&#30465;&#36136;&#37327;&#24180;&#25253;\&#25240;&#32447;&#2227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3665;&#19996;&#30465;&#36136;&#37327;&#24180;&#25253;\&#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23665;&#19996;&#30465;&#36136;&#37327;&#24180;&#25253;\&#20316;&#22270;&#8212;&#8212;L\&#20316;&#22270;&#8212;&#8212;L\&#36817;&#20116;&#24180;&#39640;&#32844;&#27605;&#19994;&#29983;&#23601;&#19994;&#29575;2017-202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D:\&#23665;&#19996;&#30465;&#36136;&#37327;&#24180;&#25253;\&#20316;&#22270;&#8212;&#8212;L\&#20316;&#22270;&#8212;&#8212;L\&#36817;&#20116;&#24180;&#23665;&#19996;&#39640;&#32844;&#27605;&#19994;&#29983;&#21322;&#24180;&#21518;&#26376;&#25910;&#20837;&#24773;&#20917;&#65288;2017-2021&#65289;.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23665;&#19996;&#30465;&#36136;&#37327;&#24180;&#25253;\&#20316;&#22270;&#8212;&#8212;L\&#20316;&#22270;&#8212;&#8212;L\&#36817;&#20116;&#24180;&#23665;&#19996;&#39640;&#32844;&#27605;&#19994;&#29983;&#29702;&#24037;&#20892;&#21307;&#31867;&#19987;&#19994;&#30456;&#20851;&#24230;&#65288;2017-2021&#65289;.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23665;&#19996;&#30465;&#36136;&#37327;&#24180;&#25253;\&#20316;&#22270;&#8212;&#8212;L\&#20316;&#22270;&#8212;&#8212;L\&#36817;&#20116;&#24180;&#23545;&#27597;&#26657;&#28385;&#24847;&#24230;2017-2021.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23665;&#19996;&#30465;&#36136;&#37327;&#24180;&#25253;\&#20316;&#22270;&#8212;&#8212;L\&#35745;&#20998;&#21345;20211218092226.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3665;&#19996;&#30465;&#36136;&#37327;&#24180;&#25253;\&#20316;&#22270;&#8212;&#8212;L\&#20316;&#22270;&#8212;&#8212;L\&#36817;&#20116;&#24180;&#33258;&#20027;&#21019;&#19994;&#27604;&#29575;2017-2021.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32769;&#34903;&#30340;&#20141;&#23376;\Desktop\2022&#23665;&#19996;&#30465;&#36136;&#37327;&#24180;&#25253;\&#25240;&#32447;&#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'17-21山东省院校总收入与总支出'!$A$2</c:f>
              <c:strCache>
                <c:ptCount val="1"/>
                <c:pt idx="0">
                  <c:v>2017-2021年山东省高职院校教育经费总投入（亿元）</c:v>
                </c:pt>
              </c:strCache>
            </c:strRef>
          </c:tx>
          <c:spPr>
            <a:solidFill>
              <a:srgbClr val="4472C4">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'17-21山东省院校总收入与总支出'!$B$1:$F$1</c:f>
              <c:strCache>
                <c:ptCount val="5"/>
                <c:pt idx="0">
                  <c:v>2017年</c:v>
                </c:pt>
                <c:pt idx="1">
                  <c:v>2018年</c:v>
                </c:pt>
                <c:pt idx="2">
                  <c:v>2019年</c:v>
                </c:pt>
                <c:pt idx="3">
                  <c:v>2020年</c:v>
                </c:pt>
                <c:pt idx="4">
                  <c:v>2021年</c:v>
                </c:pt>
              </c:strCache>
            </c:strRef>
          </c:cat>
          <c:val>
            <c:numRef>
              <c:f>'17-21山东省院校总收入与总支出'!$B$2:$F$2</c:f>
              <c:numCache>
                <c:formatCode>General</c:formatCode>
                <c:ptCount val="5"/>
                <c:pt idx="0">
                  <c:v>122.88</c:v>
                </c:pt>
                <c:pt idx="1">
                  <c:v>126.38</c:v>
                </c:pt>
                <c:pt idx="2">
                  <c:v>136.44</c:v>
                </c:pt>
                <c:pt idx="3">
                  <c:v>159.99</c:v>
                </c:pt>
                <c:pt idx="4">
                  <c:v>177.64</c:v>
                </c:pt>
              </c:numCache>
            </c:numRef>
          </c:val>
        </c:ser>
        <c:dLbls>
          <c:showLegendKey val="0"/>
          <c:showVal val="1"/>
          <c:showCatName val="0"/>
          <c:showSerName val="0"/>
          <c:showPercent val="0"/>
          <c:showBubbleSize val="0"/>
        </c:dLbls>
        <c:gapWidth val="219"/>
        <c:overlap val="-27"/>
        <c:axId val="62115152"/>
        <c:axId val="654341176"/>
      </c:barChart>
      <c:lineChart>
        <c:grouping val="standard"/>
        <c:varyColors val="0"/>
        <c:ser>
          <c:idx val="1"/>
          <c:order val="1"/>
          <c:tx>
            <c:strRef>
              <c:f>'17-21山东省院校总收入与总支出'!$A$3</c:f>
              <c:strCache>
                <c:ptCount val="1"/>
                <c:pt idx="0">
                  <c:v>增幅</c:v>
                </c:pt>
              </c:strCache>
            </c:strRef>
          </c:tx>
          <c:spPr>
            <a:ln w="15875" cap="rnd">
              <a:solidFill>
                <a:schemeClr val="tx1">
                  <a:lumMod val="65000"/>
                  <a:lumOff val="35000"/>
                </a:schemeClr>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'17-21山东省院校总收入与总支出'!$B$1:$F$1</c:f>
              <c:strCache>
                <c:ptCount val="5"/>
                <c:pt idx="0">
                  <c:v>2017年</c:v>
                </c:pt>
                <c:pt idx="1">
                  <c:v>2018年</c:v>
                </c:pt>
                <c:pt idx="2">
                  <c:v>2019年</c:v>
                </c:pt>
                <c:pt idx="3">
                  <c:v>2020年</c:v>
                </c:pt>
                <c:pt idx="4">
                  <c:v>2021年</c:v>
                </c:pt>
              </c:strCache>
            </c:strRef>
          </c:cat>
          <c:val>
            <c:numRef>
              <c:f>'17-21山东省院校总收入与总支出'!$B$3:$F$3</c:f>
              <c:numCache>
                <c:formatCode>0.0%</c:formatCode>
                <c:ptCount val="5"/>
                <c:pt idx="0">
                  <c:v>0.037</c:v>
                </c:pt>
                <c:pt idx="1">
                  <c:v>0.028</c:v>
                </c:pt>
                <c:pt idx="2">
                  <c:v>0.08</c:v>
                </c:pt>
                <c:pt idx="3">
                  <c:v>0.173</c:v>
                </c:pt>
                <c:pt idx="4">
                  <c:v>0.11</c:v>
                </c:pt>
              </c:numCache>
            </c:numRef>
          </c:val>
          <c:smooth val="0"/>
        </c:ser>
        <c:dLbls>
          <c:showLegendKey val="0"/>
          <c:showVal val="1"/>
          <c:showCatName val="0"/>
          <c:showSerName val="0"/>
          <c:showPercent val="0"/>
          <c:showBubbleSize val="0"/>
        </c:dLbls>
        <c:marker val="0"/>
        <c:smooth val="0"/>
        <c:axId val="654340784"/>
        <c:axId val="649746048"/>
      </c:lineChart>
      <c:catAx>
        <c:axId val="621151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4341176"/>
        <c:crosses val="autoZero"/>
        <c:auto val="1"/>
        <c:lblAlgn val="ctr"/>
        <c:lblOffset val="100"/>
        <c:noMultiLvlLbl val="0"/>
      </c:catAx>
      <c:valAx>
        <c:axId val="65434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62115152"/>
        <c:crosses val="autoZero"/>
        <c:crossBetween val="between"/>
      </c:valAx>
      <c:catAx>
        <c:axId val="65434078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9746048"/>
        <c:crosses val="autoZero"/>
        <c:auto val="1"/>
        <c:lblAlgn val="ctr"/>
        <c:lblOffset val="100"/>
        <c:noMultiLvlLbl val="0"/>
      </c:catAx>
      <c:valAx>
        <c:axId val="649746048"/>
        <c:scaling>
          <c:orientation val="minMax"/>
          <c:max val="0.3"/>
        </c:scaling>
        <c:delete val="0"/>
        <c:axPos val="r"/>
        <c:numFmt formatCode="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654340784"/>
        <c:crosses val="max"/>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[折线图.xlsx]母校满意度!$B$1</c:f>
              <c:strCache>
                <c:ptCount val="1"/>
                <c:pt idx="0">
                  <c:v>母校满意度</c:v>
                </c:pt>
              </c:strCache>
            </c:strRef>
          </c:tx>
          <c:spPr>
            <a:ln w="34925" cap="rnd">
              <a:solidFill>
                <a:schemeClr val="lt1"/>
              </a:solidFill>
              <a:round/>
            </a:ln>
            <a:effectLst>
              <a:outerShdw dist="25400" dir="2700000" algn="tl" rotWithShape="0">
                <a:schemeClr val="accent1"/>
              </a:outerShdw>
            </a:effectLst>
          </c:spPr>
          <c:marker>
            <c:symbol val="none"/>
          </c:marker>
          <c:dLbls>
            <c:dLbl>
              <c:idx val="0"/>
              <c:layout/>
              <c:numFmt formatCode="General" sourceLinked="1"/>
              <c:spPr>
                <a:noFill/>
                <a:ln>
                  <a:noFill/>
                </a:ln>
                <a:effectLst/>
              </c:spPr>
              <c:txPr>
                <a:bodyPr rot="0" spcFirstLastPara="0" vertOverflow="ellipsis" horzOverflow="clip" vert="horz" wrap="square" lIns="38100" tIns="36195" rIns="215900" bIns="19050" anchor="ctr" anchorCtr="1">
                  <a:spAutoFit/>
                </a:bodyPr>
                <a:lstStyle/>
                <a:p>
                  <a:pPr>
                    <a:defRPr lang="zh-CN" sz="900" b="1" i="0" u="none" strike="noStrike" kern="1200" baseline="0">
                      <a:solidFill>
                        <a:schemeClr val="lt1"/>
                      </a:solidFill>
                      <a:latin typeface="+mn-lt"/>
                      <a:ea typeface="+mn-ea"/>
                      <a:cs typeface="+mn-cs"/>
                    </a:defRPr>
                  </a:pPr>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strRef>
              <c:f>[折线图.xlsx]母校满意度!$A$2:$A$6</c:f>
              <c:strCache>
                <c:ptCount val="5"/>
                <c:pt idx="0">
                  <c:v>2017届</c:v>
                </c:pt>
                <c:pt idx="1">
                  <c:v>2018届</c:v>
                </c:pt>
                <c:pt idx="2">
                  <c:v>2019届</c:v>
                </c:pt>
                <c:pt idx="3">
                  <c:v>2020届</c:v>
                </c:pt>
                <c:pt idx="4">
                  <c:v>2021届</c:v>
                </c:pt>
              </c:strCache>
            </c:strRef>
          </c:cat>
          <c:val>
            <c:numRef>
              <c:f>[折线图.xlsx]母校满意度!$B$2:$B$6</c:f>
              <c:numCache>
                <c:formatCode>0.00%</c:formatCode>
                <c:ptCount val="5"/>
                <c:pt idx="0">
                  <c:v>0.9536</c:v>
                </c:pt>
                <c:pt idx="1">
                  <c:v>0.9689</c:v>
                </c:pt>
                <c:pt idx="2">
                  <c:v>0.9702</c:v>
                </c:pt>
                <c:pt idx="3">
                  <c:v>0.9653</c:v>
                </c:pt>
                <c:pt idx="4">
                  <c:v>0.9773</c:v>
                </c:pt>
              </c:numCache>
            </c:numRef>
          </c:val>
          <c:smooth val="0"/>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243898376"/>
        <c:axId val="541344000"/>
      </c:lineChart>
      <c:catAx>
        <c:axId val="243898376"/>
        <c:scaling>
          <c:orientation val="minMax"/>
        </c:scaling>
        <c:delete val="0"/>
        <c:axPos val="b"/>
        <c:numFmt formatCode="General" sourceLinked="0"/>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lang="zh-CN" sz="900" b="0" i="0" u="none" strike="noStrike" kern="1200" spc="100" baseline="0">
                <a:solidFill>
                  <a:schemeClr val="lt1"/>
                </a:solidFill>
                <a:latin typeface="+mn-lt"/>
                <a:ea typeface="+mn-ea"/>
                <a:cs typeface="+mn-cs"/>
              </a:defRPr>
            </a:pPr>
          </a:p>
        </c:txPr>
        <c:crossAx val="541344000"/>
        <c:crosses val="autoZero"/>
        <c:auto val="1"/>
        <c:lblAlgn val="ctr"/>
        <c:lblOffset val="100"/>
        <c:noMultiLvlLbl val="0"/>
      </c:catAx>
      <c:valAx>
        <c:axId val="5413440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solidFill>
                <a:latin typeface="+mn-lt"/>
                <a:ea typeface="+mn-ea"/>
                <a:cs typeface="+mn-cs"/>
              </a:defRPr>
            </a:pPr>
          </a:p>
        </c:txPr>
        <c:crossAx val="243898376"/>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[折线图.xlsx]雇主满意度!$B$1</c:f>
              <c:strCache>
                <c:ptCount val="1"/>
                <c:pt idx="0">
                  <c:v>雇主满意度</c:v>
                </c:pt>
              </c:strCache>
            </c:strRef>
          </c:tx>
          <c:spPr>
            <a:ln w="34925" cap="rnd">
              <a:solidFill>
                <a:schemeClr val="lt1"/>
              </a:solidFill>
              <a:round/>
            </a:ln>
            <a:effectLst>
              <a:outerShdw dist="25400" dir="2700000" algn="tl" rotWithShape="0">
                <a:schemeClr val="accent1"/>
              </a:outerShdw>
            </a:effectLst>
          </c:spPr>
          <c:marker>
            <c:symbol val="none"/>
          </c:marker>
          <c:dLbls>
            <c:dLbl>
              <c:idx val="0"/>
              <c:layout/>
              <c:numFmt formatCode="General" sourceLinked="1"/>
              <c:spPr>
                <a:noFill/>
                <a:ln>
                  <a:noFill/>
                </a:ln>
                <a:effectLst/>
              </c:spPr>
              <c:txPr>
                <a:bodyPr rot="0" spcFirstLastPara="0" vertOverflow="ellipsis" horzOverflow="clip" vert="horz" wrap="square" lIns="38100" tIns="19050" rIns="288290" bIns="19050" anchor="ctr" anchorCtr="1">
                  <a:spAutoFit/>
                </a:bodyPr>
                <a:lstStyle/>
                <a:p>
                  <a:pPr>
                    <a:defRPr lang="zh-CN" sz="900" b="1" i="0" u="none" strike="noStrike" kern="1200" baseline="0">
                      <a:solidFill>
                        <a:schemeClr val="lt1"/>
                      </a:solidFill>
                      <a:latin typeface="+mn-lt"/>
                      <a:ea typeface="+mn-ea"/>
                      <a:cs typeface="+mn-cs"/>
                    </a:defRPr>
                  </a:pPr>
                </a:p>
              </c:txPr>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41203703703704"/>
                </c:manualLayout>
              </c:layout>
              <c:numFmt formatCode="General" sourceLinked="1"/>
              <c:spPr>
                <a:noFill/>
                <a:ln>
                  <a:noFill/>
                </a:ln>
                <a:effectLst/>
              </c:spPr>
              <c:txPr>
                <a:bodyPr rot="0" spcFirstLastPara="0" vertOverflow="ellipsis" vert="horz" wrap="square" lIns="38100" tIns="0" rIns="38100" bIns="0" anchor="ctr" anchorCtr="1"/>
                <a:lstStyle/>
                <a:p>
                  <a:pPr>
                    <a:defRPr lang="zh-CN" sz="900" b="1" i="0" u="none" strike="noStrike" kern="1200" baseline="0">
                      <a:solidFill>
                        <a:schemeClr val="lt1"/>
                      </a:solidFill>
                      <a:latin typeface="+mn-lt"/>
                      <a:ea typeface="+mn-ea"/>
                      <a:cs typeface="+mn-cs"/>
                    </a:defRPr>
                  </a:pPr>
                </a:p>
              </c:txPr>
              <c:dLblPos val="t"/>
              <c:showLegendKey val="0"/>
              <c:showVal val="1"/>
              <c:showCatName val="0"/>
              <c:showSerName val="0"/>
              <c:showPercent val="0"/>
              <c:showBubbleSize val="0"/>
              <c:extLst>
                <c:ext xmlns:c15="http://schemas.microsoft.com/office/drawing/2012/chart" uri="{CE6537A1-D6FC-4f65-9D91-7224C49458BB}">
                  <c15:layout>
                    <c:manualLayout>
                      <c:w val="0.115972222222222"/>
                      <c:h val="0.12962962962963"/>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strRef>
              <c:f>[折线图.xlsx]雇主满意度!$A$2:$A$6</c:f>
              <c:strCache>
                <c:ptCount val="5"/>
                <c:pt idx="0">
                  <c:v>2017届</c:v>
                </c:pt>
                <c:pt idx="1">
                  <c:v>2018届</c:v>
                </c:pt>
                <c:pt idx="2">
                  <c:v>2019届</c:v>
                </c:pt>
                <c:pt idx="3">
                  <c:v>2020届</c:v>
                </c:pt>
                <c:pt idx="4">
                  <c:v>2021届</c:v>
                </c:pt>
              </c:strCache>
            </c:strRef>
          </c:cat>
          <c:val>
            <c:numRef>
              <c:f>[折线图.xlsx]雇主满意度!$B$2:$B$6</c:f>
              <c:numCache>
                <c:formatCode>0.00%</c:formatCode>
                <c:ptCount val="5"/>
                <c:pt idx="0">
                  <c:v>0.9692</c:v>
                </c:pt>
                <c:pt idx="1">
                  <c:v>0.9773</c:v>
                </c:pt>
                <c:pt idx="2">
                  <c:v>0.979</c:v>
                </c:pt>
                <c:pt idx="3">
                  <c:v>0.9693</c:v>
                </c:pt>
                <c:pt idx="4">
                  <c:v>0.9789</c:v>
                </c:pt>
              </c:numCache>
            </c:numRef>
          </c:val>
          <c:smooth val="0"/>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541344784"/>
        <c:axId val="541345176"/>
      </c:lineChart>
      <c:catAx>
        <c:axId val="541344784"/>
        <c:scaling>
          <c:orientation val="minMax"/>
        </c:scaling>
        <c:delete val="0"/>
        <c:axPos val="b"/>
        <c:numFmt formatCode="General" sourceLinked="0"/>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lang="zh-CN" sz="900" b="0" i="0" u="none" strike="noStrike" kern="1200" spc="100" baseline="0">
                <a:solidFill>
                  <a:schemeClr val="lt1"/>
                </a:solidFill>
                <a:latin typeface="+mn-lt"/>
                <a:ea typeface="+mn-ea"/>
                <a:cs typeface="+mn-cs"/>
              </a:defRPr>
            </a:pPr>
          </a:p>
        </c:txPr>
        <c:crossAx val="541345176"/>
        <c:crosses val="autoZero"/>
        <c:auto val="1"/>
        <c:lblAlgn val="ctr"/>
        <c:lblOffset val="100"/>
        <c:noMultiLvlLbl val="0"/>
      </c:catAx>
      <c:valAx>
        <c:axId val="5413451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solidFill>
                <a:latin typeface="+mn-lt"/>
                <a:ea typeface="+mn-ea"/>
                <a:cs typeface="+mn-cs"/>
              </a:defRPr>
            </a:pPr>
          </a:p>
        </c:txPr>
        <c:crossAx val="541344784"/>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[折线图.xlsx]社会捐赠!$B$1</c:f>
              <c:strCache>
                <c:ptCount val="1"/>
                <c:pt idx="0">
                  <c:v>社会捐赠</c:v>
                </c:pt>
              </c:strCache>
            </c:strRef>
          </c:tx>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strRef>
              <c:f>[折线图.xlsx]社会捐赠!$A$2:$A$6</c:f>
              <c:strCache>
                <c:ptCount val="5"/>
                <c:pt idx="0">
                  <c:v>2017年</c:v>
                </c:pt>
                <c:pt idx="1">
                  <c:v>2018年</c:v>
                </c:pt>
                <c:pt idx="2">
                  <c:v>2019年</c:v>
                </c:pt>
                <c:pt idx="3">
                  <c:v>2020年</c:v>
                </c:pt>
                <c:pt idx="4">
                  <c:v>2021年</c:v>
                </c:pt>
              </c:strCache>
            </c:strRef>
          </c:cat>
          <c:val>
            <c:numRef>
              <c:f>[折线图.xlsx]社会捐赠!$B$2:$B$6</c:f>
              <c:numCache>
                <c:formatCode>General</c:formatCode>
                <c:ptCount val="5"/>
                <c:pt idx="0">
                  <c:v>1.03</c:v>
                </c:pt>
                <c:pt idx="1">
                  <c:v>1.29</c:v>
                </c:pt>
                <c:pt idx="2">
                  <c:v>1.64</c:v>
                </c:pt>
                <c:pt idx="3">
                  <c:v>1.19</c:v>
                </c:pt>
                <c:pt idx="4">
                  <c:v>1.01</c:v>
                </c:pt>
              </c:numCache>
            </c:numRef>
          </c:val>
          <c:smooth val="0"/>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541345960"/>
        <c:axId val="541346352"/>
      </c:lineChart>
      <c:catAx>
        <c:axId val="541345960"/>
        <c:scaling>
          <c:orientation val="minMax"/>
        </c:scaling>
        <c:delete val="0"/>
        <c:axPos val="b"/>
        <c:numFmt formatCode="General" sourceLinked="0"/>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lang="zh-CN" sz="900" b="0" i="0" u="none" strike="noStrike" kern="1200" spc="100" baseline="0">
                <a:solidFill>
                  <a:schemeClr val="lt1"/>
                </a:solidFill>
                <a:latin typeface="+mn-lt"/>
                <a:ea typeface="+mn-ea"/>
                <a:cs typeface="+mn-cs"/>
              </a:defRPr>
            </a:pPr>
          </a:p>
        </c:txPr>
        <c:crossAx val="541346352"/>
        <c:crosses val="autoZero"/>
        <c:auto val="1"/>
        <c:lblAlgn val="ctr"/>
        <c:lblOffset val="100"/>
        <c:noMultiLvlLbl val="0"/>
      </c:catAx>
      <c:valAx>
        <c:axId val="541346352"/>
        <c:scaling>
          <c:orientation val="minMax"/>
        </c:scaling>
        <c:delete val="0"/>
        <c:axPos val="l"/>
        <c:numFmt formatCode="#,##0.00_);[Red]\(#,##0.0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solidFill>
                <a:latin typeface="+mn-lt"/>
                <a:ea typeface="+mn-ea"/>
                <a:cs typeface="+mn-cs"/>
              </a:defRPr>
            </a:pPr>
          </a:p>
        </c:txPr>
        <c:crossAx val="541345960"/>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06908953246262"/>
          <c:y val="0.0551372358513481"/>
          <c:w val="0.928487601741435"/>
          <c:h val="0.829584649016274"/>
        </c:manualLayout>
      </c:layout>
      <c:barChart>
        <c:barDir val="col"/>
        <c:grouping val="clustered"/>
        <c:varyColors val="0"/>
        <c:ser>
          <c:idx val="0"/>
          <c:order val="0"/>
          <c:tx>
            <c:strRef>
              <c:f>'[新建 XLS 工作表.xls]国际大赛'!$C$1</c:f>
              <c:strCache>
                <c:ptCount val="1"/>
                <c:pt idx="0">
                  <c:v>国际技能大赛获奖/项</c:v>
                </c:pt>
              </c:strCache>
            </c:strRef>
          </c:tx>
          <c:spPr>
            <a:solidFill>
              <a:srgbClr val="4F81BD"/>
            </a:solidFill>
            <a:ln>
              <a:noFill/>
            </a:ln>
            <a:effectLst/>
          </c:spPr>
          <c:invertIfNegative val="0"/>
          <c:dLbls>
            <c:dLbl>
              <c:idx val="0"/>
              <c:layout>
                <c:manualLayout>
                  <c:x val="0.00243335914168787"/>
                  <c:y val="0.051446945337620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0070C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7455213596692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0070C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4134129536058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0070C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65910850569627"/>
                  <c:y val="0.04134129536058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0070C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165910850569627"/>
                  <c:y val="0.02434542949012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0070C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0070C0"/>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'[新建 XLS 工作表.xls]国际大赛'!$B$2:$B$6</c:f>
              <c:strCache>
                <c:ptCount val="5"/>
                <c:pt idx="0">
                  <c:v>2017年</c:v>
                </c:pt>
                <c:pt idx="1">
                  <c:v>2018年</c:v>
                </c:pt>
                <c:pt idx="2">
                  <c:v>2019年</c:v>
                </c:pt>
                <c:pt idx="3">
                  <c:v>2020年</c:v>
                </c:pt>
                <c:pt idx="4">
                  <c:v>2021年</c:v>
                </c:pt>
              </c:strCache>
            </c:strRef>
          </c:cat>
          <c:val>
            <c:numRef>
              <c:f>'[新建 XLS 工作表.xls]国际大赛'!$C$2:$C$6</c:f>
              <c:numCache>
                <c:formatCode>General</c:formatCode>
                <c:ptCount val="5"/>
                <c:pt idx="0">
                  <c:v>46</c:v>
                </c:pt>
                <c:pt idx="1">
                  <c:v>195</c:v>
                </c:pt>
                <c:pt idx="2">
                  <c:v>346</c:v>
                </c:pt>
                <c:pt idx="3">
                  <c:v>329</c:v>
                </c:pt>
                <c:pt idx="4">
                  <c:v>193</c:v>
                </c:pt>
              </c:numCache>
            </c:numRef>
          </c:val>
        </c:ser>
        <c:dLbls>
          <c:showLegendKey val="0"/>
          <c:showVal val="0"/>
          <c:showCatName val="0"/>
          <c:showSerName val="0"/>
          <c:showPercent val="0"/>
          <c:showBubbleSize val="0"/>
        </c:dLbls>
        <c:gapWidth val="219"/>
        <c:overlap val="-27"/>
        <c:axId val="540511424"/>
        <c:axId val="543790584"/>
      </c:barChart>
      <c:catAx>
        <c:axId val="540511424"/>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43790584"/>
        <c:crosses val="autoZero"/>
        <c:auto val="1"/>
        <c:lblAlgn val="ctr"/>
        <c:lblOffset val="100"/>
        <c:noMultiLvlLbl val="0"/>
      </c:catAx>
      <c:valAx>
        <c:axId val="543790584"/>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0070C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40511424"/>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74836686699765"/>
          <c:y val="0.258855885588559"/>
          <c:w val="0.85738176117063"/>
          <c:h val="0.608338833883388"/>
        </c:manualLayout>
      </c:layout>
      <c:lineChart>
        <c:grouping val="standard"/>
        <c:varyColors val="0"/>
        <c:ser>
          <c:idx val="0"/>
          <c:order val="0"/>
          <c:spPr>
            <a:ln w="34925" cap="rnd">
              <a:solidFill>
                <a:schemeClr val="lt1"/>
              </a:solidFill>
              <a:round/>
            </a:ln>
            <a:effectLst>
              <a:outerShdw dist="25400" dir="2700000" algn="tl" rotWithShape="0">
                <a:srgbClr val="4F81BD"/>
              </a:outerShdw>
            </a:effectLst>
          </c:spPr>
          <c:marker>
            <c:symbol val="none"/>
          </c:marker>
          <c:dLbls>
            <c:dLbl>
              <c:idx val="0"/>
              <c:layout>
                <c:manualLayout>
                  <c:x val="-0.0452777777777778"/>
                  <c:y val="-0.1084031079545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1931710559866"/>
                  <c:y val="-0.11235557326469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1133209485302"/>
                  <c:y val="-0.1148837209302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5019336077417"/>
                  <c:y val="-0.13644685193062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33333333333333"/>
                  <c:y val="-0.113742737606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rgbClr val="4F81BD">
                          <a:lumMod val="60000"/>
                          <a:lumOff val="40000"/>
                        </a:srgbClr>
                      </a:solidFill>
                    </a:ln>
                    <a:effectLst/>
                  </c:spPr>
                </c15:leaderLines>
              </c:ext>
            </c:extLst>
          </c:dLbls>
          <c:cat>
            <c:strRef>
              <c:f>'[近五年高职毕业生就业率2017-2021.xlsx]Sheet1'!$A$2:$A$6</c:f>
              <c:strCache>
                <c:ptCount val="5"/>
                <c:pt idx="0">
                  <c:v>2017届</c:v>
                </c:pt>
                <c:pt idx="1">
                  <c:v>2018届</c:v>
                </c:pt>
                <c:pt idx="2">
                  <c:v>2019届</c:v>
                </c:pt>
                <c:pt idx="3">
                  <c:v>2020届</c:v>
                </c:pt>
                <c:pt idx="4">
                  <c:v>2021届</c:v>
                </c:pt>
              </c:strCache>
            </c:strRef>
          </c:cat>
          <c:val>
            <c:numRef>
              <c:f>'[近五年高职毕业生就业率2017-2021.xlsx]Sheet1'!$B$2:$B$6</c:f>
              <c:numCache>
                <c:formatCode>0.00%</c:formatCode>
                <c:ptCount val="5"/>
                <c:pt idx="0">
                  <c:v>0.9692</c:v>
                </c:pt>
                <c:pt idx="1">
                  <c:v>0.9773</c:v>
                </c:pt>
                <c:pt idx="2">
                  <c:v>0.979</c:v>
                </c:pt>
                <c:pt idx="3">
                  <c:v>0.9269</c:v>
                </c:pt>
                <c:pt idx="4">
                  <c:v>0.9531</c:v>
                </c:pt>
              </c:numCache>
            </c:numRef>
          </c:val>
          <c:smooth val="0"/>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242058096"/>
        <c:axId val="549910056"/>
      </c:lineChart>
      <c:catAx>
        <c:axId val="242058096"/>
        <c:scaling>
          <c:orientation val="minMax"/>
        </c:scaling>
        <c:delete val="0"/>
        <c:axPos val="b"/>
        <c:numFmt formatCode="General" sourceLinked="0"/>
        <c:majorTickMark val="none"/>
        <c:minorTickMark val="none"/>
        <c:tickLblPos val="nextTo"/>
        <c:spPr>
          <a:noFill/>
          <a:ln w="12700" cap="flat" cmpd="sng" algn="ctr">
            <a:solidFill>
              <a:schemeClr val="lt1"/>
            </a:solidFill>
            <a:round/>
          </a:ln>
          <a:effectLst/>
        </c:spPr>
        <c:txPr>
          <a:bodyPr rot="-60000000" spcFirstLastPara="0" vertOverflow="ellipsis" vert="horz" wrap="square" anchor="ctr" anchorCtr="1"/>
          <a:lstStyle/>
          <a:p>
            <a:pPr>
              <a:defRPr lang="zh-CN" sz="1000" b="0" i="0" u="none" strike="noStrike" kern="1200" spc="1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49910056"/>
        <c:crosses val="autoZero"/>
        <c:auto val="1"/>
        <c:lblAlgn val="ctr"/>
        <c:lblOffset val="100"/>
        <c:noMultiLvlLbl val="0"/>
      </c:catAx>
      <c:valAx>
        <c:axId val="549910056"/>
        <c:scaling>
          <c:orientation val="minMax"/>
        </c:scaling>
        <c:delete val="0"/>
        <c:axPos val="l"/>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2058096"/>
        <c:crosses val="autoZero"/>
        <c:crossBetween val="between"/>
      </c:valAx>
      <c:spPr>
        <a:noFill/>
        <a:ln>
          <a:noFill/>
        </a:ln>
        <a:effectLst/>
      </c:spPr>
    </c:plotArea>
    <c:plotVisOnly val="1"/>
    <c:dispBlanksAs val="gap"/>
    <c:showDLblsOverMax val="0"/>
  </c:chart>
  <c:spPr>
    <a:solidFill>
      <a:srgbClr val="4F81BD"/>
    </a:solidFill>
    <a:ln w="9525" cap="flat" cmpd="sng" algn="ctr">
      <a:solidFill>
        <a:srgbClr val="4F81BD"/>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9536320625193"/>
          <c:y val="0.103520692864835"/>
          <c:w val="0.881934408004447"/>
          <c:h val="0.706043065524427"/>
        </c:manualLayout>
      </c:layout>
      <c:lineChart>
        <c:grouping val="standard"/>
        <c:varyColors val="0"/>
        <c:ser>
          <c:idx val="0"/>
          <c:order val="0"/>
          <c:spPr>
            <a:ln w="34925" cap="rnd">
              <a:solidFill>
                <a:schemeClr val="lt1"/>
              </a:solidFill>
              <a:round/>
            </a:ln>
            <a:effectLst>
              <a:outerShdw dist="25400" dir="2700000" algn="tl" rotWithShape="0">
                <a:srgbClr val="4F81BD"/>
              </a:outerShdw>
            </a:effectLst>
          </c:spPr>
          <c:marker>
            <c:symbol val="none"/>
          </c:marker>
          <c:dLbls>
            <c:dLbl>
              <c:idx val="0"/>
              <c:layout>
                <c:manualLayout>
                  <c:x val="-0.0397314481026525"/>
                  <c:y val="-0.08177100083779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07931551252992"/>
                  <c:y val="-0.07834308359686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06134430686338"/>
                  <c:y val="-0.09620838214720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91123479319547"/>
                  <c:y val="-0.1109696529954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70019632113329"/>
                  <c:y val="-0.1129349575985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rgbClr val="4F81BD">
                          <a:lumMod val="60000"/>
                          <a:lumOff val="40000"/>
                        </a:srgbClr>
                      </a:solidFill>
                    </a:ln>
                    <a:effectLst/>
                  </c:spPr>
                </c15:leaderLines>
              </c:ext>
            </c:extLst>
          </c:dLbls>
          <c:cat>
            <c:strRef>
              <c:f>Sheet1!$A$11:$A$15</c:f>
              <c:strCache>
                <c:ptCount val="5"/>
                <c:pt idx="0">
                  <c:v>2017届</c:v>
                </c:pt>
                <c:pt idx="1">
                  <c:v>2018届</c:v>
                </c:pt>
                <c:pt idx="2">
                  <c:v>2019届</c:v>
                </c:pt>
                <c:pt idx="3">
                  <c:v>2020届</c:v>
                </c:pt>
                <c:pt idx="4">
                  <c:v>2021届</c:v>
                </c:pt>
              </c:strCache>
            </c:strRef>
          </c:cat>
          <c:val>
            <c:numRef>
              <c:f>Sheet1!$B$11:$B$15</c:f>
              <c:numCache>
                <c:formatCode>General</c:formatCode>
                <c:ptCount val="5"/>
                <c:pt idx="0">
                  <c:v>3095.68</c:v>
                </c:pt>
                <c:pt idx="1">
                  <c:v>3363.92</c:v>
                </c:pt>
                <c:pt idx="2">
                  <c:v>3410.4</c:v>
                </c:pt>
                <c:pt idx="3">
                  <c:v>3650.91</c:v>
                </c:pt>
                <c:pt idx="4">
                  <c:v>3798.32</c:v>
                </c:pt>
              </c:numCache>
            </c:numRef>
          </c:val>
          <c:smooth val="0"/>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243891320"/>
        <c:axId val="243891712"/>
      </c:lineChart>
      <c:catAx>
        <c:axId val="243891320"/>
        <c:scaling>
          <c:orientation val="minMax"/>
        </c:scaling>
        <c:delete val="0"/>
        <c:axPos val="b"/>
        <c:numFmt formatCode="General" sourceLinked="0"/>
        <c:majorTickMark val="none"/>
        <c:minorTickMark val="none"/>
        <c:tickLblPos val="nextTo"/>
        <c:spPr>
          <a:noFill/>
          <a:ln w="12700" cap="flat" cmpd="sng" algn="ctr">
            <a:solidFill>
              <a:schemeClr val="lt1"/>
            </a:solidFill>
            <a:round/>
          </a:ln>
          <a:effectLst/>
        </c:spPr>
        <c:txPr>
          <a:bodyPr rot="-60000000" spcFirstLastPara="0" vertOverflow="ellipsis" vert="horz" wrap="square" anchor="ctr" anchorCtr="1"/>
          <a:lstStyle/>
          <a:p>
            <a:pPr>
              <a:defRPr lang="zh-CN" sz="1000" b="0" i="0" u="none" strike="noStrike" kern="1200" spc="1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3891712"/>
        <c:crosses val="autoZero"/>
        <c:auto val="1"/>
        <c:lblAlgn val="ctr"/>
        <c:lblOffset val="100"/>
        <c:noMultiLvlLbl val="0"/>
      </c:catAx>
      <c:valAx>
        <c:axId val="243891712"/>
        <c:scaling>
          <c:orientation val="minMax"/>
          <c:max val="5000"/>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3891320"/>
        <c:crosses val="autoZero"/>
        <c:crossBetween val="between"/>
        <c:majorUnit val="1000"/>
        <c:minorUnit val="500"/>
      </c:valAx>
      <c:spPr>
        <a:noFill/>
        <a:ln>
          <a:noFill/>
        </a:ln>
        <a:effectLst/>
      </c:spPr>
    </c:plotArea>
    <c:plotVisOnly val="1"/>
    <c:dispBlanksAs val="gap"/>
    <c:showDLblsOverMax val="0"/>
  </c:chart>
  <c:spPr>
    <a:solidFill>
      <a:srgbClr val="4F81BD"/>
    </a:solidFill>
    <a:ln w="9525" cap="flat" cmpd="sng" algn="ctr">
      <a:solidFill>
        <a:srgbClr val="4F81BD"/>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68945566182548"/>
          <c:y val="0.0628350208457415"/>
          <c:w val="0.879135671271697"/>
          <c:h val="0.790470518165575"/>
        </c:manualLayout>
      </c:layout>
      <c:lineChart>
        <c:grouping val="standard"/>
        <c:varyColors val="0"/>
        <c:ser>
          <c:idx val="0"/>
          <c:order val="0"/>
          <c:spPr>
            <a:ln w="34925" cap="rnd">
              <a:solidFill>
                <a:schemeClr val="lt1"/>
              </a:solidFill>
              <a:round/>
            </a:ln>
            <a:effectLst>
              <a:outerShdw dist="25400" dir="2700000" algn="tl" rotWithShape="0">
                <a:srgbClr val="4F81BD"/>
              </a:outerShdw>
            </a:effectLst>
          </c:spPr>
          <c:marker>
            <c:symbol val="none"/>
          </c:marker>
          <c:dLbls>
            <c:dLbl>
              <c:idx val="0"/>
              <c:layout>
                <c:manualLayout>
                  <c:x val="-0.0648941394000817"/>
                  <c:y val="-0.11865208333333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1285866099894"/>
                  <c:y val="-0.09402000198530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39475694797478"/>
                  <c:y val="-0.094436668651975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90688993410088"/>
                  <c:y val="-0.12319287274171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21124950807408"/>
                  <c:y val="-0.08991587254318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rgbClr val="4F81BD">
                          <a:lumMod val="60000"/>
                          <a:lumOff val="40000"/>
                        </a:srgbClr>
                      </a:solidFill>
                    </a:ln>
                    <a:effectLst/>
                  </c:spPr>
                </c15:leaderLines>
              </c:ext>
            </c:extLst>
          </c:dLbls>
          <c:cat>
            <c:strRef>
              <c:f>'[近五年山东高职毕业生理工农医类专业相关度（2017-2021）.xlsx]Sheet1'!$A$13:$A$17</c:f>
              <c:strCache>
                <c:ptCount val="5"/>
                <c:pt idx="0">
                  <c:v>2017届</c:v>
                </c:pt>
                <c:pt idx="1">
                  <c:v>2018届</c:v>
                </c:pt>
                <c:pt idx="2">
                  <c:v>2019届</c:v>
                </c:pt>
                <c:pt idx="3">
                  <c:v>2020届</c:v>
                </c:pt>
                <c:pt idx="4">
                  <c:v>2021届</c:v>
                </c:pt>
              </c:strCache>
            </c:strRef>
          </c:cat>
          <c:val>
            <c:numRef>
              <c:f>'[近五年山东高职毕业生理工农医类专业相关度（2017-2021）.xlsx]Sheet1'!$B$13:$B$17</c:f>
              <c:numCache>
                <c:formatCode>0.00%</c:formatCode>
                <c:ptCount val="5"/>
                <c:pt idx="0">
                  <c:v>0.7854</c:v>
                </c:pt>
                <c:pt idx="1">
                  <c:v>0.7636</c:v>
                </c:pt>
                <c:pt idx="2">
                  <c:v>0.7436</c:v>
                </c:pt>
                <c:pt idx="3">
                  <c:v>0.6929</c:v>
                </c:pt>
                <c:pt idx="4">
                  <c:v>0.7127</c:v>
                </c:pt>
              </c:numCache>
            </c:numRef>
          </c:val>
          <c:smooth val="0"/>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243892496"/>
        <c:axId val="243892888"/>
      </c:lineChart>
      <c:catAx>
        <c:axId val="243892496"/>
        <c:scaling>
          <c:orientation val="minMax"/>
        </c:scaling>
        <c:delete val="0"/>
        <c:axPos val="b"/>
        <c:numFmt formatCode="General" sourceLinked="0"/>
        <c:majorTickMark val="none"/>
        <c:minorTickMark val="none"/>
        <c:tickLblPos val="nextTo"/>
        <c:spPr>
          <a:noFill/>
          <a:ln w="12700" cap="flat" cmpd="sng" algn="ctr">
            <a:solidFill>
              <a:schemeClr val="lt1"/>
            </a:solidFill>
            <a:round/>
          </a:ln>
          <a:effectLst/>
        </c:spPr>
        <c:txPr>
          <a:bodyPr rot="-60000000" spcFirstLastPara="0" vertOverflow="ellipsis" vert="horz" wrap="square" anchor="ctr" anchorCtr="1"/>
          <a:lstStyle/>
          <a:p>
            <a:pPr>
              <a:defRPr lang="zh-CN" sz="1000" b="0" i="0" u="none" strike="noStrike" kern="1200" spc="1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3892888"/>
        <c:crosses val="autoZero"/>
        <c:auto val="1"/>
        <c:lblAlgn val="ctr"/>
        <c:lblOffset val="100"/>
        <c:noMultiLvlLbl val="0"/>
      </c:catAx>
      <c:valAx>
        <c:axId val="243892888"/>
        <c:scaling>
          <c:orientation val="minMax"/>
          <c:max val="1"/>
          <c:min val="0.5"/>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3892496"/>
        <c:crosses val="autoZero"/>
        <c:crossBetween val="between"/>
      </c:valAx>
      <c:spPr>
        <a:noFill/>
        <a:ln>
          <a:noFill/>
        </a:ln>
        <a:effectLst/>
      </c:spPr>
    </c:plotArea>
    <c:plotVisOnly val="1"/>
    <c:dispBlanksAs val="gap"/>
    <c:showDLblsOverMax val="0"/>
  </c:chart>
  <c:spPr>
    <a:solidFill>
      <a:srgbClr val="4F81BD"/>
    </a:solidFill>
    <a:ln w="9525" cap="flat" cmpd="sng" algn="ctr">
      <a:solidFill>
        <a:srgbClr val="4F81BD"/>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972222222222"/>
          <c:y val="0.177968062948392"/>
          <c:w val="0.857833333333333"/>
          <c:h val="0.706179125202499"/>
        </c:manualLayout>
      </c:layout>
      <c:lineChart>
        <c:grouping val="standard"/>
        <c:varyColors val="0"/>
        <c:ser>
          <c:idx val="0"/>
          <c:order val="0"/>
          <c:spPr>
            <a:ln w="34925" cap="rnd">
              <a:solidFill>
                <a:srgbClr val="FFFFFF"/>
              </a:solidFill>
              <a:round/>
            </a:ln>
            <a:effectLst>
              <a:outerShdw dist="25400" dir="2700000" algn="tl" rotWithShape="0">
                <a:srgbClr val="4F81BD"/>
              </a:outerShdw>
            </a:effectLst>
          </c:spPr>
          <c:marker>
            <c:symbol val="none"/>
          </c:marker>
          <c:dLbls>
            <c:dLbl>
              <c:idx val="0"/>
              <c:layout>
                <c:manualLayout>
                  <c:x val="-0.0930555555555556"/>
                  <c:y val="-0.053691275167785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39579697498545"/>
                  <c:y val="-0.08184039642239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68448225712623"/>
                  <c:y val="-0.095153141099068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74476439790576"/>
                  <c:y val="-0.1075630252100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69444444444444"/>
                  <c:y val="-0.076818508009544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FFFFF"/>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noFill/>
                    </a:ln>
                    <a:effectLst/>
                  </c:spPr>
                </c15:leaderLines>
              </c:ext>
            </c:extLst>
          </c:dLbls>
          <c:cat>
            <c:strRef>
              <c:f>'[近五年对母校满意度2017-2021.xlsx]Sheet1'!$A$13:$A$17</c:f>
              <c:strCache>
                <c:ptCount val="5"/>
                <c:pt idx="0">
                  <c:v>2017届</c:v>
                </c:pt>
                <c:pt idx="1">
                  <c:v>2018届</c:v>
                </c:pt>
                <c:pt idx="2">
                  <c:v>2019届</c:v>
                </c:pt>
                <c:pt idx="3">
                  <c:v>2020届</c:v>
                </c:pt>
                <c:pt idx="4">
                  <c:v>2021届</c:v>
                </c:pt>
              </c:strCache>
            </c:strRef>
          </c:cat>
          <c:val>
            <c:numRef>
              <c:f>'[近五年对母校满意度2017-2021.xlsx]Sheet1'!$B$13:$B$17</c:f>
              <c:numCache>
                <c:formatCode>0.00%</c:formatCode>
                <c:ptCount val="5"/>
                <c:pt idx="0">
                  <c:v>0.9536</c:v>
                </c:pt>
                <c:pt idx="1">
                  <c:v>0.9689</c:v>
                </c:pt>
                <c:pt idx="2">
                  <c:v>0.9702</c:v>
                </c:pt>
                <c:pt idx="3">
                  <c:v>0.9653</c:v>
                </c:pt>
                <c:pt idx="4">
                  <c:v>0.9796</c:v>
                </c:pt>
              </c:numCache>
            </c:numRef>
          </c:val>
          <c:smooth val="0"/>
        </c:ser>
        <c:dLbls>
          <c:showLegendKey val="0"/>
          <c:showVal val="1"/>
          <c:showCatName val="0"/>
          <c:showSerName val="0"/>
          <c:showPercent val="0"/>
          <c:showBubbleSize val="0"/>
        </c:dLbls>
        <c:dropLines>
          <c:spPr>
            <a:ln w="9525" cap="flat" cmpd="sng" algn="ctr">
              <a:gradFill>
                <a:gsLst>
                  <a:gs pos="0">
                    <a:srgbClr val="FFFFFF"/>
                  </a:gs>
                  <a:gs pos="100000">
                    <a:srgbClr val="FFFFFF">
                      <a:alpha val="0"/>
                    </a:srgbClr>
                  </a:gs>
                </a:gsLst>
                <a:lin ang="5400000" scaled="0"/>
              </a:gradFill>
              <a:round/>
            </a:ln>
            <a:effectLst/>
          </c:spPr>
        </c:dropLines>
        <c:marker val="0"/>
        <c:smooth val="0"/>
        <c:axId val="243893672"/>
        <c:axId val="243894064"/>
      </c:lineChart>
      <c:catAx>
        <c:axId val="243893672"/>
        <c:scaling>
          <c:orientation val="minMax"/>
        </c:scaling>
        <c:delete val="0"/>
        <c:axPos val="b"/>
        <c:numFmt formatCode="General" sourceLinked="0"/>
        <c:majorTickMark val="none"/>
        <c:minorTickMark val="none"/>
        <c:tickLblPos val="nextTo"/>
        <c:spPr>
          <a:noFill/>
          <a:ln w="12700" cap="flat" cmpd="sng" algn="ctr">
            <a:solidFill>
              <a:srgbClr val="FFFFFF"/>
            </a:solidFill>
            <a:round/>
          </a:ln>
          <a:effectLst/>
        </c:spPr>
        <c:txPr>
          <a:bodyPr rot="-60000000" spcFirstLastPara="0" vertOverflow="ellipsis" vert="horz" wrap="square" anchor="ctr" anchorCtr="1"/>
          <a:lstStyle/>
          <a:p>
            <a:pPr>
              <a:defRPr lang="zh-CN" sz="1000" b="0" i="0" u="none" strike="noStrike" kern="1200" spc="100" baseline="0">
                <a:solidFill>
                  <a:srgbClr val="FFFFFF"/>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3894064"/>
        <c:crosses val="autoZero"/>
        <c:auto val="1"/>
        <c:lblAlgn val="ctr"/>
        <c:lblOffset val="100"/>
        <c:noMultiLvlLbl val="0"/>
      </c:catAx>
      <c:valAx>
        <c:axId val="243894064"/>
        <c:scaling>
          <c:orientation val="minMax"/>
          <c:min val="0.9"/>
        </c:scaling>
        <c:delete val="0"/>
        <c:axPos val="l"/>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rgbClr val="FFFFFF"/>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3893672"/>
        <c:crosses val="autoZero"/>
        <c:crossBetween val="between"/>
      </c:valAx>
      <c:spPr>
        <a:noFill/>
        <a:ln>
          <a:noFill/>
        </a:ln>
        <a:effectLst/>
      </c:spPr>
    </c:plotArea>
    <c:plotVisOnly val="1"/>
    <c:dispBlanksAs val="gap"/>
    <c:showDLblsOverMax val="0"/>
  </c:chart>
  <c:spPr>
    <a:solidFill>
      <a:srgbClr val="4F81BD"/>
    </a:solidFill>
    <a:ln w="9525" cap="flat" cmpd="sng" algn="ctr">
      <a:solidFill>
        <a:srgbClr val="4F81BD"/>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67911941294196"/>
          <c:y val="0.126474926253687"/>
          <c:w val="0.88285523682455"/>
          <c:h val="0.779941002949852"/>
        </c:manualLayout>
      </c:layout>
      <c:lineChart>
        <c:grouping val="standard"/>
        <c:varyColors val="0"/>
        <c:ser>
          <c:idx val="0"/>
          <c:order val="0"/>
          <c:tx>
            <c:strRef>
              <c:f>[计分卡20211218092226.xlsx]作图!$D$22</c:f>
              <c:strCache>
                <c:ptCount val="1"/>
                <c:pt idx="0">
                  <c:v>地方</c:v>
                </c:pt>
              </c:strCache>
            </c:strRef>
          </c:tx>
          <c:spPr>
            <a:ln w="28575" cap="rnd">
              <a:solidFill>
                <a:srgbClr val="0070C0"/>
              </a:solidFill>
              <a:round/>
            </a:ln>
            <a:effectLst/>
          </c:spPr>
          <c:marker>
            <c:symbol val="circle"/>
            <c:size val="5"/>
            <c:spPr>
              <a:solidFill>
                <a:srgbClr val="4F81BD"/>
              </a:solidFill>
              <a:ln w="9525">
                <a:solidFill>
                  <a:srgbClr val="4F81BD"/>
                </a:solidFill>
              </a:ln>
              <a:effectLst/>
            </c:spPr>
          </c:marker>
          <c:dLbls>
            <c:dLbl>
              <c:idx val="0"/>
              <c:layout>
                <c:manualLayout>
                  <c:x val="-0.0542377366570365"/>
                  <c:y val="-0.046296340525538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57221925546531"/>
                  <c:y val="-0.05780366624772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5958766337553"/>
                  <c:y val="-0.049491773206405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78084533079211"/>
                  <c:y val="-0.056331627120795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44286136417313"/>
                  <c:y val="0.05600051391266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rgbClr val="0070C0"/>
              </a:solid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A6A6A6">
                          <a:lumMod val="35000"/>
                          <a:lumOff val="65000"/>
                        </a:srgbClr>
                      </a:solidFill>
                      <a:round/>
                    </a:ln>
                    <a:effectLst/>
                  </c:spPr>
                </c15:leaderLines>
              </c:ext>
            </c:extLst>
          </c:dLbls>
          <c:cat>
            <c:strRef>
              <c:f>[计分卡20211218092226.xlsx]作图!$C$23:$C$27</c:f>
              <c:strCache>
                <c:ptCount val="5"/>
                <c:pt idx="0">
                  <c:v>2014届</c:v>
                </c:pt>
                <c:pt idx="1">
                  <c:v>2015届</c:v>
                </c:pt>
                <c:pt idx="2">
                  <c:v>2016届</c:v>
                </c:pt>
                <c:pt idx="3">
                  <c:v>2017届</c:v>
                </c:pt>
                <c:pt idx="4">
                  <c:v>2018届</c:v>
                </c:pt>
              </c:strCache>
            </c:strRef>
          </c:cat>
          <c:val>
            <c:numRef>
              <c:f>[计分卡20211218092226.xlsx]作图!$D$23:$D$27</c:f>
              <c:numCache>
                <c:formatCode>0.00%</c:formatCode>
                <c:ptCount val="5"/>
                <c:pt idx="0">
                  <c:v>0.488</c:v>
                </c:pt>
                <c:pt idx="1">
                  <c:v>0.531</c:v>
                </c:pt>
                <c:pt idx="2">
                  <c:v>0.6219</c:v>
                </c:pt>
                <c:pt idx="3">
                  <c:v>0.6294</c:v>
                </c:pt>
                <c:pt idx="4">
                  <c:v>0.6456</c:v>
                </c:pt>
              </c:numCache>
            </c:numRef>
          </c:val>
          <c:smooth val="0"/>
        </c:ser>
        <c:ser>
          <c:idx val="1"/>
          <c:order val="1"/>
          <c:tx>
            <c:strRef>
              <c:f>[计分卡20211218092226.xlsx]作图!$E$22</c:f>
              <c:strCache>
                <c:ptCount val="1"/>
                <c:pt idx="0">
                  <c:v>行业</c:v>
                </c:pt>
              </c:strCache>
            </c:strRef>
          </c:tx>
          <c:spPr>
            <a:ln w="28575" cap="rnd">
              <a:solidFill>
                <a:srgbClr val="FF0000"/>
              </a:solidFill>
              <a:round/>
            </a:ln>
            <a:effectLst/>
          </c:spPr>
          <c:marker>
            <c:symbol val="circle"/>
            <c:size val="5"/>
            <c:spPr>
              <a:gradFill>
                <a:gsLst>
                  <a:gs pos="0">
                    <a:srgbClr val="FE4444"/>
                  </a:gs>
                  <a:gs pos="100000">
                    <a:srgbClr val="832B2B"/>
                  </a:gs>
                </a:gsLst>
                <a:path path="circle">
                  <a:fillToRect l="50000" t="50000" r="50000" b="50000"/>
                </a:path>
                <a:tileRect/>
              </a:gradFill>
              <a:ln w="9525">
                <a:solidFill>
                  <a:srgbClr val="C0504D"/>
                </a:solidFill>
              </a:ln>
              <a:effectLst/>
            </c:spPr>
          </c:marker>
          <c:dLbls>
            <c:dLbl>
              <c:idx val="0"/>
              <c:layout>
                <c:manualLayout>
                  <c:x val="-0.0885015515775125"/>
                  <c:y val="0.025999212517290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5958766337553"/>
                  <c:y val="0.056331627120795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873251168515246"/>
                  <c:y val="0.05237855101744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rgbClr val="FF0000"/>
              </a:solid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A6A6A6">
                          <a:lumMod val="35000"/>
                          <a:lumOff val="65000"/>
                        </a:srgbClr>
                      </a:solidFill>
                      <a:round/>
                    </a:ln>
                    <a:effectLst/>
                  </c:spPr>
                </c15:leaderLines>
              </c:ext>
            </c:extLst>
          </c:dLbls>
          <c:cat>
            <c:strRef>
              <c:f>[计分卡20211218092226.xlsx]作图!$C$23:$C$27</c:f>
              <c:strCache>
                <c:ptCount val="5"/>
                <c:pt idx="0">
                  <c:v>2014届</c:v>
                </c:pt>
                <c:pt idx="1">
                  <c:v>2015届</c:v>
                </c:pt>
                <c:pt idx="2">
                  <c:v>2016届</c:v>
                </c:pt>
                <c:pt idx="3">
                  <c:v>2017届</c:v>
                </c:pt>
                <c:pt idx="4">
                  <c:v>2018届</c:v>
                </c:pt>
              </c:strCache>
            </c:strRef>
          </c:cat>
          <c:val>
            <c:numRef>
              <c:f>[计分卡20211218092226.xlsx]作图!$E$23:$E$27</c:f>
              <c:numCache>
                <c:formatCode>0.00%</c:formatCode>
                <c:ptCount val="5"/>
                <c:pt idx="0">
                  <c:v>0.448</c:v>
                </c:pt>
                <c:pt idx="1">
                  <c:v>0.503</c:v>
                </c:pt>
                <c:pt idx="2">
                  <c:v>0.5965</c:v>
                </c:pt>
                <c:pt idx="3">
                  <c:v>0.5924</c:v>
                </c:pt>
                <c:pt idx="4">
                  <c:v>0.7011</c:v>
                </c:pt>
              </c:numCache>
            </c:numRef>
          </c:val>
          <c:smooth val="0"/>
        </c:ser>
        <c:ser>
          <c:idx val="2"/>
          <c:order val="2"/>
          <c:tx>
            <c:strRef>
              <c:f>[计分卡20211218092226.xlsx]作图!$F$22</c:f>
              <c:strCache>
                <c:ptCount val="1"/>
                <c:pt idx="0">
                  <c:v>民办</c:v>
                </c:pt>
              </c:strCache>
            </c:strRef>
          </c:tx>
          <c:spPr>
            <a:ln w="28575" cap="rnd">
              <a:solidFill>
                <a:srgbClr val="00B050"/>
              </a:solidFill>
              <a:miter lim="800000"/>
            </a:ln>
            <a:effectLst/>
          </c:spPr>
          <c:marker>
            <c:symbol val="circle"/>
            <c:size val="5"/>
            <c:spPr>
              <a:gradFill>
                <a:gsLst>
                  <a:gs pos="0">
                    <a:srgbClr val="14CD68"/>
                  </a:gs>
                  <a:gs pos="100000">
                    <a:srgbClr val="0B6E38"/>
                  </a:gs>
                </a:gsLst>
                <a:path path="circle">
                  <a:fillToRect l="50000" t="50000" r="50000" b="50000"/>
                </a:path>
                <a:tileRect/>
              </a:gradFill>
              <a:ln w="9525">
                <a:solidFill>
                  <a:srgbClr val="00B050"/>
                </a:solidFill>
              </a:ln>
              <a:effectLst/>
            </c:spPr>
          </c:marker>
          <c:dPt>
            <c:idx val="2"/>
            <c:marker>
              <c:symbol val="circle"/>
              <c:size val="5"/>
              <c:spPr>
                <a:gradFill>
                  <a:gsLst>
                    <a:gs pos="0">
                      <a:srgbClr val="14CD68">
                        <a:lumMod val="91000"/>
                      </a:srgbClr>
                    </a:gs>
                    <a:gs pos="100000">
                      <a:srgbClr val="0B6E38"/>
                    </a:gs>
                  </a:gsLst>
                  <a:path path="circle">
                    <a:fillToRect l="50000" t="50000" r="50000" b="50000"/>
                  </a:path>
                  <a:tileRect/>
                </a:gradFill>
                <a:ln w="9525">
                  <a:solidFill>
                    <a:srgbClr val="00B050"/>
                  </a:solidFill>
                </a:ln>
                <a:effectLst/>
              </c:spPr>
            </c:marker>
            <c:bubble3D val="0"/>
          </c:dPt>
          <c:dLbls>
            <c:dLbl>
              <c:idx val="0"/>
              <c:layout>
                <c:manualLayout>
                  <c:x val="-0.0525958766337554"/>
                  <c:y val="0.0779976375518705"/>
                </c:manualLayout>
              </c:layout>
              <c:numFmt formatCode="General" sourceLinked="1"/>
              <c:spPr>
                <a:gradFill>
                  <a:gsLst>
                    <a:gs pos="0">
                      <a:srgbClr val="14CD68"/>
                    </a:gs>
                    <a:gs pos="100000">
                      <a:srgbClr val="0B6E38"/>
                    </a:gs>
                  </a:gsLst>
                  <a:lin ang="5400000" scaled="0"/>
                </a:gradFill>
                <a:ln>
                  <a:noFill/>
                </a:ln>
                <a:effectLst/>
              </c:spPr>
              <c:txPr>
                <a:bodyPr rot="0" spcFirstLastPara="1" vertOverflow="ellipsis" vert="horz" wrap="square" lIns="38100" tIns="19050" rIns="38100" bIns="19050" anchor="ctr" anchorCtr="1"/>
                <a:lstStyle/>
                <a:p>
                  <a:pPr>
                    <a:defRPr lang="zh-CN" sz="9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78084533079211"/>
                  <c:y val="0.06066482920701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5958766337553"/>
                  <c:y val="0.04333202086215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354775489192829"/>
                  <c:y val="0.01878923936565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49895882966725"/>
                  <c:y val="0.047665222948365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gradFill>
                <a:gsLst>
                  <a:gs pos="0">
                    <a:srgbClr val="14CD68"/>
                  </a:gs>
                  <a:gs pos="100000">
                    <a:srgbClr val="0B6E38"/>
                  </a:gs>
                </a:gsLst>
                <a:lin ang="5400000" scaled="0"/>
              </a:grad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A6A6A6">
                          <a:lumMod val="35000"/>
                          <a:lumOff val="65000"/>
                        </a:srgbClr>
                      </a:solidFill>
                      <a:round/>
                    </a:ln>
                    <a:effectLst/>
                  </c:spPr>
                </c15:leaderLines>
              </c:ext>
            </c:extLst>
          </c:dLbls>
          <c:cat>
            <c:strRef>
              <c:f>[计分卡20211218092226.xlsx]作图!$C$23:$C$27</c:f>
              <c:strCache>
                <c:ptCount val="5"/>
                <c:pt idx="0">
                  <c:v>2014届</c:v>
                </c:pt>
                <c:pt idx="1">
                  <c:v>2015届</c:v>
                </c:pt>
                <c:pt idx="2">
                  <c:v>2016届</c:v>
                </c:pt>
                <c:pt idx="3">
                  <c:v>2017届</c:v>
                </c:pt>
                <c:pt idx="4">
                  <c:v>2018届</c:v>
                </c:pt>
              </c:strCache>
            </c:strRef>
          </c:cat>
          <c:val>
            <c:numRef>
              <c:f>[计分卡20211218092226.xlsx]作图!$F$23:$F$27</c:f>
              <c:numCache>
                <c:formatCode>0.00%</c:formatCode>
                <c:ptCount val="5"/>
                <c:pt idx="0">
                  <c:v>0.429</c:v>
                </c:pt>
                <c:pt idx="1">
                  <c:v>0.431</c:v>
                </c:pt>
                <c:pt idx="2">
                  <c:v>0.3629</c:v>
                </c:pt>
                <c:pt idx="3">
                  <c:v>0.6061</c:v>
                </c:pt>
                <c:pt idx="4">
                  <c:v>0.5355</c:v>
                </c:pt>
              </c:numCache>
            </c:numRef>
          </c:val>
          <c:smooth val="0"/>
        </c:ser>
        <c:ser>
          <c:idx val="3"/>
          <c:order val="3"/>
          <c:tx>
            <c:strRef>
              <c:f>[计分卡20211218092226.xlsx]作图!$G$22</c:f>
              <c:strCache>
                <c:ptCount val="1"/>
                <c:pt idx="0">
                  <c:v>全省高职</c:v>
                </c:pt>
              </c:strCache>
            </c:strRef>
          </c:tx>
          <c:spPr>
            <a:ln w="28575" cap="rnd">
              <a:solidFill>
                <a:srgbClr val="7030A0"/>
              </a:solidFill>
              <a:round/>
            </a:ln>
            <a:effectLst/>
          </c:spPr>
          <c:marker>
            <c:symbol val="circle"/>
            <c:size val="5"/>
            <c:spPr>
              <a:gradFill>
                <a:gsLst>
                  <a:gs pos="0">
                    <a:srgbClr val="7B32B2"/>
                  </a:gs>
                  <a:gs pos="100000">
                    <a:srgbClr val="401A5D"/>
                  </a:gs>
                </a:gsLst>
                <a:path path="circle">
                  <a:fillToRect l="50000" t="50000" r="50000" b="50000"/>
                </a:path>
                <a:tileRect/>
              </a:gradFill>
              <a:ln w="9525">
                <a:solidFill>
                  <a:srgbClr val="7030A0"/>
                </a:solidFill>
              </a:ln>
              <a:effectLst/>
            </c:spPr>
          </c:marker>
          <c:dLbls>
            <c:dLbl>
              <c:idx val="0"/>
              <c:layout>
                <c:manualLayout>
                  <c:x val="-0.0932889749033468"/>
                  <c:y val="-0.02323218114368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02021649708382"/>
                  <c:y val="0.04333202086215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5958766337553"/>
                  <c:y val="0.043332020862150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916455050676462"/>
                  <c:y val="-0.0243970702539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rgbClr val="7030A0"/>
              </a:solid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[计分卡20211218092226.xlsx]作图!$C$23:$C$27</c:f>
              <c:strCache>
                <c:ptCount val="5"/>
                <c:pt idx="0">
                  <c:v>2014届</c:v>
                </c:pt>
                <c:pt idx="1">
                  <c:v>2015届</c:v>
                </c:pt>
                <c:pt idx="2">
                  <c:v>2016届</c:v>
                </c:pt>
                <c:pt idx="3">
                  <c:v>2017届</c:v>
                </c:pt>
                <c:pt idx="4">
                  <c:v>2018届</c:v>
                </c:pt>
              </c:strCache>
            </c:strRef>
          </c:cat>
          <c:val>
            <c:numRef>
              <c:f>[计分卡20211218092226.xlsx]作图!$G$23:$G$27</c:f>
              <c:numCache>
                <c:formatCode>0.00%</c:formatCode>
                <c:ptCount val="5"/>
                <c:pt idx="0">
                  <c:v>0.455</c:v>
                </c:pt>
                <c:pt idx="1">
                  <c:v>0.4883</c:v>
                </c:pt>
                <c:pt idx="2">
                  <c:v>0.5271</c:v>
                </c:pt>
                <c:pt idx="3">
                  <c:v>0.6079</c:v>
                </c:pt>
                <c:pt idx="4">
                  <c:v>0.6556</c:v>
                </c:pt>
              </c:numCache>
            </c:numRef>
          </c:val>
          <c:smooth val="0"/>
        </c:ser>
        <c:dLbls>
          <c:showLegendKey val="0"/>
          <c:showVal val="1"/>
          <c:showCatName val="0"/>
          <c:showSerName val="0"/>
          <c:showPercent val="0"/>
          <c:showBubbleSize val="0"/>
        </c:dLbls>
        <c:marker val="1"/>
        <c:smooth val="0"/>
        <c:axId val="243894848"/>
        <c:axId val="243895240"/>
      </c:lineChart>
      <c:catAx>
        <c:axId val="243894848"/>
        <c:scaling>
          <c:orientation val="minMax"/>
        </c:scaling>
        <c:delete val="0"/>
        <c:axPos val="b"/>
        <c:numFmt formatCode="General" sourceLinked="1"/>
        <c:majorTickMark val="none"/>
        <c:minorTickMark val="none"/>
        <c:tickLblPos val="nextTo"/>
        <c:spPr>
          <a:noFill/>
          <a:ln w="9525" cap="flat" cmpd="sng" algn="ctr">
            <a:solidFill>
              <a:srgbClr val="D9D9D9">
                <a:lumMod val="15000"/>
                <a:lumOff val="85000"/>
              </a:srgbClr>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3895240"/>
        <c:crosses val="autoZero"/>
        <c:auto val="1"/>
        <c:lblAlgn val="ctr"/>
        <c:lblOffset val="100"/>
        <c:noMultiLvlLbl val="0"/>
      </c:catAx>
      <c:valAx>
        <c:axId val="243895240"/>
        <c:scaling>
          <c:orientation val="minMax"/>
          <c:max val="0.75"/>
          <c:min val="0.3"/>
        </c:scaling>
        <c:delete val="0"/>
        <c:axPos val="l"/>
        <c:majorGridlines>
          <c:spPr>
            <a:ln w="9525" cap="flat" cmpd="sng" algn="ctr">
              <a:solidFill>
                <a:srgbClr val="D9D9D9">
                  <a:lumMod val="15000"/>
                  <a:lumOff val="85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38948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478582114517729"/>
          <c:y val="0.0219126796299771"/>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b="1">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859702736491"/>
          <c:y val="0.0631578947368421"/>
          <c:w val="0.870454229754132"/>
          <c:h val="0.793351800554017"/>
        </c:manualLayout>
      </c:layout>
      <c:lineChart>
        <c:grouping val="standard"/>
        <c:varyColors val="0"/>
        <c:ser>
          <c:idx val="0"/>
          <c:order val="0"/>
          <c:spPr>
            <a:ln w="34925" cap="rnd">
              <a:solidFill>
                <a:schemeClr val="lt1"/>
              </a:solidFill>
              <a:round/>
            </a:ln>
            <a:effectLst>
              <a:outerShdw dist="25400" dir="2700000" algn="tl" rotWithShape="0">
                <a:srgbClr val="4F81BD"/>
              </a:outerShdw>
            </a:effectLst>
          </c:spPr>
          <c:marker>
            <c:symbol val="none"/>
          </c:marker>
          <c:dLbls>
            <c:dLbl>
              <c:idx val="0"/>
              <c:layout>
                <c:manualLayout>
                  <c:x val="-0.0302502720348205"/>
                  <c:y val="-0.08131776480400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86483856042755"/>
                  <c:y val="-0.1275661389107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02833726906515"/>
                  <c:y val="-0.12432497995790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42073398841364"/>
                  <c:y val="-0.09674012739147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34448095423724"/>
                  <c:y val="-0.1015201957309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rgbClr val="4F81BD">
                          <a:lumMod val="60000"/>
                          <a:lumOff val="40000"/>
                        </a:srgbClr>
                      </a:solidFill>
                    </a:ln>
                    <a:effectLst/>
                  </c:spPr>
                </c15:leaderLines>
              </c:ext>
            </c:extLst>
          </c:dLbls>
          <c:cat>
            <c:strRef>
              <c:f>'[近五年自主创业比率2017-2021.xlsx]Sheet1'!$A$12:$A$16</c:f>
              <c:strCache>
                <c:ptCount val="5"/>
                <c:pt idx="0">
                  <c:v>2017届</c:v>
                </c:pt>
                <c:pt idx="1">
                  <c:v>2018届</c:v>
                </c:pt>
                <c:pt idx="2">
                  <c:v>2019届</c:v>
                </c:pt>
                <c:pt idx="3">
                  <c:v>2020届</c:v>
                </c:pt>
                <c:pt idx="4">
                  <c:v>2021届</c:v>
                </c:pt>
              </c:strCache>
            </c:strRef>
          </c:cat>
          <c:val>
            <c:numRef>
              <c:f>'[近五年自主创业比率2017-2021.xlsx]Sheet1'!$B$12:$B$16</c:f>
              <c:numCache>
                <c:formatCode>0.00%</c:formatCode>
                <c:ptCount val="5"/>
                <c:pt idx="0">
                  <c:v>0.0383</c:v>
                </c:pt>
                <c:pt idx="1">
                  <c:v>0.0208</c:v>
                </c:pt>
                <c:pt idx="2">
                  <c:v>0.0202</c:v>
                </c:pt>
                <c:pt idx="3">
                  <c:v>0.0189</c:v>
                </c:pt>
                <c:pt idx="4">
                  <c:v>0.0177</c:v>
                </c:pt>
              </c:numCache>
            </c:numRef>
          </c:val>
          <c:smooth val="0"/>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243896024"/>
        <c:axId val="243896416"/>
      </c:lineChart>
      <c:catAx>
        <c:axId val="243896024"/>
        <c:scaling>
          <c:orientation val="minMax"/>
        </c:scaling>
        <c:delete val="0"/>
        <c:axPos val="b"/>
        <c:numFmt formatCode="General" sourceLinked="0"/>
        <c:majorTickMark val="none"/>
        <c:minorTickMark val="none"/>
        <c:tickLblPos val="nextTo"/>
        <c:spPr>
          <a:noFill/>
          <a:ln w="12700" cap="flat" cmpd="sng" algn="ctr">
            <a:solidFill>
              <a:schemeClr val="lt1"/>
            </a:solidFill>
            <a:round/>
          </a:ln>
          <a:effectLst/>
        </c:spPr>
        <c:txPr>
          <a:bodyPr rot="-60000000" spcFirstLastPara="0" vertOverflow="ellipsis" vert="horz" wrap="square" anchor="ctr" anchorCtr="1"/>
          <a:lstStyle/>
          <a:p>
            <a:pPr>
              <a:defRPr lang="zh-CN" sz="1000" b="0" i="0" u="none" strike="noStrike" kern="1200" spc="1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3896416"/>
        <c:crosses val="autoZero"/>
        <c:auto val="1"/>
        <c:lblAlgn val="ctr"/>
        <c:lblOffset val="100"/>
        <c:noMultiLvlLbl val="0"/>
      </c:catAx>
      <c:valAx>
        <c:axId val="243896416"/>
        <c:scaling>
          <c:orientation val="minMax"/>
          <c:max val="0.05"/>
        </c:scaling>
        <c:delete val="0"/>
        <c:axPos val="l"/>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43896024"/>
        <c:crosses val="autoZero"/>
        <c:crossBetween val="between"/>
        <c:majorUnit val="0.01"/>
      </c:valAx>
      <c:spPr>
        <a:noFill/>
        <a:ln>
          <a:noFill/>
        </a:ln>
        <a:effectLst/>
      </c:spPr>
    </c:plotArea>
    <c:plotVisOnly val="1"/>
    <c:dispBlanksAs val="gap"/>
    <c:showDLblsOverMax val="0"/>
  </c:chart>
  <c:spPr>
    <a:solidFill>
      <a:srgbClr val="4F81BD"/>
    </a:solidFill>
    <a:ln w="9525" cap="flat" cmpd="sng" algn="ctr">
      <a:solidFill>
        <a:srgbClr val="4F81BD"/>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[折线图.xlsx]实际报到率!$B$1</c:f>
              <c:strCache>
                <c:ptCount val="1"/>
                <c:pt idx="0">
                  <c:v>实际报到率</c:v>
                </c:pt>
              </c:strCache>
            </c:strRef>
          </c:tx>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0" vertOverflow="ellipsis" horzOverflow="clip" vert="horz" wrap="square" lIns="38100" tIns="19050" rIns="215900" bIns="0" anchor="ctr" anchorCtr="1">
                <a:spAutoFit/>
              </a:bodyPr>
              <a:lstStyle/>
              <a:p>
                <a:pPr>
                  <a:defRPr lang="zh-CN" sz="900" b="1" i="0" u="none" strike="noStrike" kern="1200" baseline="0">
                    <a:solidFill>
                      <a:schemeClr val="lt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strRef>
              <c:f>[折线图.xlsx]实际报到率!$A$2:$A$6</c:f>
              <c:strCache>
                <c:ptCount val="5"/>
                <c:pt idx="0">
                  <c:v>2017年</c:v>
                </c:pt>
                <c:pt idx="1">
                  <c:v>2018年</c:v>
                </c:pt>
                <c:pt idx="2">
                  <c:v>2019年</c:v>
                </c:pt>
                <c:pt idx="3">
                  <c:v>2020年</c:v>
                </c:pt>
                <c:pt idx="4">
                  <c:v>2021年</c:v>
                </c:pt>
              </c:strCache>
            </c:strRef>
          </c:cat>
          <c:val>
            <c:numRef>
              <c:f>[折线图.xlsx]实际报到率!$B$2:$B$6</c:f>
              <c:numCache>
                <c:formatCode>0.00%</c:formatCode>
                <c:ptCount val="5"/>
                <c:pt idx="0">
                  <c:v>0.8914</c:v>
                </c:pt>
                <c:pt idx="1">
                  <c:v>0.9076</c:v>
                </c:pt>
                <c:pt idx="2">
                  <c:v>0.9108</c:v>
                </c:pt>
                <c:pt idx="3">
                  <c:v>0.9167</c:v>
                </c:pt>
                <c:pt idx="4">
                  <c:v>0.917</c:v>
                </c:pt>
              </c:numCache>
            </c:numRef>
          </c:val>
          <c:smooth val="0"/>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243897200"/>
        <c:axId val="243897592"/>
      </c:lineChart>
      <c:catAx>
        <c:axId val="243897200"/>
        <c:scaling>
          <c:orientation val="minMax"/>
        </c:scaling>
        <c:delete val="0"/>
        <c:axPos val="b"/>
        <c:numFmt formatCode="General" sourceLinked="0"/>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lang="zh-CN" sz="900" b="0" i="0" u="none" strike="noStrike" kern="1200" spc="100" baseline="0">
                <a:solidFill>
                  <a:schemeClr val="lt1"/>
                </a:solidFill>
                <a:latin typeface="+mn-lt"/>
                <a:ea typeface="+mn-ea"/>
                <a:cs typeface="+mn-cs"/>
              </a:defRPr>
            </a:pPr>
          </a:p>
        </c:txPr>
        <c:crossAx val="243897592"/>
        <c:crosses val="autoZero"/>
        <c:auto val="1"/>
        <c:lblAlgn val="ctr"/>
        <c:lblOffset val="100"/>
        <c:noMultiLvlLbl val="0"/>
      </c:catAx>
      <c:valAx>
        <c:axId val="24389759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solidFill>
                <a:latin typeface="+mn-lt"/>
                <a:ea typeface="+mn-ea"/>
                <a:cs typeface="+mn-cs"/>
              </a:defRPr>
            </a:pPr>
          </a:p>
        </c:txPr>
        <c:crossAx val="243897200"/>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9">
  <cs:axisTitle>
    <cs:lnRef idx="0"/>
    <cs:fillRef idx="0"/>
    <cs:effectRef idx="0"/>
    <cs:fontRef idx="minor">
      <a:srgbClr val="FFFFFF"/>
    </cs:fontRef>
    <cs:defRPr sz="900" b="1" kern="1200"/>
  </cs:axisTitle>
  <cs:categoryAxis>
    <cs:lnRef idx="0">
      <cs:styleClr val="0"/>
    </cs:lnRef>
    <cs:fillRef idx="0"/>
    <cs:effectRef idx="0"/>
    <cs:fontRef idx="minor">
      <a:srgbClr val="FFFFFF"/>
    </cs:fontRef>
    <cs:spPr>
      <a:ln w="12700" cap="flat" cmpd="sng" algn="ctr">
        <a:solidFill>
          <a:srgbClr val="FFFFFF"/>
        </a:solidFill>
        <a:round/>
      </a:ln>
    </cs:spPr>
    <cs:defRPr sz="900" kern="1200" spc="100" baseline="0"/>
  </cs:categoryAxis>
  <cs:chartArea>
    <cs:lnRef idx="0">
      <cs:styleClr val="0"/>
    </cs:lnRef>
    <cs:fillRef idx="0">
      <cs:styleClr val="0"/>
    </cs:fillRef>
    <cs:effectRef idx="0"/>
    <cs:fontRef idx="minor">
      <a:srgbClr val="000000"/>
    </cs:fontRef>
    <cs:spPr>
      <a:solidFill>
        <a:srgbClr val="FFFFFF"/>
      </a:solidFill>
      <a:ln w="9525" cap="flat" cmpd="sng" algn="ctr">
        <a:solidFill>
          <a:srgbClr val="FFFFFF"/>
        </a:solidFill>
        <a:round/>
      </a:ln>
    </cs:spPr>
    <cs:defRPr sz="1000" kern="1200"/>
  </cs:chartArea>
  <cs:dataLabel>
    <cs:lnRef idx="0"/>
    <cs:fillRef idx="0"/>
    <cs:effectRef idx="0"/>
    <cs:fontRef idx="minor">
      <a:srgbClr val="FFFFFF"/>
    </cs:fontRef>
    <cs:defRPr sz="900" b="1" kern="1200"/>
  </cs:dataLabel>
  <cs:dataLabelCallout>
    <cs:lnRef idx="0">
      <cs:styleClr val="auto"/>
    </cs:lnRef>
    <cs:fillRef idx="0"/>
    <cs:effectRef idx="0"/>
    <cs:fontRef idx="minor">
      <cs:styleClr val="auto"/>
    </cs:fontRef>
    <cs:spPr>
      <a:solidFill>
        <a:srgbClr val="FFFFFF"/>
      </a:solidFill>
      <a:ln>
        <a:solidFill>
          <a:srgbClr val="FFFFFF"/>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pattFill prst="ltUpDiag">
        <a:fgClr>
          <a:srgbClr val="FFFFFF"/>
        </a:fgClr>
        <a:bgClr>
          <a:srgbClr val="FFFFFF"/>
        </a:bgClr>
      </a:pattFill>
    </cs:spPr>
  </cs:dataPoint>
  <cs:dataPoint3D>
    <cs:lnRef idx="0"/>
    <cs:fillRef idx="0">
      <cs:styleClr val="auto"/>
    </cs:fillRef>
    <cs:effectRef idx="0"/>
    <cs:fontRef idx="minor">
      <a:srgbClr val="000000"/>
    </cs:fontRef>
    <cs:spPr>
      <a:pattFill prst="ltUpDiag">
        <a:fgClr>
          <a:srgbClr val="FFFFFF"/>
        </a:fgClr>
        <a:bgClr>
          <a:srgbClr val="FFFFFF"/>
        </a:bgClr>
      </a:pattFill>
    </cs:spPr>
  </cs:dataPoint3D>
  <cs:dataPointLine>
    <cs:lnRef idx="0">
      <cs:styleClr val="auto"/>
    </cs:lnRef>
    <cs:fillRef idx="0"/>
    <cs:effectRef idx="0">
      <cs:styleClr val="auto"/>
    </cs:effectRef>
    <cs:fontRef idx="minor">
      <a:srgbClr val="000000"/>
    </cs:fontRef>
    <cs:spPr>
      <a:ln w="34925" cap="rnd">
        <a:solidFill>
          <a:srgbClr val="FFFFFF"/>
        </a:solidFill>
        <a:round/>
      </a:ln>
      <a:effectLst>
        <a:outerShdw dist="25400" dir="2700000" algn="tl" rotWithShape="0">
          <a:srgbClr val="FFFFFF"/>
        </a:outerShdw>
      </a:effectLst>
    </cs:spPr>
  </cs:dataPointLine>
  <cs:dataPointMarker>
    <cs:lnRef idx="0"/>
    <cs:fillRef idx="0">
      <cs:styleClr val="auto"/>
    </cs:fillRef>
    <cs:effectRef idx="0"/>
    <cs:fontRef idx="minor">
      <a:srgbClr val="000000"/>
    </cs:fontRef>
    <cs:spPr>
      <a:solidFill>
        <a:srgbClr val="FFFFFF"/>
      </a:solidFill>
      <a:ln w="22225">
        <a:solidFill>
          <a:srgbClr val="FFFFFF"/>
        </a:solidFill>
        <a:round/>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styleClr val="0"/>
    </cs:lnRef>
    <cs:fillRef idx="0"/>
    <cs:effectRef idx="0"/>
    <cs:fontRef idx="minor">
      <a:srgbClr val="FFFFFF"/>
    </cs:fontRef>
    <cs:spPr>
      <a:ln w="9525">
        <a:solidFill>
          <a:srgbClr val="FFFFFF">
            <a:lumMod val="60000"/>
            <a:lumOff val="40000"/>
          </a:srgbClr>
        </a:solidFill>
      </a:ln>
    </cs:spPr>
    <cs:defRPr sz="900" kern="1200"/>
  </cs:dataTable>
  <cs:downBar>
    <cs:lnRef idx="0">
      <cs:styleClr val="0"/>
    </cs:lnRef>
    <cs:fillRef idx="0"/>
    <cs:effectRef idx="0"/>
    <cs:fontRef idx="minor">
      <a:srgbClr val="000000"/>
    </cs:fontRef>
    <cs:spPr>
      <a:solidFill>
        <a:srgbClr val="A6A6A6">
          <a:lumMod val="35000"/>
          <a:lumOff val="65000"/>
        </a:srgbClr>
      </a:solidFill>
      <a:ln w="9525">
        <a:solidFill>
          <a:srgbClr val="FFFFFF">
            <a:lumMod val="60000"/>
            <a:lumOff val="40000"/>
          </a:srgbClr>
        </a:solidFill>
      </a:ln>
    </cs:spPr>
  </cs:downBar>
  <cs:dropLine>
    <cs:lnRef idx="0"/>
    <cs:fillRef idx="0"/>
    <cs:effectRef idx="0"/>
    <cs:fontRef idx="minor">
      <a:srgbClr val="000000"/>
    </cs:fontRef>
    <cs:spPr>
      <a:ln w="9525" cap="flat" cmpd="sng" algn="ctr">
        <a:gradFill>
          <a:gsLst>
            <a:gs pos="0">
              <a:srgbClr val="FFFFFF"/>
            </a:gs>
            <a:gs pos="100000">
              <a:srgbClr val="FFFFFF">
                <a:alpha val="0"/>
              </a:srgbClr>
            </a:gs>
          </a:gsLst>
          <a:lin ang="5400000" scaled="0"/>
        </a:gradFill>
        <a:round/>
      </a:ln>
    </cs:spPr>
  </cs:dropLine>
  <cs:errorBar>
    <cs:lnRef idx="0">
      <cs:styleClr val="0"/>
    </cs:lnRef>
    <cs:fillRef idx="0"/>
    <cs:effectRef idx="0"/>
    <cs:fontRef idx="minor">
      <a:srgbClr val="000000"/>
    </cs:fontRef>
    <cs:spPr>
      <a:ln w="9525">
        <a:solidFill>
          <a:srgbClr val="FFFFFF">
            <a:lumMod val="60000"/>
            <a:lumOff val="40000"/>
          </a:srgbClr>
        </a:solidFill>
        <a:round/>
      </a:ln>
      <a:effectLst>
        <a:glow rad="25400">
          <a:srgbClr val="FFFFFF"/>
        </a:glow>
      </a:effectLst>
    </cs:spPr>
  </cs:errorBar>
  <cs:floor>
    <cs:lnRef idx="0"/>
    <cs:fillRef idx="0"/>
    <cs:effectRef idx="0"/>
    <cs:fontRef idx="minor">
      <a:srgbClr val="000000"/>
    </cs:fontRef>
  </cs:floor>
  <cs:gridlineMajor>
    <cs:lnRef idx="0">
      <cs:styleClr val="0"/>
    </cs:lnRef>
    <cs:fillRef idx="0"/>
    <cs:effectRef idx="0"/>
    <cs:fontRef idx="minor">
      <a:srgbClr val="000000"/>
    </cs:fontRef>
    <cs:spPr>
      <a:ln w="9525" cap="flat" cmpd="sng" algn="ctr">
        <a:solidFill>
          <a:srgbClr val="FFFFFF">
            <a:alpha val="25000"/>
          </a:srgbClr>
        </a:solidFill>
        <a:round/>
      </a:ln>
    </cs:spPr>
  </cs:gridlineMajor>
  <cs:gridlineMinor>
    <cs:lnRef idx="0">
      <cs:styleClr val="0"/>
    </cs:lnRef>
    <cs:fillRef idx="0"/>
    <cs:effectRef idx="0"/>
    <cs:fontRef idx="minor">
      <a:srgbClr val="000000"/>
    </cs:fontRef>
    <cs:spPr>
      <a:ln>
        <a:solidFill>
          <a:srgbClr val="FFFFFF">
            <a:alpha val="10000"/>
          </a:srgbClr>
        </a:solidFill>
      </a:ln>
    </cs:spPr>
  </cs:gridlineMinor>
  <cs:hiLoLine>
    <cs:lnRef idx="0">
      <cs:styleClr val="0"/>
    </cs:lnRef>
    <cs:fillRef idx="0"/>
    <cs:effectRef idx="0"/>
    <cs:fontRef idx="minor">
      <a:srgbClr val="000000"/>
    </cs:fontRef>
    <cs:spPr>
      <a:ln w="9525">
        <a:solidFill>
          <a:srgbClr val="FFFFFF">
            <a:lumMod val="60000"/>
            <a:lumOff val="40000"/>
          </a:srgbClr>
        </a:solidFill>
        <a:prstDash val="dash"/>
      </a:ln>
    </cs:spPr>
  </cs:hiLoLine>
  <cs:leaderLine>
    <cs:lnRef idx="0">
      <cs:styleClr val="0"/>
    </cs:lnRef>
    <cs:fillRef idx="0"/>
    <cs:effectRef idx="0"/>
    <cs:fontRef idx="minor">
      <a:srgbClr val="000000"/>
    </cs:fontRef>
    <cs:spPr>
      <a:ln w="9525">
        <a:solidFill>
          <a:srgbClr val="FFFFFF">
            <a:lumMod val="60000"/>
            <a:lumOff val="40000"/>
          </a:srgbClr>
        </a:solidFill>
      </a:ln>
    </cs:spPr>
  </cs:leaderLine>
  <cs:legend>
    <cs:lnRef idx="0"/>
    <cs:fillRef idx="0"/>
    <cs:effectRef idx="0"/>
    <cs:fontRef idx="minor">
      <a:srgbClr val="FFFFFF"/>
    </cs:fontRef>
    <cs:defRPr sz="900" kern="1200"/>
  </cs:legend>
  <cs:plotArea>
    <cs:lnRef idx="0"/>
    <cs:fillRef idx="0"/>
    <cs:effectRef idx="0"/>
    <cs:fontRef idx="minor">
      <a:srgbClr val="000000"/>
    </cs:fontRef>
  </cs:plotArea>
  <cs:plotArea3D>
    <cs:lnRef idx="0"/>
    <cs:fillRef idx="0"/>
    <cs:effectRef idx="0"/>
    <cs:fontRef idx="minor">
      <a:srgbClr val="000000"/>
    </cs:fontRef>
  </cs:plotArea3D>
  <cs:seriesAxis>
    <cs:lnRef idx="0">
      <cs:styleClr val="0"/>
    </cs:lnRef>
    <cs:fillRef idx="0"/>
    <cs:effectRef idx="0"/>
    <cs:fontRef idx="minor">
      <a:srgbClr val="FFFFFF"/>
    </cs:fontRef>
    <cs:spPr>
      <a:ln w="3175" cap="flat" cmpd="sng" algn="ctr">
        <a:solidFill>
          <a:srgbClr val="FFFFFF">
            <a:lumMod val="60000"/>
            <a:lumOff val="40000"/>
          </a:srgbClr>
        </a:solidFill>
        <a:round/>
      </a:ln>
    </cs:spPr>
    <cs:defRPr sz="900" kern="1200"/>
  </cs:seriesAxis>
  <cs:seriesLine>
    <cs:lnRef idx="0">
      <cs:styleClr val="0"/>
    </cs:lnRef>
    <cs:fillRef idx="0"/>
    <cs:effectRef idx="0"/>
    <cs:fontRef idx="minor">
      <a:srgbClr val="000000"/>
    </cs:fontRef>
    <cs:spPr>
      <a:ln w="9525">
        <a:solidFill>
          <a:srgbClr val="FFFFFF">
            <a:lumMod val="60000"/>
            <a:lumOff val="40000"/>
            <a:tint val="50000"/>
          </a:srgbClr>
        </a:solidFill>
        <a:prstDash val="dash"/>
      </a:ln>
    </cs:spPr>
  </cs:seriesLine>
  <cs:title>
    <cs:lnRef idx="0"/>
    <cs:fillRef idx="0"/>
    <cs:effectRef idx="0"/>
    <cs:fontRef idx="minor">
      <a:srgbClr val="FFFFFF"/>
    </cs:fontRef>
    <cs:defRPr sz="1500" b="1" kern="1200" cap="all" spc="100" normalizeH="0" baseline="0"/>
  </cs:title>
  <cs:trendline>
    <cs:lnRef idx="0"/>
    <cs:fillRef idx="0"/>
    <cs:effectRef idx="0"/>
    <cs:fontRef idx="minor">
      <a:srgbClr val="000000"/>
    </cs:fontRef>
    <cs:spPr>
      <a:ln w="28575" cap="rnd">
        <a:solidFill>
          <a:srgbClr val="FFFFFF">
            <a:alpha val="50000"/>
          </a:srgbClr>
        </a:solidFill>
        <a:round/>
      </a:ln>
    </cs:spPr>
  </cs:trendline>
  <cs:trendlineLabel>
    <cs:lnRef idx="0"/>
    <cs:fillRef idx="0"/>
    <cs:effectRef idx="0"/>
    <cs:fontRef idx="minor">
      <a:srgbClr val="FFFFFF"/>
    </cs:fontRef>
    <cs:defRPr sz="900" kern="1200"/>
  </cs:trendlineLabel>
  <cs:upBar>
    <cs:lnRef idx="0">
      <cs:styleClr val="0"/>
    </cs:lnRef>
    <cs:fillRef idx="0"/>
    <cs:effectRef idx="0"/>
    <cs:fontRef idx="minor">
      <a:srgbClr val="000000"/>
    </cs:fontRef>
    <cs:spPr>
      <a:solidFill>
        <a:srgbClr val="F2F2F2">
          <a:lumMod val="95000"/>
        </a:srgbClr>
      </a:solidFill>
      <a:ln w="9525">
        <a:solidFill>
          <a:srgbClr val="FFFFFF">
            <a:lumMod val="60000"/>
            <a:lumOff val="40000"/>
          </a:srgbClr>
        </a:solidFill>
      </a:ln>
    </cs:spPr>
  </cs:upBar>
  <cs:valueAxis>
    <cs:lnRef idx="0"/>
    <cs:fillRef idx="0"/>
    <cs:effectRef idx="0"/>
    <cs:fontRef idx="minor">
      <a:srgbClr val="FFFFFF"/>
    </cs:fontRef>
    <cs:defRPr sz="900" kern="1200"/>
  </cs:valueAxis>
  <cs:wall>
    <cs:lnRef idx="0"/>
    <cs:fillRef idx="0"/>
    <cs:effectRef idx="0"/>
    <cs:fontRef idx="minor">
      <a:srgbClr val="000000"/>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FC0F62-3B2D-4E75-BAFC-950292E67A28}">
  <ds:schemaRefs/>
</ds:datastoreItem>
</file>

<file path=docProps/app.xml><?xml version="1.0" encoding="utf-8"?>
<Properties xmlns="http://schemas.openxmlformats.org/officeDocument/2006/extended-properties" xmlns:vt="http://schemas.openxmlformats.org/officeDocument/2006/docPropsVTypes">
  <Template>Normal.dotm</Template>
  <Pages>79</Pages>
  <Words>8299</Words>
  <Characters>47306</Characters>
  <Lines>394</Lines>
  <Paragraphs>110</Paragraphs>
  <TotalTime>1633</TotalTime>
  <ScaleCrop>false</ScaleCrop>
  <LinksUpToDate>false</LinksUpToDate>
  <CharactersWithSpaces>55495</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2021-12-19T08:56:00Z</dcterms:created>
  <dc:creator>Lenovo</dc:creator>
  <cp:lastModifiedBy>z</cp:lastModifiedBy>
  <cp:lastPrinted>2022-01-28T02:02:00Z</cp:lastPrinted>
  <dcterms:modified xsi:type="dcterms:W3CDTF">2023-03-03T03:07:59Z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