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080C" w:rsidRDefault="00AA080C" w:rsidP="00AA080C">
      <w:pPr>
        <w:rPr>
          <w:rFonts w:ascii="黑体" w:eastAsia="黑体" w:hAnsi="黑体" w:hint="eastAsia"/>
          <w:color w:val="000000"/>
        </w:rPr>
      </w:pPr>
      <w:r>
        <w:rPr>
          <w:rFonts w:ascii="黑体" w:eastAsia="黑体" w:hAnsi="黑体" w:hint="eastAsia"/>
          <w:color w:val="000000"/>
          <w:kern w:val="0"/>
          <w:sz w:val="32"/>
          <w:szCs w:val="32"/>
        </w:rPr>
        <w:t>附件</w:t>
      </w:r>
    </w:p>
    <w:tbl>
      <w:tblPr>
        <w:tblW w:w="0" w:type="auto"/>
        <w:tblLayout w:type="fixed"/>
        <w:tblLook w:val="0000" w:firstRow="0" w:lastRow="0" w:firstColumn="0" w:lastColumn="0" w:noHBand="0" w:noVBand="0"/>
      </w:tblPr>
      <w:tblGrid>
        <w:gridCol w:w="560"/>
        <w:gridCol w:w="6244"/>
        <w:gridCol w:w="1418"/>
        <w:gridCol w:w="1138"/>
        <w:gridCol w:w="1980"/>
        <w:gridCol w:w="1843"/>
        <w:gridCol w:w="851"/>
      </w:tblGrid>
      <w:tr w:rsidR="00AA080C" w:rsidTr="006F1065">
        <w:trPr>
          <w:trHeight w:val="270"/>
        </w:trPr>
        <w:tc>
          <w:tcPr>
            <w:tcW w:w="14034" w:type="dxa"/>
            <w:gridSpan w:val="7"/>
            <w:tcBorders>
              <w:top w:val="nil"/>
              <w:left w:val="nil"/>
              <w:bottom w:val="nil"/>
              <w:right w:val="nil"/>
            </w:tcBorders>
            <w:vAlign w:val="center"/>
          </w:tcPr>
          <w:p w:rsidR="00AA080C" w:rsidRDefault="00AA080C" w:rsidP="006F1065">
            <w:pPr>
              <w:widowControl/>
              <w:shd w:val="clear" w:color="auto" w:fill="FFFFFF"/>
              <w:spacing w:line="580" w:lineRule="exact"/>
              <w:ind w:firstLineChars="200" w:firstLine="880"/>
              <w:jc w:val="center"/>
              <w:rPr>
                <w:rFonts w:ascii="方正小标宋简体" w:eastAsia="方正小标宋简体" w:hAnsi="Microsoft YaHei UI" w:hint="eastAsia"/>
                <w:bCs/>
                <w:color w:val="000000"/>
                <w:spacing w:val="8"/>
                <w:sz w:val="44"/>
                <w:szCs w:val="44"/>
                <w:shd w:val="clear" w:color="auto" w:fill="FFFFFF"/>
              </w:rPr>
            </w:pPr>
            <w:r>
              <w:rPr>
                <w:rFonts w:ascii="方正小标宋简体" w:eastAsia="方正小标宋简体" w:hAnsi="宋体" w:hint="eastAsia"/>
                <w:bCs/>
                <w:color w:val="000000"/>
                <w:kern w:val="0"/>
                <w:sz w:val="44"/>
                <w:szCs w:val="44"/>
              </w:rPr>
              <w:t>省教育厅政务服务事项“进厅办、网上办”清单</w:t>
            </w:r>
          </w:p>
          <w:p w:rsidR="00AA080C" w:rsidRDefault="00AA080C" w:rsidP="006F1065">
            <w:pPr>
              <w:widowControl/>
              <w:jc w:val="center"/>
              <w:rPr>
                <w:rFonts w:ascii="方正小标宋简体" w:eastAsia="方正小标宋简体" w:hAnsi="宋体"/>
                <w:b/>
                <w:color w:val="000000"/>
                <w:kern w:val="0"/>
                <w:sz w:val="20"/>
                <w:szCs w:val="20"/>
              </w:rPr>
            </w:pPr>
          </w:p>
        </w:tc>
      </w:tr>
      <w:tr w:rsidR="00AA080C" w:rsidTr="006F1065">
        <w:trPr>
          <w:trHeight w:val="312"/>
        </w:trPr>
        <w:tc>
          <w:tcPr>
            <w:tcW w:w="56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序号</w:t>
            </w:r>
          </w:p>
        </w:tc>
        <w:tc>
          <w:tcPr>
            <w:tcW w:w="62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事项名称</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类型</w:t>
            </w:r>
          </w:p>
        </w:tc>
        <w:tc>
          <w:tcPr>
            <w:tcW w:w="1138"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承办处室</w:t>
            </w:r>
          </w:p>
        </w:tc>
        <w:tc>
          <w:tcPr>
            <w:tcW w:w="1980"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办理时限</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实施意见</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黑体" w:eastAsia="黑体" w:hAnsi="黑体" w:hint="eastAsia"/>
                <w:b/>
                <w:color w:val="000000"/>
                <w:kern w:val="0"/>
                <w:sz w:val="20"/>
                <w:szCs w:val="20"/>
              </w:rPr>
            </w:pPr>
            <w:r>
              <w:rPr>
                <w:rFonts w:ascii="黑体" w:eastAsia="黑体" w:hAnsi="黑体" w:hint="eastAsia"/>
                <w:b/>
                <w:color w:val="000000"/>
                <w:kern w:val="0"/>
                <w:sz w:val="20"/>
                <w:szCs w:val="20"/>
              </w:rPr>
              <w:t>备注</w:t>
            </w:r>
          </w:p>
        </w:tc>
      </w:tr>
      <w:tr w:rsidR="00AA080C" w:rsidTr="006F1065">
        <w:trPr>
          <w:trHeight w:val="312"/>
        </w:trPr>
        <w:tc>
          <w:tcPr>
            <w:tcW w:w="560"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6244"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1138"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1980"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AA080C" w:rsidRDefault="00AA080C" w:rsidP="006F1065">
            <w:pPr>
              <w:widowControl/>
              <w:jc w:val="left"/>
              <w:rPr>
                <w:rFonts w:ascii="黑体" w:eastAsia="黑体" w:hAnsi="黑体"/>
                <w:b/>
                <w:color w:val="000000"/>
                <w:kern w:val="0"/>
                <w:sz w:val="20"/>
                <w:szCs w:val="20"/>
              </w:rPr>
            </w:pP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教师资格认定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16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实施专科教育的民办高等学校和其他（非学历教育）高等教育机构的筹设、设立、分立、合并、变更名称、类别、层次和举办者、终止审批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民继处、规划处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筹设20；设立45；分立45；合并75；变更举办者20；变更名称14；变更层次14；终止14.</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96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实施高等专科教育和非学历高等教育、中等学历教育和自学考试助学、文化补习、学前教育等的中外（含内地与港澳台）合作办学机构的设立、分立、合并及名称、层次、类别的变更的审批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102</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72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举办实施高等专科教育、非学历高等教育和高级中等教育、自学考试助学、文化补习、学前教育的中外合作办学项目审批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14</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高等学校及其他高等教育机构章程修改核准</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政法处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中小学地方课程教材审定（含对地方性中小学教学地图的审定）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学士学位授予单位及专业审批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研究生处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实施本科以上高等学历教育的中外合作办学机构设立初审</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lastRenderedPageBreak/>
              <w:t>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举办实施本科以上高等学历教育的中外合作办学项目初审</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普通高等学校学生跨省转学确认</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行政确认</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中外合作办学机构理事会、董事会或者联合管理委员会组成人员备案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中外合作办学机构所开设的课程和引进的教材备案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中外合作办学机构招生简章和广告备案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中外合作办学机构财务会计报告和审计结果备案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民办高校登记的学习时间1年以上的非学历教育学生名单及有关情况备案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中等职业学校开设专业审核备案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中小学教辅材料评议</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w:t>
            </w:r>
            <w:r>
              <w:rPr>
                <w:rFonts w:ascii="宋体" w:eastAsia="宋体" w:hAnsi="宋体"/>
                <w:b/>
                <w:color w:val="000000"/>
                <w:kern w:val="0"/>
                <w:sz w:val="20"/>
                <w:szCs w:val="20"/>
              </w:rPr>
              <w:t>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民办高校理事长、理事或者董事长、董事备案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19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民办高校招生简章和广告备案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民办高校修改章程备案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高等教育和中等职业技术学历教育的民办学校自行设置专业、开设课程，自主选用教材备案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民办高校学籍和教学管理制度备案</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民办高校年检</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师范类毕业生就业手续办理</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公共服务事项</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审核外国留学生人员来华签证申请表</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公共服务事项</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26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依申请政府信息公开</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公共服务事项</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办公室</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进大厅并网上运行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2</w:t>
            </w:r>
            <w:r>
              <w:rPr>
                <w:rFonts w:ascii="宋体" w:eastAsia="宋体" w:hAnsi="宋体"/>
                <w:b/>
                <w:color w:val="000000"/>
                <w:kern w:val="0"/>
                <w:sz w:val="20"/>
                <w:szCs w:val="20"/>
              </w:rPr>
              <w:t>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实施专科教育的高等学校设立、分立、合并、变更名称类别和其他重要事项、终止审批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行政许可</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规划处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176</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28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退役士兵教育资助信息的审核汇总</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29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高等学校毕业生学费和国家助学贷款补偿资助人数和资金数审核、汇总</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3</w:t>
            </w:r>
            <w:r>
              <w:rPr>
                <w:rFonts w:ascii="宋体" w:eastAsia="宋体" w:hAnsi="宋体"/>
                <w:b/>
                <w:color w:val="000000"/>
                <w:kern w:val="0"/>
                <w:sz w:val="20"/>
                <w:szCs w:val="20"/>
              </w:rPr>
              <w:t>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高等学校学生应征入伍服义务兵役国家资助信息审核</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直接招收为士官的高等学校学生国家资助信息审核</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研究生国家奖学金信息的审核、汇总</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研究生学业奖学金信息的审核、汇总</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本专科国家和省政府奖学金信息的审核、汇总</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下达助学金名额，并督促落实本专科国家助学金</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高校本专科励志奖学金评审结果</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在普通高等学校就读的山东籍本专科（高职）在校生中的建档立卡家庭经济困难学生免除学费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国家普通话水平等级证书核发</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行政确认</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语办</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66</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39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对自考考生免考课程的确认</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行政确认</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考试院</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66</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40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核准启动生源地国家助学贷款还款救助</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41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对特殊教育学校（班）的学生补助生活费</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行政给付</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财务处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违反国家有关规定，举办学校或者其他教育机构的处罚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规划处、民继处、国际处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学校或者其他教育机构违反国家有关规定招收学生的处罚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对在国家教育考试中以不正当手段获得考试成绩的作弊行为的处罚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学生处、考试院</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学校或者其他教育机构违法颁发学位证书、学历证书或者其他学业证书的处罚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学生处、研究生处、民继处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对民办学校擅自分立、合并以及改变名称、层次、类别和举办者的处罚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民继处、规划处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对民办学校发布虚假招生简章或者广告，骗取钱财的处罚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48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对民办学校非法颁发或者伪造学历证书、结业证书、培训证书、职业资格证书的处罚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49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对民办学校管理混乱严重影响教育教学，产生恶劣社会影响的处罚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对民办学校提交虚假证明文件或者采取其他欺诈手段隐瞒重要事实骗取办学许可证的处罚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对民办学校伪造、变造、买卖、出租、出借办学许可证的处罚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对民办学校恶意终止办学、抽逃资金或者挪用办学经费的处罚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违反国家有关规定擅自举办民办学校的处罚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民继处、规划处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弄虚作假、骗取教师资格的处罚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教师品行不良、侮辱学生，影响恶劣的处罚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参加教师资格考试有作弊行为的处罚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未经批准擅自设立中外合作办学机构，或者以不正当手段骗取中外合作办学许可证的处罚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5</w:t>
            </w:r>
            <w:r>
              <w:rPr>
                <w:rFonts w:ascii="宋体" w:eastAsia="宋体" w:hAnsi="宋体"/>
                <w:b/>
                <w:color w:val="000000"/>
                <w:kern w:val="0"/>
                <w:sz w:val="20"/>
                <w:szCs w:val="20"/>
              </w:rPr>
              <w:t>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在中外合作办学机构筹备设立期间招收学生的处罚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b/>
                <w:color w:val="000000"/>
                <w:kern w:val="0"/>
                <w:sz w:val="20"/>
                <w:szCs w:val="20"/>
              </w:rPr>
              <w:t>59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中外合作办学者虚假出资或者在中外合作办学机构成立后抽逃出资的处罚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w:t>
            </w:r>
            <w:r>
              <w:rPr>
                <w:rFonts w:ascii="宋体" w:eastAsia="宋体" w:hAnsi="宋体"/>
                <w:b/>
                <w:color w:val="000000"/>
                <w:kern w:val="0"/>
                <w:sz w:val="20"/>
                <w:szCs w:val="20"/>
              </w:rPr>
              <w:t>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中外合作办学机构管理混乱、教育教学质量低下，造成恶劣影响的处罚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对中外合作办学机构发布虚假招生简章、骗取钱财的处罚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p>
        </w:tc>
      </w:tr>
      <w:tr w:rsidR="00AA080C" w:rsidTr="006F1065">
        <w:trPr>
          <w:trHeight w:val="72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民办学校不依法将出资人取得回报比例的决定和向社会公布的与其办学水平和教育质量有关的材料、财务状况报审批机关备案的处罚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对民办学校管理混乱严重影响教育教学的处罚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民继处、高教处、职教处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擅自举办职业学校的处罚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规划处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职业学校管理混乱、教学质量低下的处罚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中外办学项目发布虚假招生简章或者招生广告，骗取钱财的处罚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中外办学项目擅自增加收费项目或者提高收费标准的处罚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中外办学项目管理混乱，教育教学质量低下的处罚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网山运行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69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中外办学项目未按照国家有关规定进行财务管理的处罚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对中外办学项目对办学结余进行分配的处罚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对高校违反国家招生管理规定的处罚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学生处、考试院</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对民办高校资产不按期过户、办学条件不达标、发布未经备案的招生简章和广告、年度检查不合格的处罚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规划处、民继处、学生处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对独立学院资产不按期过户、发布未经备案的招生简章或广告、年检不合格、违反国家招生计划擅自招收学生的处罚</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行政处罚</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规划处、民继处、学生处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加处罚款</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行政强制</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执法处室</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noWrap/>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先行登记保存</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行政强制</w:t>
            </w:r>
          </w:p>
        </w:tc>
        <w:tc>
          <w:tcPr>
            <w:tcW w:w="1138" w:type="dxa"/>
            <w:tcBorders>
              <w:top w:val="nil"/>
              <w:left w:val="nil"/>
              <w:bottom w:val="single" w:sz="4" w:space="0" w:color="auto"/>
              <w:right w:val="single" w:sz="4" w:space="0" w:color="auto"/>
            </w:tcBorders>
            <w:shd w:val="clear" w:color="000000" w:fill="FFFFFF"/>
            <w:noWrap/>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执法处室</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noWrap/>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对学校及其他教育机构实施教育评估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督导室</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180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对高等学校办学水平、效益和教育质量进行评估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高教处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对职业教育工作的督导评估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督导室、职教处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180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79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对民办学校办学水平和教育质量的评估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民继处、高教处、职教处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对义务教育工作执行法律法规情况、教育教学质量以及义务教育均衡发展状况等进行督导</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督导室、基教处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180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对幼儿园保育、教育工作的监督、评估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对学校体育工作的检查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体卫艺处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对学校校舍安全的检查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安管处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对残疾儿童、少年实施义务教育工作的监督、指导、检查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对中外合作办学机构的办学水平和教育质量进行评估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国际处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对普及普通话和汉字规范化工作的督导评估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语办</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国家通用文字标准和《汉语拼音方案》的应用情况的检查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语办</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普通话推广、普及与培训工作的检查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语办</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89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对义务教育课程的评估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对学生体质健康促进工作的监督检查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体卫艺处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对中小学生校外培训机构的培训内容、进度、时限等事项监督检查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20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对学校安全工作的监督检查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安管处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对学校安全状况的评估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安管处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对学校设施、设备状况的安全检查</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安管处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普通高等学校师范类专业认证</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行政检查</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50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对教师的表彰和奖励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对学生的奖励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为教育事业做出贡献的组织和个人的奖励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人事处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99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对为发展职业教育作出显著成绩的单位和个人的奖励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职教处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对教学成果的奖励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基教处、高教处、职教处、研究生处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50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对为国家通用语言文字事业做出突出贡献的组织和个人的奖励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语办</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对为发展民办教育事业做出突出贡献的组织和个人的奖励和表彰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民继处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对在义务教育实施工作中做出突出贡献的社会组织和个人的奖励和表彰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对在学校体育工作中成绩显著的单位和个人的奖励和表彰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体卫艺处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105</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对在学校卫生工作中成绩显著的单位和个人的奖励和表彰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体卫艺处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106</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对为残疾人教育事业作出突出贡献的组织和个人的奖励和表彰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107</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对为高等教育自学考试作出重大贡献的个人或单位的奖励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考试院</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60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108</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对为幼儿园工作作出突出贡献的组织和个人的奖励和表彰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109</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对在学校安全工作中做出显著成绩的单位和个人的奖励和表彰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安管处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15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48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110</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对中小学校长培训中培训工作成绩突出的单位和个人的奖励和表彰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111</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对优秀教材编写者的奖励</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基教处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45</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112</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特级教师评选表彰</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行政奖励</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113</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教师申诉处理</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教师处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r w:rsidR="00AA080C" w:rsidTr="006F1065">
        <w:trPr>
          <w:trHeight w:val="270"/>
        </w:trPr>
        <w:tc>
          <w:tcPr>
            <w:tcW w:w="560" w:type="dxa"/>
            <w:tcBorders>
              <w:top w:val="nil"/>
              <w:left w:val="single" w:sz="4" w:space="0" w:color="auto"/>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b/>
                <w:color w:val="000000"/>
                <w:kern w:val="0"/>
                <w:sz w:val="20"/>
                <w:szCs w:val="20"/>
              </w:rPr>
            </w:pPr>
            <w:r>
              <w:rPr>
                <w:rFonts w:ascii="宋体" w:eastAsia="宋体" w:hAnsi="宋体" w:hint="eastAsia"/>
                <w:b/>
                <w:color w:val="000000"/>
                <w:kern w:val="0"/>
                <w:sz w:val="20"/>
                <w:szCs w:val="20"/>
              </w:rPr>
              <w:t>114</w:t>
            </w:r>
          </w:p>
        </w:tc>
        <w:tc>
          <w:tcPr>
            <w:tcW w:w="6244"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left"/>
              <w:rPr>
                <w:rFonts w:ascii="宋体" w:eastAsia="宋体" w:hAnsi="宋体" w:hint="eastAsia"/>
                <w:color w:val="000000"/>
                <w:kern w:val="0"/>
                <w:sz w:val="20"/>
                <w:szCs w:val="20"/>
              </w:rPr>
            </w:pPr>
            <w:r>
              <w:rPr>
                <w:rFonts w:ascii="宋体" w:eastAsia="宋体" w:hAnsi="宋体" w:hint="eastAsia"/>
                <w:color w:val="000000"/>
                <w:kern w:val="0"/>
                <w:sz w:val="20"/>
                <w:szCs w:val="20"/>
              </w:rPr>
              <w:t>学生申诉处理</w:t>
            </w:r>
          </w:p>
        </w:tc>
        <w:tc>
          <w:tcPr>
            <w:tcW w:w="141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其他行政权力</w:t>
            </w:r>
          </w:p>
        </w:tc>
        <w:tc>
          <w:tcPr>
            <w:tcW w:w="1138"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学生处</w:t>
            </w:r>
          </w:p>
        </w:tc>
        <w:tc>
          <w:tcPr>
            <w:tcW w:w="1980"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30</w:t>
            </w:r>
          </w:p>
        </w:tc>
        <w:tc>
          <w:tcPr>
            <w:tcW w:w="1843"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网上运行</w:t>
            </w:r>
          </w:p>
        </w:tc>
        <w:tc>
          <w:tcPr>
            <w:tcW w:w="851" w:type="dxa"/>
            <w:tcBorders>
              <w:top w:val="nil"/>
              <w:left w:val="nil"/>
              <w:bottom w:val="single" w:sz="4" w:space="0" w:color="auto"/>
              <w:right w:val="single" w:sz="4" w:space="0" w:color="auto"/>
            </w:tcBorders>
            <w:shd w:val="clear" w:color="000000" w:fill="FFFFFF"/>
            <w:vAlign w:val="center"/>
          </w:tcPr>
          <w:p w:rsidR="00AA080C" w:rsidRDefault="00AA080C" w:rsidP="006F1065">
            <w:pPr>
              <w:widowControl/>
              <w:jc w:val="center"/>
              <w:rPr>
                <w:rFonts w:ascii="宋体" w:eastAsia="宋体" w:hAnsi="宋体" w:hint="eastAsia"/>
                <w:color w:val="000000"/>
                <w:kern w:val="0"/>
                <w:sz w:val="20"/>
                <w:szCs w:val="20"/>
              </w:rPr>
            </w:pPr>
            <w:r>
              <w:rPr>
                <w:rFonts w:ascii="宋体" w:eastAsia="宋体" w:hAnsi="宋体" w:hint="eastAsia"/>
                <w:color w:val="000000"/>
                <w:kern w:val="0"/>
                <w:sz w:val="20"/>
                <w:szCs w:val="20"/>
              </w:rPr>
              <w:t xml:space="preserve">　</w:t>
            </w:r>
          </w:p>
        </w:tc>
      </w:tr>
    </w:tbl>
    <w:p w:rsidR="00AA080C" w:rsidRDefault="00AA080C" w:rsidP="00AA080C"/>
    <w:p w:rsidR="00AA080C" w:rsidRDefault="00AA080C" w:rsidP="00AA080C">
      <w:pPr>
        <w:widowControl/>
        <w:shd w:val="clear" w:color="auto" w:fill="FFFFFF"/>
        <w:spacing w:line="580" w:lineRule="exact"/>
        <w:ind w:firstLineChars="200" w:firstLine="420"/>
        <w:jc w:val="center"/>
      </w:pPr>
    </w:p>
    <w:p w:rsidR="00AA080C" w:rsidRDefault="00AA080C" w:rsidP="00AA080C"/>
    <w:p w:rsidR="00AA080C" w:rsidRDefault="00AA080C" w:rsidP="00AA080C"/>
    <w:p w:rsidR="00AA080C" w:rsidRDefault="00AA080C" w:rsidP="00AA080C"/>
    <w:p w:rsidR="003664BB" w:rsidRDefault="003664BB">
      <w:bookmarkStart w:id="0" w:name="_GoBack"/>
      <w:bookmarkEnd w:id="0"/>
    </w:p>
    <w:sectPr w:rsidR="003664BB">
      <w:pgSz w:w="16838" w:h="11906" w:orient="landscape"/>
      <w:pgMar w:top="1800" w:right="1440" w:bottom="1800" w:left="144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4CB9" w:rsidRDefault="00B14CB9" w:rsidP="00AA080C">
      <w:r>
        <w:separator/>
      </w:r>
    </w:p>
  </w:endnote>
  <w:endnote w:type="continuationSeparator" w:id="0">
    <w:p w:rsidR="00B14CB9" w:rsidRDefault="00B14CB9" w:rsidP="00AA08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00000287"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Microsoft YaHei UI">
    <w:panose1 w:val="020B0503020204020204"/>
    <w:charset w:val="86"/>
    <w:family w:val="swiss"/>
    <w:pitch w:val="variable"/>
    <w:sig w:usb0="80000287" w:usb1="28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4CB9" w:rsidRDefault="00B14CB9" w:rsidP="00AA080C">
      <w:r>
        <w:separator/>
      </w:r>
    </w:p>
  </w:footnote>
  <w:footnote w:type="continuationSeparator" w:id="0">
    <w:p w:rsidR="00B14CB9" w:rsidRDefault="00B14CB9" w:rsidP="00AA08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50"/>
    <w:rsid w:val="001F7550"/>
    <w:rsid w:val="003664BB"/>
    <w:rsid w:val="00AA080C"/>
    <w:rsid w:val="00B14C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42E0A63-4BD7-4485-A3F3-1EE185DC2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80C"/>
    <w:pPr>
      <w:widowControl w:val="0"/>
      <w:jc w:val="both"/>
    </w:pPr>
    <w:rPr>
      <w:rFonts w:ascii="等线" w:eastAsia="等线" w:hAnsi="等线" w:cs="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080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A080C"/>
    <w:rPr>
      <w:sz w:val="18"/>
      <w:szCs w:val="18"/>
    </w:rPr>
  </w:style>
  <w:style w:type="paragraph" w:styleId="a5">
    <w:name w:val="footer"/>
    <w:basedOn w:val="a"/>
    <w:link w:val="a6"/>
    <w:uiPriority w:val="99"/>
    <w:unhideWhenUsed/>
    <w:rsid w:val="00AA080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A080C"/>
    <w:rPr>
      <w:sz w:val="18"/>
      <w:szCs w:val="18"/>
    </w:rPr>
  </w:style>
  <w:style w:type="character" w:customStyle="1" w:styleId="a7">
    <w:name w:val="批注框文本 字符"/>
    <w:link w:val="a8"/>
    <w:uiPriority w:val="99"/>
    <w:rsid w:val="00AA080C"/>
    <w:rPr>
      <w:rFonts w:ascii="等线" w:eastAsia="等线" w:hAnsi="等线" w:cs="宋体"/>
      <w:sz w:val="18"/>
      <w:szCs w:val="18"/>
    </w:rPr>
  </w:style>
  <w:style w:type="paragraph" w:styleId="a8">
    <w:name w:val="Balloon Text"/>
    <w:basedOn w:val="a"/>
    <w:link w:val="a7"/>
    <w:uiPriority w:val="99"/>
    <w:unhideWhenUsed/>
    <w:rsid w:val="00AA080C"/>
    <w:rPr>
      <w:sz w:val="18"/>
      <w:szCs w:val="18"/>
    </w:rPr>
  </w:style>
  <w:style w:type="character" w:customStyle="1" w:styleId="1">
    <w:name w:val="批注框文本 字符1"/>
    <w:basedOn w:val="a0"/>
    <w:uiPriority w:val="99"/>
    <w:semiHidden/>
    <w:rsid w:val="00AA080C"/>
    <w:rPr>
      <w:rFonts w:ascii="等线" w:eastAsia="等线" w:hAnsi="等线"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843</Words>
  <Characters>4808</Characters>
  <Application>Microsoft Office Word</Application>
  <DocSecurity>0</DocSecurity>
  <Lines>40</Lines>
  <Paragraphs>11</Paragraphs>
  <ScaleCrop>false</ScaleCrop>
  <Company>神州网信技术有限公司</Company>
  <LinksUpToDate>false</LinksUpToDate>
  <CharactersWithSpaces>5640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政府版用户</dc:creator>
  <cp:keywords/>
  <dc:description/>
  <cp:lastModifiedBy>政府版用户</cp:lastModifiedBy>
  <cp:revision>2</cp:revision>
  <dcterms:created xsi:type="dcterms:W3CDTF">2019-12-26T06:43:00Z</dcterms:created>
  <dcterms:modified xsi:type="dcterms:W3CDTF">2019-12-26T06:43:00Z</dcterms:modified>
</cp:coreProperties>
</file>