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5B" w:rsidRDefault="00047D5B" w:rsidP="00047D5B">
      <w:pPr>
        <w:spacing w:line="580" w:lineRule="exact"/>
        <w:rPr>
          <w:rFonts w:ascii="黑体" w:eastAsia="黑体" w:hAnsi="黑体" w:cs="黑体"/>
          <w:spacing w:val="-11"/>
          <w:sz w:val="32"/>
          <w:szCs w:val="32"/>
        </w:rPr>
      </w:pPr>
      <w:r>
        <w:rPr>
          <w:rFonts w:ascii="黑体" w:eastAsia="黑体" w:hAnsi="黑体" w:cs="黑体" w:hint="eastAsia"/>
          <w:spacing w:val="-11"/>
          <w:sz w:val="32"/>
          <w:szCs w:val="32"/>
        </w:rPr>
        <w:t>附件1</w:t>
      </w:r>
    </w:p>
    <w:p w:rsidR="00047D5B" w:rsidRDefault="00047D5B" w:rsidP="00047D5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4"/>
          <w:szCs w:val="44"/>
        </w:rPr>
        <w:t>优秀组织单位名单</w:t>
      </w:r>
    </w:p>
    <w:p w:rsidR="00047D5B" w:rsidRDefault="00047D5B" w:rsidP="00047D5B">
      <w:pPr>
        <w:spacing w:line="580" w:lineRule="exact"/>
        <w:jc w:val="center"/>
        <w:rPr>
          <w:rFonts w:ascii="黑体" w:eastAsia="黑体" w:hAnsi="黑体" w:cs="黑体"/>
          <w:bCs/>
          <w:spacing w:val="-11"/>
          <w:sz w:val="32"/>
          <w:szCs w:val="32"/>
        </w:rPr>
      </w:pP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济南市教育局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滨州市教育局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枣庄市教育局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济宁市教育局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威海市教育局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日照市教育局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德州市教育和体育局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中国海洋大学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中国石油大学（华东）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济南大学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山东财经大学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山东中医药大学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山东理工大学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山东建筑大学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青岛理工大学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鲁东大学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临沂大学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山东电力高等专科学校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潍坊职业学院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t>东营职业学院</w:t>
      </w:r>
    </w:p>
    <w:p w:rsidR="00047D5B" w:rsidRDefault="00047D5B" w:rsidP="00047D5B">
      <w:pPr>
        <w:spacing w:line="580" w:lineRule="exact"/>
        <w:ind w:firstLineChars="200" w:firstLine="596"/>
        <w:rPr>
          <w:rFonts w:ascii="仿宋_GB2312" w:eastAsia="仿宋_GB2312" w:hAnsi="仿宋_GB2312" w:cs="仿宋_GB2312"/>
          <w:bCs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11"/>
          <w:sz w:val="32"/>
          <w:szCs w:val="32"/>
        </w:rPr>
        <w:lastRenderedPageBreak/>
        <w:t>山东传媒职业学院</w:t>
      </w:r>
    </w:p>
    <w:p w:rsidR="00047D5B" w:rsidRDefault="00047D5B" w:rsidP="00047D5B">
      <w:pPr>
        <w:spacing w:line="580" w:lineRule="exact"/>
        <w:rPr>
          <w:rFonts w:ascii="黑体" w:eastAsia="黑体" w:hAnsi="黑体" w:cs="黑体"/>
          <w:bCs/>
          <w:spacing w:val="-11"/>
          <w:sz w:val="32"/>
          <w:szCs w:val="32"/>
        </w:rPr>
      </w:pPr>
    </w:p>
    <w:p w:rsidR="00B87896" w:rsidRPr="00047D5B" w:rsidRDefault="00B87896">
      <w:bookmarkStart w:id="0" w:name="_GoBack"/>
      <w:bookmarkEnd w:id="0"/>
    </w:p>
    <w:sectPr w:rsidR="00B87896" w:rsidRPr="0004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8E" w:rsidRDefault="006A348E" w:rsidP="00047D5B">
      <w:r>
        <w:separator/>
      </w:r>
    </w:p>
  </w:endnote>
  <w:endnote w:type="continuationSeparator" w:id="0">
    <w:p w:rsidR="006A348E" w:rsidRDefault="006A348E" w:rsidP="0004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8E" w:rsidRDefault="006A348E" w:rsidP="00047D5B">
      <w:r>
        <w:separator/>
      </w:r>
    </w:p>
  </w:footnote>
  <w:footnote w:type="continuationSeparator" w:id="0">
    <w:p w:rsidR="006A348E" w:rsidRDefault="006A348E" w:rsidP="0004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51"/>
    <w:rsid w:val="00047D5B"/>
    <w:rsid w:val="00180851"/>
    <w:rsid w:val="006A348E"/>
    <w:rsid w:val="00B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BA8CDF-0292-4518-8AF1-29E9B73B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D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2021-09-10T08:51:00Z</dcterms:created>
  <dcterms:modified xsi:type="dcterms:W3CDTF">2021-09-10T08:51:00Z</dcterms:modified>
</cp:coreProperties>
</file>