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89" w:rsidRDefault="00E66289" w:rsidP="00E66289">
      <w:pPr>
        <w:widowControl/>
        <w:rPr>
          <w:rFonts w:ascii="黑体" w:eastAsia="黑体" w:hAnsi="黑体"/>
          <w:sz w:val="32"/>
          <w:szCs w:val="32"/>
        </w:rPr>
      </w:pPr>
      <w:r>
        <w:rPr>
          <w:rFonts w:ascii="黑体" w:eastAsia="黑体" w:hAnsi="黑体" w:hint="eastAsia"/>
          <w:sz w:val="32"/>
          <w:szCs w:val="32"/>
        </w:rPr>
        <w:t>附件1</w:t>
      </w:r>
    </w:p>
    <w:p w:rsidR="00E66289" w:rsidRDefault="00E66289" w:rsidP="00E66289">
      <w:pPr>
        <w:widowControl/>
        <w:jc w:val="center"/>
        <w:rPr>
          <w:rFonts w:ascii="方正小标宋简体" w:eastAsia="方正小标宋简体" w:hAnsi="宋体"/>
          <w:sz w:val="44"/>
          <w:szCs w:val="44"/>
        </w:rPr>
      </w:pPr>
      <w:r>
        <w:rPr>
          <w:rFonts w:ascii="方正小标宋简体" w:eastAsia="方正小标宋简体" w:hAnsi="宋体" w:hint="eastAsia"/>
          <w:sz w:val="44"/>
          <w:szCs w:val="44"/>
        </w:rPr>
        <w:t>山东省高等职业院校专业（群）发展水平考核指标</w:t>
      </w:r>
    </w:p>
    <w:tbl>
      <w:tblPr>
        <w:tblW w:w="13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3872"/>
        <w:gridCol w:w="778"/>
        <w:gridCol w:w="5387"/>
        <w:gridCol w:w="2231"/>
      </w:tblGrid>
      <w:tr w:rsidR="00E66289" w:rsidRPr="00AB0442" w:rsidTr="0021512B">
        <w:trPr>
          <w:tblHeader/>
          <w:jc w:val="center"/>
        </w:trPr>
        <w:tc>
          <w:tcPr>
            <w:tcW w:w="1724" w:type="dxa"/>
            <w:vAlign w:val="center"/>
          </w:tcPr>
          <w:p w:rsidR="00E66289" w:rsidRPr="00FB462C" w:rsidRDefault="00E66289" w:rsidP="0021512B">
            <w:pPr>
              <w:widowControl/>
              <w:jc w:val="center"/>
              <w:rPr>
                <w:rFonts w:ascii="仿宋_GB2312" w:eastAsia="仿宋_GB2312" w:hAnsi="黑体" w:hint="eastAsia"/>
                <w:b/>
                <w:bCs/>
                <w:szCs w:val="21"/>
              </w:rPr>
            </w:pPr>
            <w:r w:rsidRPr="00FB462C">
              <w:rPr>
                <w:rFonts w:ascii="仿宋_GB2312" w:eastAsia="仿宋_GB2312" w:hAnsi="宋体" w:hint="eastAsia"/>
                <w:b/>
                <w:bCs/>
                <w:szCs w:val="21"/>
              </w:rPr>
              <w:t>一级指标</w:t>
            </w:r>
          </w:p>
        </w:tc>
        <w:tc>
          <w:tcPr>
            <w:tcW w:w="3872" w:type="dxa"/>
            <w:vAlign w:val="center"/>
          </w:tcPr>
          <w:p w:rsidR="00E66289" w:rsidRPr="00FB462C" w:rsidRDefault="00E66289" w:rsidP="0021512B">
            <w:pPr>
              <w:widowControl/>
              <w:jc w:val="center"/>
              <w:rPr>
                <w:rFonts w:ascii="仿宋_GB2312" w:eastAsia="仿宋_GB2312" w:hAnsi="黑体" w:hint="eastAsia"/>
                <w:szCs w:val="21"/>
              </w:rPr>
            </w:pPr>
            <w:r w:rsidRPr="00FB462C">
              <w:rPr>
                <w:rFonts w:ascii="仿宋_GB2312" w:eastAsia="仿宋_GB2312" w:hAnsi="宋体" w:hint="eastAsia"/>
                <w:b/>
                <w:bCs/>
                <w:szCs w:val="21"/>
              </w:rPr>
              <w:t>二级指标</w:t>
            </w:r>
          </w:p>
        </w:tc>
        <w:tc>
          <w:tcPr>
            <w:tcW w:w="778" w:type="dxa"/>
            <w:vAlign w:val="center"/>
          </w:tcPr>
          <w:p w:rsidR="00E66289" w:rsidRPr="00FB462C" w:rsidRDefault="00E66289" w:rsidP="0021512B">
            <w:pPr>
              <w:spacing w:line="276" w:lineRule="auto"/>
              <w:jc w:val="center"/>
              <w:rPr>
                <w:rFonts w:ascii="仿宋_GB2312" w:eastAsia="仿宋_GB2312" w:hAnsi="黑体" w:hint="eastAsia"/>
                <w:szCs w:val="21"/>
              </w:rPr>
            </w:pPr>
            <w:r w:rsidRPr="00FB462C">
              <w:rPr>
                <w:rFonts w:ascii="仿宋_GB2312" w:eastAsia="仿宋_GB2312" w:hAnsi="宋体" w:hint="eastAsia"/>
                <w:b/>
                <w:bCs/>
                <w:szCs w:val="21"/>
              </w:rPr>
              <w:t>指标性质</w:t>
            </w:r>
          </w:p>
        </w:tc>
        <w:tc>
          <w:tcPr>
            <w:tcW w:w="5387" w:type="dxa"/>
            <w:vAlign w:val="center"/>
          </w:tcPr>
          <w:p w:rsidR="00E66289" w:rsidRPr="00FB462C" w:rsidRDefault="00E66289" w:rsidP="0021512B">
            <w:pPr>
              <w:widowControl/>
              <w:jc w:val="center"/>
              <w:rPr>
                <w:rFonts w:ascii="仿宋_GB2312" w:eastAsia="仿宋_GB2312" w:hAnsi="黑体" w:hint="eastAsia"/>
                <w:szCs w:val="21"/>
              </w:rPr>
            </w:pPr>
            <w:r w:rsidRPr="00FB462C">
              <w:rPr>
                <w:rFonts w:ascii="仿宋_GB2312" w:eastAsia="仿宋_GB2312" w:hAnsi="宋体" w:hint="eastAsia"/>
                <w:b/>
                <w:bCs/>
                <w:szCs w:val="21"/>
              </w:rPr>
              <w:t>指标说明</w:t>
            </w:r>
          </w:p>
        </w:tc>
        <w:tc>
          <w:tcPr>
            <w:tcW w:w="2231" w:type="dxa"/>
            <w:vAlign w:val="center"/>
          </w:tcPr>
          <w:p w:rsidR="00E66289" w:rsidRPr="00FB462C" w:rsidRDefault="00E66289" w:rsidP="0021512B">
            <w:pPr>
              <w:widowControl/>
              <w:jc w:val="center"/>
              <w:rPr>
                <w:rFonts w:ascii="仿宋_GB2312" w:eastAsia="仿宋_GB2312" w:hAnsi="黑体" w:hint="eastAsia"/>
                <w:szCs w:val="21"/>
              </w:rPr>
            </w:pPr>
            <w:r w:rsidRPr="00FB462C">
              <w:rPr>
                <w:rFonts w:ascii="仿宋_GB2312" w:eastAsia="仿宋_GB2312" w:hAnsi="宋体" w:hint="eastAsia"/>
                <w:b/>
                <w:bCs/>
                <w:szCs w:val="21"/>
              </w:rPr>
              <w:t>计分办法</w:t>
            </w:r>
          </w:p>
        </w:tc>
      </w:tr>
      <w:tr w:rsidR="00E66289" w:rsidRPr="00AB0442" w:rsidTr="0021512B">
        <w:trPr>
          <w:trHeight w:val="1107"/>
          <w:jc w:val="center"/>
        </w:trPr>
        <w:tc>
          <w:tcPr>
            <w:tcW w:w="1724" w:type="dxa"/>
            <w:vMerge w:val="restart"/>
            <w:vAlign w:val="center"/>
          </w:tcPr>
          <w:p w:rsidR="00E66289" w:rsidRPr="00FB462C" w:rsidRDefault="00E66289" w:rsidP="0021512B">
            <w:pPr>
              <w:widowControl/>
              <w:spacing w:line="280" w:lineRule="exact"/>
              <w:jc w:val="center"/>
              <w:rPr>
                <w:rFonts w:ascii="仿宋_GB2312" w:eastAsia="仿宋_GB2312" w:hAnsi="宋体" w:hint="eastAsia"/>
                <w:bCs/>
                <w:kern w:val="0"/>
                <w:szCs w:val="21"/>
              </w:rPr>
            </w:pPr>
            <w:r w:rsidRPr="00FB462C">
              <w:rPr>
                <w:rFonts w:ascii="仿宋_GB2312" w:eastAsia="仿宋_GB2312" w:hAnsi="宋体" w:hint="eastAsia"/>
                <w:bCs/>
                <w:kern w:val="0"/>
                <w:szCs w:val="21"/>
              </w:rPr>
              <w:t>一、质量效益</w:t>
            </w:r>
          </w:p>
          <w:p w:rsidR="00E66289" w:rsidRPr="00FB462C" w:rsidRDefault="00E66289" w:rsidP="0021512B">
            <w:pPr>
              <w:widowControl/>
              <w:spacing w:line="280" w:lineRule="exact"/>
              <w:jc w:val="center"/>
              <w:rPr>
                <w:rFonts w:ascii="仿宋_GB2312" w:eastAsia="仿宋_GB2312" w:hAnsi="宋体" w:hint="eastAsia"/>
                <w:kern w:val="0"/>
                <w:szCs w:val="21"/>
              </w:rPr>
            </w:pPr>
            <w:r w:rsidRPr="00FB462C">
              <w:rPr>
                <w:rFonts w:ascii="仿宋_GB2312" w:eastAsia="仿宋_GB2312" w:hAnsi="宋体" w:hint="eastAsia"/>
                <w:bCs/>
                <w:kern w:val="0"/>
                <w:szCs w:val="21"/>
              </w:rPr>
              <w:t>（25分）</w:t>
            </w:r>
          </w:p>
        </w:tc>
        <w:tc>
          <w:tcPr>
            <w:tcW w:w="3872"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1.就业质量</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（8分）</w:t>
            </w:r>
          </w:p>
        </w:tc>
        <w:tc>
          <w:tcPr>
            <w:tcW w:w="778" w:type="dxa"/>
            <w:vAlign w:val="center"/>
          </w:tcPr>
          <w:p w:rsidR="00E66289" w:rsidRPr="00FB462C" w:rsidRDefault="00E66289" w:rsidP="0021512B">
            <w:pPr>
              <w:widowControl/>
              <w:spacing w:line="240" w:lineRule="exact"/>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计算方法：该专业（群）近3年毕业生平均薪酬、平均满意度以及用人单位平均满意度三个维度考核。</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数据来源：山东省高校毕业生就业信息网、山东省教育厅高校毕业生就业网。</w:t>
            </w:r>
          </w:p>
        </w:tc>
        <w:tc>
          <w:tcPr>
            <w:tcW w:w="2231"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平均薪酬占2分、</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毕业生满意度占3分、</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用人单位满意度3分。</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全省排序赋分。</w:t>
            </w:r>
          </w:p>
        </w:tc>
      </w:tr>
      <w:tr w:rsidR="00E66289" w:rsidRPr="00AB0442" w:rsidTr="0021512B">
        <w:trPr>
          <w:trHeight w:val="839"/>
          <w:jc w:val="center"/>
        </w:trPr>
        <w:tc>
          <w:tcPr>
            <w:tcW w:w="1724" w:type="dxa"/>
            <w:vMerge/>
            <w:vAlign w:val="center"/>
          </w:tcPr>
          <w:p w:rsidR="00E66289" w:rsidRPr="00FB462C" w:rsidRDefault="00E66289" w:rsidP="0021512B">
            <w:pPr>
              <w:widowControl/>
              <w:spacing w:line="280" w:lineRule="exact"/>
              <w:jc w:val="center"/>
              <w:rPr>
                <w:rFonts w:ascii="仿宋_GB2312" w:eastAsia="仿宋_GB2312" w:hAnsi="宋体" w:hint="eastAsia"/>
                <w:kern w:val="0"/>
                <w:szCs w:val="21"/>
              </w:rPr>
            </w:pPr>
          </w:p>
        </w:tc>
        <w:tc>
          <w:tcPr>
            <w:tcW w:w="3872" w:type="dxa"/>
            <w:vAlign w:val="center"/>
          </w:tcPr>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2.证书获取比例</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（7分）</w:t>
            </w:r>
          </w:p>
        </w:tc>
        <w:tc>
          <w:tcPr>
            <w:tcW w:w="778" w:type="dxa"/>
            <w:vAlign w:val="center"/>
          </w:tcPr>
          <w:p w:rsidR="00E66289" w:rsidRPr="00FB462C" w:rsidRDefault="00E66289" w:rsidP="0021512B">
            <w:pPr>
              <w:widowControl/>
              <w:spacing w:line="240" w:lineRule="exact"/>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计算方法：该专业（群）近3年获取职业资格证书、职业技能等级证书人数/该专业（群）近3年考试人数*100%。</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全省排序赋分。</w:t>
            </w:r>
          </w:p>
        </w:tc>
      </w:tr>
      <w:tr w:rsidR="00E66289" w:rsidRPr="00AB0442" w:rsidTr="0021512B">
        <w:trPr>
          <w:trHeight w:val="1404"/>
          <w:jc w:val="center"/>
        </w:trPr>
        <w:tc>
          <w:tcPr>
            <w:tcW w:w="1724" w:type="dxa"/>
            <w:vMerge/>
            <w:vAlign w:val="center"/>
          </w:tcPr>
          <w:p w:rsidR="00E66289" w:rsidRPr="00FB462C" w:rsidRDefault="00E66289" w:rsidP="0021512B">
            <w:pPr>
              <w:widowControl/>
              <w:spacing w:line="280" w:lineRule="exact"/>
              <w:jc w:val="center"/>
              <w:rPr>
                <w:rFonts w:ascii="仿宋_GB2312" w:eastAsia="仿宋_GB2312" w:hAnsi="宋体" w:hint="eastAsia"/>
                <w:kern w:val="0"/>
                <w:szCs w:val="21"/>
              </w:rPr>
            </w:pPr>
          </w:p>
        </w:tc>
        <w:tc>
          <w:tcPr>
            <w:tcW w:w="3872" w:type="dxa"/>
            <w:vAlign w:val="center"/>
          </w:tcPr>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3.学生技能大赛获奖</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（10分）</w:t>
            </w:r>
          </w:p>
        </w:tc>
        <w:tc>
          <w:tcPr>
            <w:tcW w:w="778" w:type="dxa"/>
            <w:vAlign w:val="center"/>
          </w:tcPr>
          <w:p w:rsidR="00E66289" w:rsidRPr="00FB462C" w:rsidRDefault="00E66289" w:rsidP="0021512B">
            <w:pPr>
              <w:widowControl/>
              <w:spacing w:line="240" w:lineRule="exact"/>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计算方法：该专业（群）近3年生均获得全省、全国职业院校技能大赛奖励分值，及较上个考核轮次的增幅。省级、国家级一二三等奖分别计5、3、2分，10、7、5分。同一项目，按最高奖次赋分。</w:t>
            </w:r>
          </w:p>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近3年值、增幅各占分值60%、40%；如增幅为0或负数，则增幅分为0。全省排序赋分。</w:t>
            </w:r>
          </w:p>
        </w:tc>
      </w:tr>
      <w:tr w:rsidR="00E66289" w:rsidRPr="00AB0442" w:rsidTr="0021512B">
        <w:trPr>
          <w:trHeight w:val="843"/>
          <w:jc w:val="center"/>
        </w:trPr>
        <w:tc>
          <w:tcPr>
            <w:tcW w:w="1724" w:type="dxa"/>
            <w:vMerge w:val="restart"/>
            <w:vAlign w:val="center"/>
          </w:tcPr>
          <w:p w:rsidR="00E66289" w:rsidRPr="00FB462C" w:rsidRDefault="00E66289" w:rsidP="0021512B">
            <w:pPr>
              <w:widowControl/>
              <w:spacing w:line="280" w:lineRule="exact"/>
              <w:jc w:val="center"/>
              <w:rPr>
                <w:rFonts w:ascii="仿宋_GB2312" w:eastAsia="仿宋_GB2312" w:hAnsi="宋体" w:hint="eastAsia"/>
                <w:bCs/>
                <w:kern w:val="0"/>
                <w:szCs w:val="21"/>
              </w:rPr>
            </w:pPr>
            <w:r w:rsidRPr="00FB462C">
              <w:rPr>
                <w:rFonts w:ascii="仿宋_GB2312" w:eastAsia="仿宋_GB2312" w:hAnsi="宋体" w:hint="eastAsia"/>
                <w:bCs/>
                <w:kern w:val="0"/>
                <w:szCs w:val="21"/>
              </w:rPr>
              <w:t>二、产教融合</w:t>
            </w:r>
          </w:p>
          <w:p w:rsidR="00E66289" w:rsidRPr="00FB462C" w:rsidRDefault="00E66289" w:rsidP="0021512B">
            <w:pPr>
              <w:widowControl/>
              <w:spacing w:line="280" w:lineRule="exact"/>
              <w:jc w:val="center"/>
              <w:rPr>
                <w:rFonts w:ascii="仿宋_GB2312" w:eastAsia="仿宋_GB2312" w:hAnsi="宋体" w:hint="eastAsia"/>
                <w:kern w:val="0"/>
                <w:szCs w:val="21"/>
              </w:rPr>
            </w:pPr>
            <w:r w:rsidRPr="00FB462C">
              <w:rPr>
                <w:rFonts w:ascii="仿宋_GB2312" w:eastAsia="仿宋_GB2312" w:hAnsi="宋体" w:hint="eastAsia"/>
                <w:bCs/>
                <w:kern w:val="0"/>
                <w:szCs w:val="21"/>
              </w:rPr>
              <w:t>（25分）</w:t>
            </w:r>
          </w:p>
        </w:tc>
        <w:tc>
          <w:tcPr>
            <w:tcW w:w="3872"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4.技术服务、各类培训及专利转化到款额（9分）</w:t>
            </w:r>
          </w:p>
        </w:tc>
        <w:tc>
          <w:tcPr>
            <w:tcW w:w="778" w:type="dxa"/>
            <w:vAlign w:val="center"/>
          </w:tcPr>
          <w:p w:rsidR="00E66289" w:rsidRPr="00FB462C" w:rsidRDefault="00E66289" w:rsidP="0021512B">
            <w:pPr>
              <w:widowControl/>
              <w:spacing w:line="240" w:lineRule="exact"/>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计算方法：该专业（群）近3年技术服务和承担的各类培训以及专利转化到款额/该专业（群）近3年教师总数。</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全省排序赋分。</w:t>
            </w:r>
          </w:p>
        </w:tc>
      </w:tr>
      <w:tr w:rsidR="00E66289" w:rsidRPr="00AB0442" w:rsidTr="0021512B">
        <w:trPr>
          <w:trHeight w:val="1422"/>
          <w:jc w:val="center"/>
        </w:trPr>
        <w:tc>
          <w:tcPr>
            <w:tcW w:w="1724" w:type="dxa"/>
            <w:vMerge/>
            <w:vAlign w:val="center"/>
          </w:tcPr>
          <w:p w:rsidR="00E66289" w:rsidRPr="00FB462C" w:rsidRDefault="00E66289" w:rsidP="0021512B">
            <w:pPr>
              <w:widowControl/>
              <w:spacing w:line="280" w:lineRule="exact"/>
              <w:jc w:val="center"/>
              <w:rPr>
                <w:rFonts w:ascii="仿宋_GB2312" w:eastAsia="仿宋_GB2312" w:hAnsi="宋体" w:hint="eastAsia"/>
                <w:kern w:val="0"/>
                <w:szCs w:val="21"/>
              </w:rPr>
            </w:pPr>
          </w:p>
        </w:tc>
        <w:tc>
          <w:tcPr>
            <w:tcW w:w="3872" w:type="dxa"/>
            <w:vAlign w:val="center"/>
          </w:tcPr>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5.合作企业接收实习人数及留用比（8分）</w:t>
            </w:r>
          </w:p>
        </w:tc>
        <w:tc>
          <w:tcPr>
            <w:tcW w:w="778" w:type="dxa"/>
            <w:vAlign w:val="center"/>
          </w:tcPr>
          <w:p w:rsidR="00E66289" w:rsidRPr="00FB462C" w:rsidRDefault="00E66289" w:rsidP="0021512B">
            <w:pPr>
              <w:widowControl/>
              <w:spacing w:line="240" w:lineRule="exact"/>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计算方法：实习人数：该专业（群）合作企业（含事业单位等）近3年接收实习学生数/该专业（群）近3年在校生数。留用比：学生实习结束留用数（按签订劳动合同计算）/合作企业接收实习人数。</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实习人数、留用比各占50%。全省排序赋分。</w:t>
            </w:r>
          </w:p>
        </w:tc>
      </w:tr>
      <w:tr w:rsidR="00E66289" w:rsidRPr="00AB0442" w:rsidTr="0021512B">
        <w:trPr>
          <w:trHeight w:val="850"/>
          <w:jc w:val="center"/>
        </w:trPr>
        <w:tc>
          <w:tcPr>
            <w:tcW w:w="1724" w:type="dxa"/>
            <w:vMerge/>
            <w:vAlign w:val="center"/>
          </w:tcPr>
          <w:p w:rsidR="00E66289" w:rsidRPr="00FB462C" w:rsidRDefault="00E66289" w:rsidP="0021512B">
            <w:pPr>
              <w:widowControl/>
              <w:spacing w:line="280" w:lineRule="exact"/>
              <w:jc w:val="center"/>
              <w:rPr>
                <w:rFonts w:ascii="仿宋_GB2312" w:eastAsia="仿宋_GB2312" w:hAnsi="宋体" w:hint="eastAsia"/>
                <w:kern w:val="0"/>
                <w:szCs w:val="21"/>
              </w:rPr>
            </w:pPr>
          </w:p>
        </w:tc>
        <w:tc>
          <w:tcPr>
            <w:tcW w:w="3872"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6.生均共建共享生产性实训基地工位数（8分）</w:t>
            </w:r>
          </w:p>
        </w:tc>
        <w:tc>
          <w:tcPr>
            <w:tcW w:w="778" w:type="dxa"/>
            <w:vAlign w:val="center"/>
          </w:tcPr>
          <w:p w:rsidR="00E66289" w:rsidRPr="00FB462C" w:rsidRDefault="00E66289" w:rsidP="0021512B">
            <w:pPr>
              <w:widowControl/>
              <w:spacing w:line="240" w:lineRule="exact"/>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计算方法：该专业（群）校企共建共享生产性实训基地工位数/该专业（群）近三年平均在校生数。</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spacing w:line="28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全省排序赋分。</w:t>
            </w:r>
          </w:p>
        </w:tc>
      </w:tr>
      <w:tr w:rsidR="00E66289" w:rsidRPr="00AB0442" w:rsidTr="0021512B">
        <w:trPr>
          <w:trHeight w:val="892"/>
          <w:jc w:val="center"/>
        </w:trPr>
        <w:tc>
          <w:tcPr>
            <w:tcW w:w="1724" w:type="dxa"/>
            <w:vMerge w:val="restart"/>
            <w:vAlign w:val="center"/>
          </w:tcPr>
          <w:p w:rsidR="00E66289" w:rsidRPr="00FB462C" w:rsidRDefault="00E66289" w:rsidP="0021512B">
            <w:pPr>
              <w:widowControl/>
              <w:jc w:val="center"/>
              <w:rPr>
                <w:rFonts w:ascii="仿宋_GB2312" w:eastAsia="仿宋_GB2312" w:hAnsi="宋体" w:hint="eastAsia"/>
                <w:bCs/>
                <w:kern w:val="0"/>
                <w:szCs w:val="21"/>
              </w:rPr>
            </w:pPr>
            <w:r w:rsidRPr="00FB462C">
              <w:rPr>
                <w:rFonts w:ascii="仿宋_GB2312" w:eastAsia="仿宋_GB2312" w:hAnsi="宋体" w:hint="eastAsia"/>
                <w:bCs/>
                <w:kern w:val="0"/>
                <w:szCs w:val="21"/>
              </w:rPr>
              <w:t>三、师资队伍</w:t>
            </w:r>
          </w:p>
          <w:p w:rsidR="00E66289" w:rsidRPr="00FB462C" w:rsidRDefault="00E66289" w:rsidP="0021512B">
            <w:pPr>
              <w:widowControl/>
              <w:jc w:val="center"/>
              <w:rPr>
                <w:rFonts w:ascii="仿宋_GB2312" w:eastAsia="仿宋_GB2312" w:hAnsi="宋体" w:hint="eastAsia"/>
                <w:kern w:val="0"/>
                <w:szCs w:val="21"/>
              </w:rPr>
            </w:pPr>
            <w:r w:rsidRPr="00FB462C">
              <w:rPr>
                <w:rFonts w:ascii="仿宋_GB2312" w:eastAsia="仿宋_GB2312" w:hAnsi="宋体" w:hint="eastAsia"/>
                <w:bCs/>
                <w:kern w:val="0"/>
                <w:szCs w:val="21"/>
              </w:rPr>
              <w:t>（25分）</w:t>
            </w:r>
          </w:p>
        </w:tc>
        <w:tc>
          <w:tcPr>
            <w:tcW w:w="3872" w:type="dxa"/>
            <w:vAlign w:val="center"/>
          </w:tcPr>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7.具有相关行业企业工作经历教师占比（7分）</w:t>
            </w:r>
          </w:p>
        </w:tc>
        <w:tc>
          <w:tcPr>
            <w:tcW w:w="778" w:type="dxa"/>
            <w:vAlign w:val="center"/>
          </w:tcPr>
          <w:p w:rsidR="00E66289" w:rsidRPr="00FB462C" w:rsidRDefault="00E66289" w:rsidP="0021512B">
            <w:pPr>
              <w:widowControl/>
              <w:spacing w:line="240" w:lineRule="exact"/>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评价办法：该专业（群）具有3年以上相关行业、企业工作经历教师数/该专业（群）专兼职教师数。</w:t>
            </w:r>
          </w:p>
          <w:p w:rsidR="00E66289" w:rsidRPr="00FB462C" w:rsidRDefault="00E66289" w:rsidP="0021512B">
            <w:pPr>
              <w:widowControl/>
              <w:spacing w:line="24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全省排序赋分。</w:t>
            </w:r>
          </w:p>
        </w:tc>
      </w:tr>
      <w:tr w:rsidR="00E66289" w:rsidRPr="00AB0442" w:rsidTr="0021512B">
        <w:trPr>
          <w:jc w:val="center"/>
        </w:trPr>
        <w:tc>
          <w:tcPr>
            <w:tcW w:w="1724" w:type="dxa"/>
            <w:vMerge/>
            <w:vAlign w:val="center"/>
          </w:tcPr>
          <w:p w:rsidR="00E66289" w:rsidRPr="00FB462C" w:rsidRDefault="00E66289" w:rsidP="0021512B">
            <w:pPr>
              <w:widowControl/>
              <w:jc w:val="center"/>
              <w:rPr>
                <w:rFonts w:ascii="仿宋_GB2312" w:eastAsia="仿宋_GB2312" w:hAnsi="宋体" w:hint="eastAsia"/>
                <w:kern w:val="0"/>
                <w:szCs w:val="21"/>
              </w:rPr>
            </w:pPr>
          </w:p>
        </w:tc>
        <w:tc>
          <w:tcPr>
            <w:tcW w:w="3872" w:type="dxa"/>
            <w:vAlign w:val="center"/>
          </w:tcPr>
          <w:p w:rsidR="00E66289" w:rsidRPr="00FB462C" w:rsidRDefault="00E66289" w:rsidP="0021512B">
            <w:pPr>
              <w:jc w:val="left"/>
              <w:rPr>
                <w:rFonts w:ascii="仿宋_GB2312" w:eastAsia="仿宋_GB2312" w:hAnsi="宋体" w:hint="eastAsia"/>
                <w:kern w:val="0"/>
                <w:szCs w:val="21"/>
              </w:rPr>
            </w:pPr>
            <w:r w:rsidRPr="00FB462C">
              <w:rPr>
                <w:rFonts w:ascii="仿宋_GB2312" w:eastAsia="仿宋_GB2312" w:hAnsi="宋体" w:hint="eastAsia"/>
                <w:kern w:val="0"/>
                <w:szCs w:val="21"/>
              </w:rPr>
              <w:t>8.“双师型”教师占比（9分）</w:t>
            </w:r>
          </w:p>
        </w:tc>
        <w:tc>
          <w:tcPr>
            <w:tcW w:w="778" w:type="dxa"/>
            <w:vAlign w:val="center"/>
          </w:tcPr>
          <w:p w:rsidR="00E66289" w:rsidRPr="00FB462C" w:rsidRDefault="00E66289" w:rsidP="0021512B">
            <w:pPr>
              <w:widowControl/>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持证“双师型”专任教师数/该专业（群）专业课专任教师总数*100%。只考核持证“双师型”教师数，证书指本专业中级或以上技术职称及职业资格证书（含行业特许的资格证书及具有专业资格或专业技能考评员资格者及行业公认的证书）。</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按照60%以上、50%以上、40%以上、30%以上、低于30%五档，全省分档赋分。</w:t>
            </w:r>
          </w:p>
        </w:tc>
      </w:tr>
      <w:tr w:rsidR="00E66289" w:rsidRPr="00AB0442" w:rsidTr="0021512B">
        <w:trPr>
          <w:jc w:val="center"/>
        </w:trPr>
        <w:tc>
          <w:tcPr>
            <w:tcW w:w="1724" w:type="dxa"/>
            <w:vMerge/>
            <w:vAlign w:val="center"/>
          </w:tcPr>
          <w:p w:rsidR="00E66289" w:rsidRPr="00FB462C" w:rsidRDefault="00E66289" w:rsidP="0021512B">
            <w:pPr>
              <w:widowControl/>
              <w:jc w:val="center"/>
              <w:rPr>
                <w:rFonts w:ascii="仿宋_GB2312" w:eastAsia="仿宋_GB2312" w:hAnsi="宋体" w:hint="eastAsia"/>
                <w:kern w:val="0"/>
                <w:szCs w:val="21"/>
              </w:rPr>
            </w:pPr>
          </w:p>
        </w:tc>
        <w:tc>
          <w:tcPr>
            <w:tcW w:w="3872" w:type="dxa"/>
            <w:vAlign w:val="center"/>
          </w:tcPr>
          <w:p w:rsidR="00E66289" w:rsidRPr="00FB462C" w:rsidRDefault="00E66289" w:rsidP="0021512B">
            <w:pPr>
              <w:spacing w:line="276"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9.教师教学创新团队数、教学名师数、技术能手数、首席技师数（9分）</w:t>
            </w:r>
          </w:p>
        </w:tc>
        <w:tc>
          <w:tcPr>
            <w:tcW w:w="778" w:type="dxa"/>
            <w:vAlign w:val="center"/>
          </w:tcPr>
          <w:p w:rsidR="00E66289" w:rsidRPr="00FB462C" w:rsidRDefault="00E66289" w:rsidP="0021512B">
            <w:pPr>
              <w:widowControl/>
              <w:spacing w:line="276" w:lineRule="auto"/>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spacing w:line="276"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计算方法：该专业（群）近3年获省级及以上教师教学创新团队、青创人才团队、技能大师工作室数量和教学名师数、技术能手数、首席技师数。</w:t>
            </w:r>
          </w:p>
          <w:p w:rsidR="00E66289" w:rsidRPr="00FB462C" w:rsidRDefault="00E66289" w:rsidP="0021512B">
            <w:pPr>
              <w:widowControl/>
              <w:spacing w:line="276"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spacing w:line="276"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教学团队数2分，教学名师数2分，技术能手数、首席技师数5分。</w:t>
            </w:r>
          </w:p>
          <w:p w:rsidR="00E66289" w:rsidRPr="00FB462C" w:rsidRDefault="00E66289" w:rsidP="0021512B">
            <w:pPr>
              <w:widowControl/>
              <w:spacing w:line="276"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国家级2倍权重。全省排序赋分。</w:t>
            </w:r>
          </w:p>
        </w:tc>
      </w:tr>
      <w:tr w:rsidR="00E66289" w:rsidRPr="00AB0442" w:rsidTr="0021512B">
        <w:trPr>
          <w:jc w:val="center"/>
        </w:trPr>
        <w:tc>
          <w:tcPr>
            <w:tcW w:w="1724" w:type="dxa"/>
            <w:vMerge w:val="restart"/>
            <w:vAlign w:val="center"/>
          </w:tcPr>
          <w:p w:rsidR="00E66289" w:rsidRPr="00FB462C" w:rsidRDefault="00E66289" w:rsidP="0021512B">
            <w:pPr>
              <w:widowControl/>
              <w:spacing w:line="288" w:lineRule="auto"/>
              <w:jc w:val="center"/>
              <w:rPr>
                <w:rFonts w:ascii="仿宋_GB2312" w:eastAsia="仿宋_GB2312" w:hAnsi="宋体" w:hint="eastAsia"/>
                <w:bCs/>
                <w:kern w:val="0"/>
                <w:szCs w:val="21"/>
              </w:rPr>
            </w:pPr>
            <w:r w:rsidRPr="00FB462C">
              <w:rPr>
                <w:rFonts w:ascii="仿宋_GB2312" w:eastAsia="仿宋_GB2312" w:hAnsi="宋体" w:hint="eastAsia"/>
                <w:bCs/>
                <w:kern w:val="0"/>
                <w:szCs w:val="21"/>
              </w:rPr>
              <w:t>四、课程与教材</w:t>
            </w:r>
          </w:p>
          <w:p w:rsidR="00E66289" w:rsidRPr="00FB462C" w:rsidRDefault="00E66289" w:rsidP="0021512B">
            <w:pPr>
              <w:widowControl/>
              <w:spacing w:line="288" w:lineRule="auto"/>
              <w:jc w:val="center"/>
              <w:rPr>
                <w:rFonts w:ascii="仿宋_GB2312" w:eastAsia="仿宋_GB2312" w:hAnsi="宋体" w:hint="eastAsia"/>
                <w:kern w:val="0"/>
                <w:szCs w:val="21"/>
              </w:rPr>
            </w:pPr>
            <w:r w:rsidRPr="00FB462C">
              <w:rPr>
                <w:rFonts w:ascii="仿宋_GB2312" w:eastAsia="仿宋_GB2312" w:hAnsi="宋体" w:hint="eastAsia"/>
                <w:bCs/>
                <w:kern w:val="0"/>
                <w:szCs w:val="21"/>
              </w:rPr>
              <w:t>（15分）</w:t>
            </w:r>
          </w:p>
        </w:tc>
        <w:tc>
          <w:tcPr>
            <w:tcW w:w="3872" w:type="dxa"/>
            <w:vAlign w:val="center"/>
          </w:tcPr>
          <w:p w:rsidR="00E66289" w:rsidRPr="00FB462C" w:rsidRDefault="00E66289" w:rsidP="0021512B">
            <w:pPr>
              <w:jc w:val="left"/>
              <w:rPr>
                <w:rFonts w:ascii="仿宋_GB2312" w:eastAsia="仿宋_GB2312" w:hAnsi="宋体" w:hint="eastAsia"/>
                <w:kern w:val="0"/>
                <w:szCs w:val="21"/>
              </w:rPr>
            </w:pPr>
            <w:r w:rsidRPr="00FB462C">
              <w:rPr>
                <w:rFonts w:ascii="仿宋_GB2312" w:eastAsia="仿宋_GB2312" w:hAnsi="宋体" w:hint="eastAsia"/>
                <w:kern w:val="0"/>
                <w:szCs w:val="21"/>
              </w:rPr>
              <w:t>10.实践课程课时占比</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（5分）</w:t>
            </w:r>
          </w:p>
        </w:tc>
        <w:tc>
          <w:tcPr>
            <w:tcW w:w="778" w:type="dxa"/>
            <w:vAlign w:val="center"/>
          </w:tcPr>
          <w:p w:rsidR="00E66289" w:rsidRPr="00FB462C" w:rsidRDefault="00E66289" w:rsidP="0021512B">
            <w:pPr>
              <w:widowControl/>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计算方法：近3年每年实践性教学课时占总课时一半以上和顶岗实习时间为6个月左右的达标情况。</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每年每有一项不达标扣1分，扣完为止。</w:t>
            </w:r>
          </w:p>
        </w:tc>
      </w:tr>
      <w:tr w:rsidR="00E66289" w:rsidRPr="00AB0442" w:rsidTr="0021512B">
        <w:trPr>
          <w:trHeight w:val="1310"/>
          <w:jc w:val="center"/>
        </w:trPr>
        <w:tc>
          <w:tcPr>
            <w:tcW w:w="1724" w:type="dxa"/>
            <w:vMerge/>
            <w:vAlign w:val="center"/>
          </w:tcPr>
          <w:p w:rsidR="00E66289" w:rsidRPr="00FB462C" w:rsidRDefault="00E66289" w:rsidP="0021512B">
            <w:pPr>
              <w:widowControl/>
              <w:spacing w:line="288" w:lineRule="auto"/>
              <w:jc w:val="center"/>
              <w:rPr>
                <w:rFonts w:ascii="仿宋_GB2312" w:eastAsia="仿宋_GB2312" w:hAnsi="宋体" w:hint="eastAsia"/>
                <w:kern w:val="0"/>
                <w:szCs w:val="21"/>
              </w:rPr>
            </w:pPr>
          </w:p>
        </w:tc>
        <w:tc>
          <w:tcPr>
            <w:tcW w:w="3872"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11.使用省以上规划教材和新型活页式、工作手册式及校企合作开发教材情况</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（5分）</w:t>
            </w:r>
          </w:p>
        </w:tc>
        <w:tc>
          <w:tcPr>
            <w:tcW w:w="778" w:type="dxa"/>
            <w:vAlign w:val="center"/>
          </w:tcPr>
          <w:p w:rsidR="00E66289" w:rsidRPr="00FB462C" w:rsidRDefault="00E66289" w:rsidP="0021512B">
            <w:pPr>
              <w:widowControl/>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计算方法：该专业（群）使用省以上规划教材和新型活页式、工作手册式教材数/该专业（群）近3年专业课程数次。</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全省排序赋分。</w:t>
            </w:r>
          </w:p>
        </w:tc>
      </w:tr>
      <w:tr w:rsidR="00E66289" w:rsidRPr="00AB0442" w:rsidTr="0021512B">
        <w:trPr>
          <w:jc w:val="center"/>
        </w:trPr>
        <w:tc>
          <w:tcPr>
            <w:tcW w:w="1724" w:type="dxa"/>
            <w:vMerge/>
            <w:vAlign w:val="center"/>
          </w:tcPr>
          <w:p w:rsidR="00E66289" w:rsidRPr="00FB462C" w:rsidRDefault="00E66289" w:rsidP="0021512B">
            <w:pPr>
              <w:widowControl/>
              <w:spacing w:line="288" w:lineRule="auto"/>
              <w:jc w:val="center"/>
              <w:rPr>
                <w:rFonts w:ascii="仿宋_GB2312" w:eastAsia="仿宋_GB2312" w:hAnsi="宋体" w:hint="eastAsia"/>
                <w:kern w:val="0"/>
                <w:szCs w:val="21"/>
              </w:rPr>
            </w:pPr>
          </w:p>
        </w:tc>
        <w:tc>
          <w:tcPr>
            <w:tcW w:w="3872"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12.普及项目、情景、模块化教学，广泛运用多种教学方法</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（5分）</w:t>
            </w:r>
          </w:p>
        </w:tc>
        <w:tc>
          <w:tcPr>
            <w:tcW w:w="778" w:type="dxa"/>
            <w:vAlign w:val="center"/>
          </w:tcPr>
          <w:p w:rsidR="00E66289" w:rsidRPr="00FB462C" w:rsidRDefault="00E66289" w:rsidP="0021512B">
            <w:pPr>
              <w:widowControl/>
              <w:jc w:val="center"/>
              <w:rPr>
                <w:rFonts w:ascii="仿宋_GB2312" w:eastAsia="仿宋_GB2312" w:hAnsi="宋体" w:hint="eastAsia"/>
                <w:kern w:val="0"/>
                <w:szCs w:val="21"/>
              </w:rPr>
            </w:pPr>
            <w:r w:rsidRPr="00FB462C">
              <w:rPr>
                <w:rFonts w:ascii="仿宋_GB2312" w:eastAsia="仿宋_GB2312" w:hAnsi="宋体" w:hint="eastAsia"/>
                <w:kern w:val="0"/>
                <w:szCs w:val="21"/>
              </w:rPr>
              <w:t>定性</w:t>
            </w:r>
          </w:p>
        </w:tc>
        <w:tc>
          <w:tcPr>
            <w:tcW w:w="5387"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评价方法：学校提供材料，综合评价。</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全省分档赋分。</w:t>
            </w:r>
          </w:p>
        </w:tc>
      </w:tr>
      <w:tr w:rsidR="00E66289" w:rsidRPr="00AB0442" w:rsidTr="0021512B">
        <w:trPr>
          <w:jc w:val="center"/>
        </w:trPr>
        <w:tc>
          <w:tcPr>
            <w:tcW w:w="1724" w:type="dxa"/>
            <w:vMerge w:val="restart"/>
            <w:vAlign w:val="center"/>
          </w:tcPr>
          <w:p w:rsidR="00E66289" w:rsidRPr="00FB462C" w:rsidRDefault="00E66289" w:rsidP="0021512B">
            <w:pPr>
              <w:widowControl/>
              <w:spacing w:line="288" w:lineRule="auto"/>
              <w:jc w:val="center"/>
              <w:rPr>
                <w:rFonts w:ascii="仿宋_GB2312" w:eastAsia="仿宋_GB2312" w:hAnsi="宋体" w:hint="eastAsia"/>
                <w:bCs/>
                <w:kern w:val="0"/>
                <w:szCs w:val="21"/>
              </w:rPr>
            </w:pPr>
            <w:r w:rsidRPr="00FB462C">
              <w:rPr>
                <w:rFonts w:ascii="仿宋_GB2312" w:eastAsia="仿宋_GB2312" w:hAnsi="宋体" w:hint="eastAsia"/>
                <w:bCs/>
                <w:kern w:val="0"/>
                <w:szCs w:val="21"/>
              </w:rPr>
              <w:t>五、国际合作</w:t>
            </w:r>
          </w:p>
          <w:p w:rsidR="00E66289" w:rsidRPr="00FB462C" w:rsidRDefault="00E66289" w:rsidP="0021512B">
            <w:pPr>
              <w:widowControl/>
              <w:spacing w:line="288" w:lineRule="auto"/>
              <w:jc w:val="center"/>
              <w:rPr>
                <w:rFonts w:ascii="仿宋_GB2312" w:eastAsia="仿宋_GB2312" w:hAnsi="宋体" w:hint="eastAsia"/>
                <w:kern w:val="0"/>
                <w:szCs w:val="21"/>
              </w:rPr>
            </w:pPr>
            <w:r w:rsidRPr="00FB462C">
              <w:rPr>
                <w:rFonts w:ascii="仿宋_GB2312" w:eastAsia="仿宋_GB2312" w:hAnsi="宋体" w:hint="eastAsia"/>
                <w:bCs/>
                <w:kern w:val="0"/>
                <w:szCs w:val="21"/>
              </w:rPr>
              <w:t>（10分）</w:t>
            </w:r>
          </w:p>
        </w:tc>
        <w:tc>
          <w:tcPr>
            <w:tcW w:w="3872" w:type="dxa"/>
            <w:vAlign w:val="center"/>
          </w:tcPr>
          <w:p w:rsidR="00E66289" w:rsidRPr="00FB462C" w:rsidRDefault="00E66289" w:rsidP="0021512B">
            <w:pPr>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13.师生国（境）外交流量</w:t>
            </w:r>
          </w:p>
          <w:p w:rsidR="00E66289" w:rsidRPr="00FB462C" w:rsidRDefault="00E66289" w:rsidP="0021512B">
            <w:pPr>
              <w:widowControl/>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（4分）</w:t>
            </w:r>
          </w:p>
        </w:tc>
        <w:tc>
          <w:tcPr>
            <w:tcW w:w="778" w:type="dxa"/>
            <w:vAlign w:val="center"/>
          </w:tcPr>
          <w:p w:rsidR="00E66289" w:rsidRPr="00FB462C" w:rsidRDefault="00E66289" w:rsidP="0021512B">
            <w:pPr>
              <w:widowControl/>
              <w:spacing w:line="288" w:lineRule="auto"/>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spacing w:line="300" w:lineRule="exact"/>
              <w:jc w:val="left"/>
              <w:rPr>
                <w:rFonts w:ascii="仿宋_GB2312" w:eastAsia="仿宋_GB2312" w:hAnsi="宋体" w:hint="eastAsia"/>
                <w:kern w:val="0"/>
                <w:szCs w:val="21"/>
              </w:rPr>
            </w:pPr>
            <w:r w:rsidRPr="00FB462C">
              <w:rPr>
                <w:rFonts w:ascii="仿宋_GB2312" w:eastAsia="仿宋_GB2312" w:hAnsi="宋体" w:hint="eastAsia"/>
                <w:kern w:val="0"/>
                <w:szCs w:val="21"/>
              </w:rPr>
              <w:t>计算办法：该专业群近三年专任教师国（境）外访学三个月以上人数、在校生国（境）外交流一学期以上累计人数。</w:t>
            </w:r>
          </w:p>
          <w:p w:rsidR="00E66289" w:rsidRPr="00FB462C" w:rsidRDefault="00E66289" w:rsidP="0021512B">
            <w:pPr>
              <w:widowControl/>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教师、学生各占50%权重，全省排序赋分。</w:t>
            </w:r>
          </w:p>
        </w:tc>
      </w:tr>
      <w:tr w:rsidR="00E66289" w:rsidRPr="00AB0442" w:rsidTr="0021512B">
        <w:trPr>
          <w:jc w:val="center"/>
        </w:trPr>
        <w:tc>
          <w:tcPr>
            <w:tcW w:w="1724" w:type="dxa"/>
            <w:vMerge/>
            <w:vAlign w:val="center"/>
          </w:tcPr>
          <w:p w:rsidR="00E66289" w:rsidRPr="00FB462C" w:rsidRDefault="00E66289" w:rsidP="0021512B">
            <w:pPr>
              <w:widowControl/>
              <w:spacing w:line="288" w:lineRule="auto"/>
              <w:jc w:val="center"/>
              <w:rPr>
                <w:rFonts w:ascii="仿宋_GB2312" w:eastAsia="仿宋_GB2312" w:hAnsi="宋体" w:hint="eastAsia"/>
                <w:kern w:val="0"/>
                <w:szCs w:val="21"/>
              </w:rPr>
            </w:pPr>
          </w:p>
        </w:tc>
        <w:tc>
          <w:tcPr>
            <w:tcW w:w="3872" w:type="dxa"/>
            <w:vAlign w:val="center"/>
          </w:tcPr>
          <w:p w:rsidR="00E66289" w:rsidRPr="00FB462C" w:rsidRDefault="00E66289" w:rsidP="0021512B">
            <w:pPr>
              <w:widowControl/>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14.开发国际标准或承担国际合作平台（3分）</w:t>
            </w:r>
          </w:p>
        </w:tc>
        <w:tc>
          <w:tcPr>
            <w:tcW w:w="778" w:type="dxa"/>
            <w:vAlign w:val="center"/>
          </w:tcPr>
          <w:p w:rsidR="00E66289" w:rsidRPr="00FB462C" w:rsidRDefault="00E66289" w:rsidP="0021512B">
            <w:pPr>
              <w:widowControl/>
              <w:spacing w:line="288" w:lineRule="auto"/>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计算方法：该专业（群）有牵头、参与开发的国际标准或有承担、参与的国际合作平台。</w:t>
            </w:r>
          </w:p>
          <w:p w:rsidR="00E66289" w:rsidRPr="00FB462C" w:rsidRDefault="00E66289" w:rsidP="0021512B">
            <w:pPr>
              <w:widowControl/>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牵头或承担计3分，参与计1分，累计不超过3分。</w:t>
            </w:r>
          </w:p>
        </w:tc>
      </w:tr>
      <w:tr w:rsidR="00E66289" w:rsidRPr="00AB0442" w:rsidTr="0021512B">
        <w:trPr>
          <w:jc w:val="center"/>
        </w:trPr>
        <w:tc>
          <w:tcPr>
            <w:tcW w:w="1724" w:type="dxa"/>
            <w:vMerge/>
            <w:vAlign w:val="center"/>
          </w:tcPr>
          <w:p w:rsidR="00E66289" w:rsidRPr="00FB462C" w:rsidRDefault="00E66289" w:rsidP="0021512B">
            <w:pPr>
              <w:widowControl/>
              <w:spacing w:line="288" w:lineRule="auto"/>
              <w:jc w:val="center"/>
              <w:rPr>
                <w:rFonts w:ascii="仿宋_GB2312" w:eastAsia="仿宋_GB2312" w:hAnsi="宋体" w:hint="eastAsia"/>
                <w:kern w:val="0"/>
                <w:szCs w:val="21"/>
              </w:rPr>
            </w:pPr>
          </w:p>
        </w:tc>
        <w:tc>
          <w:tcPr>
            <w:tcW w:w="3872" w:type="dxa"/>
            <w:vAlign w:val="center"/>
          </w:tcPr>
          <w:p w:rsidR="00E66289" w:rsidRPr="00FB462C" w:rsidRDefault="00E66289" w:rsidP="0021512B">
            <w:pPr>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15.国（境）外办学（3分）</w:t>
            </w:r>
          </w:p>
        </w:tc>
        <w:tc>
          <w:tcPr>
            <w:tcW w:w="778" w:type="dxa"/>
            <w:vAlign w:val="center"/>
          </w:tcPr>
          <w:p w:rsidR="00E66289" w:rsidRPr="00FB462C" w:rsidRDefault="00E66289" w:rsidP="0021512B">
            <w:pPr>
              <w:widowControl/>
              <w:spacing w:line="288" w:lineRule="auto"/>
              <w:jc w:val="center"/>
              <w:rPr>
                <w:rFonts w:ascii="仿宋_GB2312" w:eastAsia="仿宋_GB2312" w:hAnsi="宋体" w:hint="eastAsia"/>
                <w:kern w:val="0"/>
                <w:szCs w:val="21"/>
              </w:rPr>
            </w:pPr>
            <w:r w:rsidRPr="00FB462C">
              <w:rPr>
                <w:rFonts w:ascii="仿宋_GB2312" w:eastAsia="仿宋_GB2312" w:hAnsi="宋体" w:hint="eastAsia"/>
                <w:kern w:val="0"/>
                <w:szCs w:val="21"/>
              </w:rPr>
              <w:t>定量</w:t>
            </w:r>
          </w:p>
        </w:tc>
        <w:tc>
          <w:tcPr>
            <w:tcW w:w="5387" w:type="dxa"/>
            <w:vAlign w:val="center"/>
          </w:tcPr>
          <w:p w:rsidR="00E66289" w:rsidRPr="00FB462C" w:rsidRDefault="00E66289" w:rsidP="0021512B">
            <w:pPr>
              <w:widowControl/>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评价办法：依托优势专业（群）在国（境）外开设分校、鲁班工坊或其他国（境）外办学活动。学校提供材料，综合评价。</w:t>
            </w:r>
          </w:p>
          <w:p w:rsidR="00E66289" w:rsidRPr="00FB462C" w:rsidRDefault="00E66289" w:rsidP="0021512B">
            <w:pPr>
              <w:widowControl/>
              <w:spacing w:line="288" w:lineRule="auto"/>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开设分校或鲁班工坊则直接计3分；未开设分校或鲁班工坊、但开展了其他境外办学活动，根据活动质量分档计1分、2分。</w:t>
            </w:r>
          </w:p>
        </w:tc>
      </w:tr>
      <w:tr w:rsidR="00E66289" w:rsidRPr="00AB0442" w:rsidTr="0021512B">
        <w:trPr>
          <w:jc w:val="center"/>
        </w:trPr>
        <w:tc>
          <w:tcPr>
            <w:tcW w:w="1724" w:type="dxa"/>
            <w:vAlign w:val="center"/>
          </w:tcPr>
          <w:p w:rsidR="00E66289" w:rsidRPr="00FB462C" w:rsidRDefault="00E66289" w:rsidP="0021512B">
            <w:pPr>
              <w:spacing w:line="288" w:lineRule="auto"/>
              <w:jc w:val="center"/>
              <w:rPr>
                <w:rFonts w:ascii="仿宋_GB2312" w:eastAsia="仿宋_GB2312" w:hAnsi="宋体" w:hint="eastAsia"/>
                <w:bCs/>
                <w:kern w:val="0"/>
                <w:szCs w:val="21"/>
              </w:rPr>
            </w:pPr>
            <w:r w:rsidRPr="00FB462C">
              <w:rPr>
                <w:rFonts w:ascii="仿宋_GB2312" w:eastAsia="仿宋_GB2312" w:hAnsi="宋体" w:hint="eastAsia"/>
                <w:bCs/>
                <w:kern w:val="0"/>
                <w:szCs w:val="21"/>
              </w:rPr>
              <w:t>特色创新</w:t>
            </w:r>
          </w:p>
          <w:p w:rsidR="00E66289" w:rsidRPr="00FB462C" w:rsidRDefault="00E66289" w:rsidP="0021512B">
            <w:pPr>
              <w:widowControl/>
              <w:spacing w:line="288" w:lineRule="auto"/>
              <w:jc w:val="center"/>
              <w:rPr>
                <w:rFonts w:ascii="仿宋_GB2312" w:eastAsia="仿宋_GB2312" w:hAnsi="宋体" w:hint="eastAsia"/>
                <w:kern w:val="0"/>
                <w:szCs w:val="21"/>
              </w:rPr>
            </w:pPr>
            <w:r w:rsidRPr="00FB462C">
              <w:rPr>
                <w:rFonts w:ascii="仿宋_GB2312" w:eastAsia="仿宋_GB2312" w:hAnsi="宋体" w:hint="eastAsia"/>
                <w:bCs/>
                <w:kern w:val="0"/>
                <w:szCs w:val="21"/>
              </w:rPr>
              <w:t>（加分项，20分）</w:t>
            </w:r>
          </w:p>
        </w:tc>
        <w:tc>
          <w:tcPr>
            <w:tcW w:w="3872" w:type="dxa"/>
            <w:vAlign w:val="center"/>
          </w:tcPr>
          <w:p w:rsidR="00E66289" w:rsidRPr="00FB462C" w:rsidRDefault="00E66289" w:rsidP="0021512B">
            <w:pPr>
              <w:jc w:val="left"/>
              <w:rPr>
                <w:rFonts w:ascii="仿宋_GB2312" w:eastAsia="仿宋_GB2312" w:hAnsi="宋体" w:hint="eastAsia"/>
                <w:kern w:val="0"/>
                <w:szCs w:val="21"/>
              </w:rPr>
            </w:pPr>
            <w:r w:rsidRPr="00FB462C">
              <w:rPr>
                <w:rFonts w:ascii="仿宋_GB2312" w:eastAsia="仿宋_GB2312" w:hAnsi="宋体" w:hint="eastAsia"/>
                <w:kern w:val="0"/>
                <w:szCs w:val="21"/>
              </w:rPr>
              <w:t>获得省级及以上教学项目、科研项目、竞赛项目和奖励以及在省内外产生积极重大影响的创新成果（20分）</w:t>
            </w:r>
          </w:p>
        </w:tc>
        <w:tc>
          <w:tcPr>
            <w:tcW w:w="778" w:type="dxa"/>
            <w:vAlign w:val="center"/>
          </w:tcPr>
          <w:p w:rsidR="00E66289" w:rsidRPr="00FB462C" w:rsidRDefault="00E66289" w:rsidP="0021512B">
            <w:pPr>
              <w:jc w:val="center"/>
              <w:rPr>
                <w:rFonts w:ascii="仿宋_GB2312" w:eastAsia="仿宋_GB2312" w:hAnsi="宋体" w:hint="eastAsia"/>
                <w:kern w:val="0"/>
                <w:szCs w:val="21"/>
              </w:rPr>
            </w:pPr>
            <w:r w:rsidRPr="00FB462C">
              <w:rPr>
                <w:rFonts w:ascii="仿宋_GB2312" w:eastAsia="仿宋_GB2312" w:hAnsi="宋体" w:hint="eastAsia"/>
                <w:kern w:val="0"/>
                <w:szCs w:val="21"/>
              </w:rPr>
              <w:t>定量定性</w:t>
            </w:r>
          </w:p>
          <w:p w:rsidR="00E66289" w:rsidRPr="00FB462C" w:rsidRDefault="00E66289" w:rsidP="0021512B">
            <w:pPr>
              <w:widowControl/>
              <w:jc w:val="center"/>
              <w:rPr>
                <w:rFonts w:ascii="仿宋_GB2312" w:eastAsia="仿宋_GB2312" w:hAnsi="宋体" w:hint="eastAsia"/>
                <w:kern w:val="0"/>
                <w:szCs w:val="21"/>
              </w:rPr>
            </w:pPr>
            <w:r w:rsidRPr="00FB462C">
              <w:rPr>
                <w:rFonts w:ascii="仿宋_GB2312" w:eastAsia="仿宋_GB2312" w:hAnsi="宋体" w:hint="eastAsia"/>
                <w:kern w:val="0"/>
                <w:szCs w:val="21"/>
              </w:rPr>
              <w:t>结合</w:t>
            </w:r>
          </w:p>
        </w:tc>
        <w:tc>
          <w:tcPr>
            <w:tcW w:w="5387" w:type="dxa"/>
            <w:vAlign w:val="center"/>
          </w:tcPr>
          <w:p w:rsidR="00E66289" w:rsidRPr="00FB462C" w:rsidRDefault="00E66289" w:rsidP="0021512B">
            <w:pPr>
              <w:jc w:val="left"/>
              <w:rPr>
                <w:rFonts w:ascii="仿宋_GB2312" w:eastAsia="仿宋_GB2312" w:hAnsi="宋体" w:hint="eastAsia"/>
                <w:kern w:val="0"/>
                <w:szCs w:val="21"/>
              </w:rPr>
            </w:pPr>
            <w:r w:rsidRPr="00FB462C">
              <w:rPr>
                <w:rFonts w:ascii="仿宋_GB2312" w:eastAsia="仿宋_GB2312" w:hAnsi="宋体" w:hint="eastAsia"/>
                <w:kern w:val="0"/>
                <w:szCs w:val="21"/>
              </w:rPr>
              <w:t>定量指标：该专业（群）提供近3年综合类、教师教学类、科研类、竞赛类及其他材料；</w:t>
            </w:r>
          </w:p>
          <w:p w:rsidR="00E66289" w:rsidRPr="00FB462C" w:rsidRDefault="00E66289" w:rsidP="0021512B">
            <w:pPr>
              <w:jc w:val="left"/>
              <w:rPr>
                <w:rFonts w:ascii="仿宋_GB2312" w:eastAsia="仿宋_GB2312" w:hAnsi="宋体" w:hint="eastAsia"/>
                <w:kern w:val="0"/>
                <w:szCs w:val="21"/>
              </w:rPr>
            </w:pPr>
            <w:r w:rsidRPr="00FB462C">
              <w:rPr>
                <w:rFonts w:ascii="仿宋_GB2312" w:eastAsia="仿宋_GB2312" w:hAnsi="宋体" w:hint="eastAsia"/>
                <w:kern w:val="0"/>
                <w:szCs w:val="21"/>
              </w:rPr>
              <w:t>定性指标：该专业（群）提供近3年在体制与机制创新、服务经济社会发展、服务国家和省发展战略等典型案例与经验，以及在全国或全省推广的情况材料。</w:t>
            </w:r>
          </w:p>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数据来源：学校填报。</w:t>
            </w:r>
          </w:p>
        </w:tc>
        <w:tc>
          <w:tcPr>
            <w:tcW w:w="2231" w:type="dxa"/>
            <w:vAlign w:val="center"/>
          </w:tcPr>
          <w:p w:rsidR="00E66289" w:rsidRPr="00FB462C" w:rsidRDefault="00E66289" w:rsidP="0021512B">
            <w:pPr>
              <w:widowControl/>
              <w:jc w:val="left"/>
              <w:rPr>
                <w:rFonts w:ascii="仿宋_GB2312" w:eastAsia="仿宋_GB2312" w:hAnsi="宋体" w:hint="eastAsia"/>
                <w:kern w:val="0"/>
                <w:szCs w:val="21"/>
              </w:rPr>
            </w:pPr>
            <w:r w:rsidRPr="00FB462C">
              <w:rPr>
                <w:rFonts w:ascii="仿宋_GB2312" w:eastAsia="仿宋_GB2312" w:hAnsi="宋体" w:hint="eastAsia"/>
                <w:kern w:val="0"/>
                <w:szCs w:val="21"/>
              </w:rPr>
              <w:t>最高20分，低于20分的按实际分值计入。其中，定量指标最高18分，详见附件2。定性指标最高2分，全省分档赋分。</w:t>
            </w:r>
          </w:p>
        </w:tc>
      </w:tr>
    </w:tbl>
    <w:p w:rsidR="00E66289" w:rsidRPr="00FB462C" w:rsidRDefault="00E66289" w:rsidP="00E66289">
      <w:pPr>
        <w:widowControl/>
        <w:ind w:leftChars="-240" w:hangingChars="240" w:hanging="504"/>
        <w:jc w:val="left"/>
        <w:rPr>
          <w:rFonts w:ascii="仿宋_GB2312" w:eastAsia="仿宋_GB2312" w:hAnsi="宋体" w:hint="eastAsia"/>
          <w:szCs w:val="21"/>
        </w:rPr>
      </w:pPr>
      <w:r w:rsidRPr="00FB462C">
        <w:rPr>
          <w:rFonts w:ascii="仿宋_GB2312" w:eastAsia="仿宋_GB2312" w:hAnsi="宋体" w:hint="eastAsia"/>
          <w:szCs w:val="21"/>
        </w:rPr>
        <w:t>注：请各校如实填报，每发现一项虚报则该项计零分。</w:t>
      </w:r>
    </w:p>
    <w:p w:rsidR="00F913CC" w:rsidRPr="00E66289" w:rsidRDefault="00F913CC">
      <w:bookmarkStart w:id="0" w:name="_GoBack"/>
      <w:bookmarkEnd w:id="0"/>
    </w:p>
    <w:sectPr w:rsidR="00F913CC" w:rsidRPr="00E66289" w:rsidSect="00E6628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2A" w:rsidRDefault="00EE052A" w:rsidP="00E66289">
      <w:r>
        <w:separator/>
      </w:r>
    </w:p>
  </w:endnote>
  <w:endnote w:type="continuationSeparator" w:id="0">
    <w:p w:rsidR="00EE052A" w:rsidRDefault="00EE052A" w:rsidP="00E6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2A" w:rsidRDefault="00EE052A" w:rsidP="00E66289">
      <w:r>
        <w:separator/>
      </w:r>
    </w:p>
  </w:footnote>
  <w:footnote w:type="continuationSeparator" w:id="0">
    <w:p w:rsidR="00EE052A" w:rsidRDefault="00EE052A" w:rsidP="00E66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78"/>
    <w:rsid w:val="00681D78"/>
    <w:rsid w:val="00E66289"/>
    <w:rsid w:val="00EE052A"/>
    <w:rsid w:val="00F9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3E5A4C-45E4-47DF-9E64-8992C122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2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2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6289"/>
    <w:rPr>
      <w:sz w:val="18"/>
      <w:szCs w:val="18"/>
    </w:rPr>
  </w:style>
  <w:style w:type="paragraph" w:styleId="a5">
    <w:name w:val="footer"/>
    <w:basedOn w:val="a"/>
    <w:link w:val="a6"/>
    <w:uiPriority w:val="99"/>
    <w:unhideWhenUsed/>
    <w:rsid w:val="00E662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62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1888</Characters>
  <Application>Microsoft Office Word</Application>
  <DocSecurity>0</DocSecurity>
  <Lines>15</Lines>
  <Paragraphs>4</Paragraphs>
  <ScaleCrop>false</ScaleCrop>
  <Company>神州网信技术有限公司</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2020-07-02T02:02:00Z</dcterms:created>
  <dcterms:modified xsi:type="dcterms:W3CDTF">2020-07-02T02:02:00Z</dcterms:modified>
</cp:coreProperties>
</file>