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900" w:lineRule="exact"/>
        <w:jc w:val="center"/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 w:cs="仿宋_GB2312"/>
          <w:bCs/>
          <w:sz w:val="44"/>
          <w:szCs w:val="44"/>
        </w:rPr>
      </w:pPr>
      <w:bookmarkStart w:id="0" w:name="_GoBack"/>
      <w:r>
        <w:fldChar w:fldCharType="begin"/>
      </w:r>
      <w:r>
        <w:instrText xml:space="preserve"> HYPERLINK "http://edu.shandong.gov.cn/module/download/downfile.jsp?classid=0&amp;filename=6059d4e966c746fea1633cd493c02507.docx" </w:instrText>
      </w:r>
      <w:r>
        <w:fldChar w:fldCharType="separate"/>
      </w:r>
      <w:r>
        <w:rPr>
          <w:rFonts w:hint="eastAsia" w:ascii="方正小标宋简体" w:hAnsi="黑体" w:eastAsia="方正小标宋简体" w:cs="仿宋_GB2312"/>
          <w:bCs/>
          <w:sz w:val="44"/>
          <w:szCs w:val="44"/>
        </w:rPr>
        <w:t>2023年“高职院校专项计划”招生计划表</w:t>
      </w:r>
      <w:r>
        <w:rPr>
          <w:rFonts w:hint="eastAsia" w:ascii="方正小标宋简体" w:hAnsi="黑体" w:eastAsia="方正小标宋简体" w:cs="仿宋_GB2312"/>
          <w:bCs/>
          <w:sz w:val="44"/>
          <w:szCs w:val="44"/>
        </w:rPr>
        <w:fldChar w:fldCharType="end"/>
      </w:r>
      <w:bookmarkEnd w:id="0"/>
    </w:p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 w:cs="仿宋_GB2312"/>
          <w:bCs/>
          <w:sz w:val="44"/>
          <w:szCs w:val="44"/>
        </w:rPr>
      </w:pPr>
    </w:p>
    <w:tbl>
      <w:tblPr>
        <w:tblStyle w:val="3"/>
        <w:tblW w:w="84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45"/>
        <w:gridCol w:w="2775"/>
        <w:gridCol w:w="1194"/>
        <w:gridCol w:w="993"/>
        <w:gridCol w:w="708"/>
      </w:tblGrid>
      <w:tr>
        <w:trPr>
          <w:trHeight w:val="315" w:hRule="atLeast"/>
          <w:tblHeader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学校代码</w:t>
            </w:r>
          </w:p>
        </w:tc>
        <w:tc>
          <w:tcPr>
            <w:tcW w:w="17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计划类别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10832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山东商业职业技术学院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网络营销与直播电商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大数据与财务管理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冷链物流技术与管理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食品检验检测技术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金融科技应用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智慧健康养老服务与管理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中小企业创业与经营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大数据与审计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12062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日照职业技术学院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云计算技术应用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食品检验检测技术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统计与会计核算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建设工程管理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新能源汽车技术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云计算技术应用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统计与会计核算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建设工程管理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新能源汽车技术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12324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青岛职业技术学院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大数据于会计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分析检验技术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酒店管理与数字化运营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应用韩语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12326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威海职业学院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数字媒体艺术设计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数字媒体艺术设计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药品生物技术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健康管理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新能源汽车检测与维修技术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酒店管理与数字化运营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12328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山东职业学院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铁道机车运用与维护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铁道车辆技术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动车组检修技术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铁道交通运营管理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高速铁路综合维修技术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城市轨道交通通信信号技术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城市轨道交通供配电技术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人工智能技术应用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食品检验检测技术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药品质量与安全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建筑室内设计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12396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烟台职业学院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12440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工业机器人技术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工业机器人技术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园林技术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园林技术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健康管理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健康管理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12818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滨州职业学院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园林技术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园林技术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12819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现代纺织技术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现代非织造技术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12947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山东畜牧兽医职业学院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动物药学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中兽医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畜牧兽医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动物营养与饲料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现代物流管理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智能控制技术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宠物养护与驯导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宠物医疗技术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大数据与会计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13009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淄博职业学院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汽车制造与试验技术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大数据与财务管理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13014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青岛港湾职业技术学院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港口机械与智能控制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现代物流管理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港口机械与智能控制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现代物流管理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机械制造及自动化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酒店管理与数字化运营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13323</w:t>
            </w:r>
          </w:p>
        </w:tc>
        <w:tc>
          <w:tcPr>
            <w:tcW w:w="17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济南职业学院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夏季高考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春季高考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77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</w:tr>
    </w:tbl>
    <w:p>
      <w:r>
        <w:rPr>
          <w:rFonts w:ascii="黑体" w:hAnsi="黑体" w:eastAsia="黑体" w:cs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FE5FF"/>
    <w:rsid w:val="DFEFE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2023-05-24T19:57:00Z</dcterms:created>
  <dc:creator>zhangjingxin</dc:creator>
  <cp:lastModifiedBy>zhangjingxin</cp:lastModifiedBy>
  <dcterms:modified xsi:type="dcterms:W3CDTF">2023-05-24T19:57:58Z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