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ascii="黑体" w:hAnsi="黑体" w:eastAsia="黑体" w:cs="方正小标宋简体"/>
          <w:bCs/>
          <w:snapToGrid w:val="0"/>
          <w:color w:val="000000"/>
          <w:kern w:val="0"/>
          <w:sz w:val="32"/>
          <w:szCs w:val="32"/>
          <w:lang w:bidi="ar"/>
        </w:rPr>
      </w:pPr>
      <w:r>
        <w:rPr>
          <w:rFonts w:hint="eastAsia" w:ascii="黑体" w:hAnsi="黑体" w:eastAsia="黑体" w:cs="方正小标宋简体"/>
          <w:bCs/>
          <w:snapToGrid w:val="0"/>
          <w:color w:val="000000"/>
          <w:kern w:val="0"/>
          <w:sz w:val="32"/>
          <w:szCs w:val="32"/>
          <w:lang w:bidi="ar"/>
        </w:rPr>
        <w:t>附件</w:t>
      </w:r>
    </w:p>
    <w:p>
      <w:pPr>
        <w:widowControl/>
        <w:jc w:val="center"/>
        <w:textAlignment w:val="center"/>
        <w:rPr>
          <w:rFonts w:ascii="方正小标宋简体" w:hAnsi="方正小标宋简体" w:eastAsia="方正小标宋简体" w:cs="方正小标宋简体"/>
          <w:bCs/>
          <w:snapToGrid w:val="0"/>
          <w:color w:val="000000"/>
          <w:kern w:val="0"/>
          <w:sz w:val="36"/>
          <w:szCs w:val="36"/>
          <w:lang w:bidi="ar"/>
        </w:rPr>
      </w:pPr>
      <w:bookmarkStart w:id="0" w:name="_GoBack"/>
      <w:bookmarkEnd w:id="0"/>
      <w:r>
        <w:rPr>
          <w:rFonts w:hint="eastAsia" w:ascii="方正小标宋简体" w:hAnsi="方正小标宋简体" w:eastAsia="方正小标宋简体" w:cs="方正小标宋简体"/>
          <w:bCs/>
          <w:snapToGrid w:val="0"/>
          <w:color w:val="000000"/>
          <w:kern w:val="0"/>
          <w:sz w:val="36"/>
          <w:szCs w:val="36"/>
          <w:lang w:bidi="ar"/>
        </w:rPr>
        <w:t>山东省职业院校现代化治理能力提升暨促进学生全面发展系列论坛目录</w:t>
      </w:r>
    </w:p>
    <w:tbl>
      <w:tblPr>
        <w:tblStyle w:val="2"/>
        <w:tblW w:w="5000" w:type="pct"/>
        <w:jc w:val="center"/>
        <w:tblLayout w:type="autofit"/>
        <w:tblCellMar>
          <w:top w:w="0" w:type="dxa"/>
          <w:left w:w="108" w:type="dxa"/>
          <w:bottom w:w="0" w:type="dxa"/>
          <w:right w:w="108" w:type="dxa"/>
        </w:tblCellMar>
      </w:tblPr>
      <w:tblGrid>
        <w:gridCol w:w="1950"/>
        <w:gridCol w:w="2806"/>
        <w:gridCol w:w="4351"/>
        <w:gridCol w:w="3547"/>
        <w:gridCol w:w="1520"/>
      </w:tblGrid>
      <w:tr>
        <w:tblPrEx>
          <w:tblCellMar>
            <w:top w:w="0" w:type="dxa"/>
            <w:left w:w="108" w:type="dxa"/>
            <w:bottom w:w="0" w:type="dxa"/>
            <w:right w:w="108" w:type="dxa"/>
          </w:tblCellMar>
        </w:tblPrEx>
        <w:trPr>
          <w:trHeight w:val="340" w:hRule="exact"/>
          <w:tblHeader/>
          <w:jc w:val="center"/>
        </w:trPr>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b/>
                <w:bCs/>
                <w:color w:val="000000"/>
                <w:szCs w:val="21"/>
              </w:rPr>
            </w:pPr>
            <w:r>
              <w:rPr>
                <w:rFonts w:hint="eastAsia" w:ascii="宋体" w:hAnsi="宋体" w:eastAsia="宋体" w:cs="黑体"/>
                <w:b/>
                <w:bCs/>
                <w:snapToGrid w:val="0"/>
                <w:color w:val="000000"/>
                <w:kern w:val="0"/>
                <w:szCs w:val="21"/>
                <w:lang w:bidi="ar"/>
              </w:rPr>
              <w:t>论坛名称</w:t>
            </w:r>
          </w:p>
        </w:tc>
        <w:tc>
          <w:tcPr>
            <w:tcW w:w="9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b/>
                <w:bCs/>
                <w:color w:val="000000"/>
                <w:szCs w:val="21"/>
              </w:rPr>
            </w:pPr>
            <w:r>
              <w:rPr>
                <w:rFonts w:hint="eastAsia" w:ascii="宋体" w:hAnsi="宋体" w:eastAsia="宋体" w:cs="黑体"/>
                <w:b/>
                <w:bCs/>
                <w:snapToGrid w:val="0"/>
                <w:color w:val="000000"/>
                <w:kern w:val="0"/>
                <w:szCs w:val="21"/>
                <w:lang w:bidi="ar"/>
              </w:rPr>
              <w:t>牵头院校</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b/>
                <w:bCs/>
                <w:color w:val="000000"/>
                <w:szCs w:val="21"/>
              </w:rPr>
            </w:pPr>
            <w:r>
              <w:rPr>
                <w:rFonts w:hint="eastAsia" w:ascii="宋体" w:hAnsi="宋体" w:eastAsia="宋体" w:cs="黑体"/>
                <w:b/>
                <w:bCs/>
                <w:snapToGrid w:val="0"/>
                <w:color w:val="000000"/>
                <w:kern w:val="0"/>
                <w:szCs w:val="21"/>
                <w:lang w:bidi="ar"/>
              </w:rPr>
              <w:t>子论坛名称</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b/>
                <w:bCs/>
                <w:color w:val="000000"/>
                <w:szCs w:val="21"/>
              </w:rPr>
            </w:pPr>
            <w:r>
              <w:rPr>
                <w:rFonts w:hint="eastAsia" w:ascii="宋体" w:hAnsi="宋体" w:eastAsia="宋体" w:cs="黑体"/>
                <w:b/>
                <w:bCs/>
                <w:snapToGrid w:val="0"/>
                <w:color w:val="000000"/>
                <w:kern w:val="0"/>
                <w:szCs w:val="21"/>
                <w:lang w:bidi="ar"/>
              </w:rPr>
              <w:t>承办院校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b/>
                <w:bCs/>
                <w:color w:val="000000"/>
                <w:szCs w:val="21"/>
              </w:rPr>
            </w:pPr>
            <w:r>
              <w:rPr>
                <w:rFonts w:hint="eastAsia" w:ascii="宋体" w:hAnsi="宋体" w:eastAsia="宋体" w:cs="黑体"/>
                <w:b/>
                <w:bCs/>
                <w:snapToGrid w:val="0"/>
                <w:color w:val="000000"/>
                <w:kern w:val="0"/>
                <w:szCs w:val="21"/>
                <w:lang w:bidi="ar"/>
              </w:rPr>
              <w:t>举办日期</w:t>
            </w:r>
          </w:p>
        </w:tc>
      </w:tr>
      <w:tr>
        <w:tblPrEx>
          <w:tblCellMar>
            <w:top w:w="0" w:type="dxa"/>
            <w:left w:w="108" w:type="dxa"/>
            <w:bottom w:w="0" w:type="dxa"/>
            <w:right w:w="108" w:type="dxa"/>
          </w:tblCellMar>
        </w:tblPrEx>
        <w:trPr>
          <w:trHeight w:val="329"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专题一：党的建设与干部队伍建设</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威海职业学院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职业院校科学管理与领导能力建设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日照职业技术学院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职业院校党建引领思政工作体系构建</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山东科技职业学院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职业院校党建特色品牌建设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山东城市建设职业学院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职业院校基层党支部标准化建设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山东中医药高等专科学校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职业院校中层干部水平提升</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威海职业学院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29"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专题二：思政课程与课程思政</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山东商业职业技术学院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高职院校课程思政建设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山东水利职业学院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高职院校思政课程建设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山东商业职业技术学院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中职学校思政课程与德育建设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烟台市职业教育研究室</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中职学校课程思政建设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淄博市工业学校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29"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专题三：产教融合与校企合作</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山东畜牧兽医职业学院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职业教育集团建设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山东畜牧兽医职业学院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5月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混合所有制办学</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山东交通职业学院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产业学院建设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山东药品食品职业学院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虚拟仿真实训基地建设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莱芜职业技术学院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现代学徒制人才培养</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烟台职业学院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职业院校社会服务能力建设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山东信息职业技术学院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11月</w:t>
            </w:r>
          </w:p>
        </w:tc>
      </w:tr>
      <w:tr>
        <w:tblPrEx>
          <w:tblCellMar>
            <w:top w:w="0" w:type="dxa"/>
            <w:left w:w="108" w:type="dxa"/>
            <w:bottom w:w="0" w:type="dxa"/>
            <w:right w:w="108" w:type="dxa"/>
          </w:tblCellMar>
        </w:tblPrEx>
        <w:trPr>
          <w:trHeight w:val="329"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专题四：高水平学校与专业建设</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山东交通职业学院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高水平高职院校建设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山东交通职业学院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5月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高职院校高水平专业（群）建设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山东科技职业学院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29"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高水平中职学校建设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青岛西海岸新区中德应用技术学校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11月</w:t>
            </w:r>
          </w:p>
        </w:tc>
      </w:tr>
      <w:tr>
        <w:tblPrEx>
          <w:tblCellMar>
            <w:top w:w="0" w:type="dxa"/>
            <w:left w:w="108" w:type="dxa"/>
            <w:bottom w:w="0" w:type="dxa"/>
            <w:right w:w="108" w:type="dxa"/>
          </w:tblCellMar>
        </w:tblPrEx>
        <w:trPr>
          <w:trHeight w:val="36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中职学校高水平专业（群）建设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济南市历城职业中等专业学校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63"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76" w:lineRule="auto"/>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民办职业院校创新发展</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山东海事职业学院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76" w:lineRule="auto"/>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86"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专题五：教学改革与优质资源建设</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专业教学指导方案开发与应用</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职业教育专业资源库建设与应用</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淄博职业学院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职业教育在线开放课程与教材建设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山东商业职业技术学院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职业教育教学改革</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青岛酒店管理职业技术学院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高职院校学分制改革</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中职学校课程与教材建设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威海市职业中等专业学校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初中后五年制高等职业教育</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平度市职业中等专业学校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86"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专题六：教师成长与职业发展</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日照职业技术学院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高职院校教师创新团队建设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日照职业技术学院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5月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szCs w:val="21"/>
              </w:rPr>
            </w:pPr>
            <w:r>
              <w:rPr>
                <w:rFonts w:hint="eastAsia" w:ascii="宋体" w:hAnsi="宋体" w:eastAsia="宋体" w:cs="仿宋_GB2312"/>
                <w:snapToGrid w:val="0"/>
                <w:kern w:val="0"/>
                <w:szCs w:val="21"/>
                <w:lang w:bidi="ar"/>
              </w:rPr>
              <w:t>高职院校教师教学能力建设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szCs w:val="21"/>
              </w:rPr>
            </w:pPr>
            <w:r>
              <w:rPr>
                <w:rFonts w:hint="eastAsia" w:ascii="宋体" w:hAnsi="宋体" w:eastAsia="宋体" w:cs="仿宋_GB2312"/>
                <w:snapToGrid w:val="0"/>
                <w:kern w:val="0"/>
                <w:szCs w:val="21"/>
                <w:lang w:bidi="ar"/>
              </w:rPr>
              <w:t>高职院校教师教科研能力建设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滨州职业学院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职业院校教师职称评聘与激励机制改革</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威海职业学院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中职学校教师专业发展与教学团队建设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山东省潍坊商业学校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中职学校教师信息化教学能力建设</w:t>
            </w:r>
          </w:p>
        </w:tc>
        <w:tc>
          <w:tcPr>
            <w:tcW w:w="125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鲁中中等专业学校</w:t>
            </w:r>
          </w:p>
        </w:tc>
        <w:tc>
          <w:tcPr>
            <w:tcW w:w="53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86" w:hRule="exact"/>
          <w:jc w:val="center"/>
        </w:trPr>
        <w:tc>
          <w:tcPr>
            <w:tcW w:w="6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专题七：学生管理与实习实训</w:t>
            </w:r>
          </w:p>
        </w:tc>
        <w:tc>
          <w:tcPr>
            <w:tcW w:w="9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济南工程职业技术学院</w:t>
            </w: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高职院校学生管理体制机制与模式建设</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济南工程职业技术学院</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职业院校学生心理危机识别与干预</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日照职业技术学院</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职业院校学生顶岗实习规范化管理</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淄博职业学院</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职业院校学生技能竞赛与创新创业教育</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潍坊职业学院</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职业院校学生综合评价改革</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山东职业学院</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86" w:hRule="exact"/>
          <w:jc w:val="center"/>
        </w:trPr>
        <w:tc>
          <w:tcPr>
            <w:tcW w:w="6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中职学校班主任能力建设</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枣庄经济学校</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36" w:hRule="exact"/>
          <w:jc w:val="center"/>
        </w:trPr>
        <w:tc>
          <w:tcPr>
            <w:tcW w:w="6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中职学校“三全育人”综合改革</w:t>
            </w:r>
          </w:p>
        </w:tc>
        <w:tc>
          <w:tcPr>
            <w:tcW w:w="125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济南旅游学校</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11月</w:t>
            </w:r>
          </w:p>
        </w:tc>
      </w:tr>
      <w:tr>
        <w:tblPrEx>
          <w:tblCellMar>
            <w:top w:w="0" w:type="dxa"/>
            <w:left w:w="108" w:type="dxa"/>
            <w:bottom w:w="0" w:type="dxa"/>
            <w:right w:w="108" w:type="dxa"/>
          </w:tblCellMar>
        </w:tblPrEx>
        <w:trPr>
          <w:trHeight w:val="397" w:hRule="exact"/>
          <w:jc w:val="center"/>
        </w:trPr>
        <w:tc>
          <w:tcPr>
            <w:tcW w:w="688"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专题八：职教评价改革与质量监控</w:t>
            </w:r>
          </w:p>
        </w:tc>
        <w:tc>
          <w:tcPr>
            <w:tcW w:w="990"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滨州职业学院</w:t>
            </w:r>
          </w:p>
        </w:tc>
        <w:tc>
          <w:tcPr>
            <w:tcW w:w="1535"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高职院校内部诊断与质量评价</w:t>
            </w:r>
          </w:p>
        </w:tc>
        <w:tc>
          <w:tcPr>
            <w:tcW w:w="125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滨州职业学院</w:t>
            </w:r>
          </w:p>
        </w:tc>
        <w:tc>
          <w:tcPr>
            <w:tcW w:w="53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5月</w:t>
            </w:r>
          </w:p>
        </w:tc>
      </w:tr>
      <w:tr>
        <w:tblPrEx>
          <w:tblCellMar>
            <w:top w:w="0" w:type="dxa"/>
            <w:left w:w="108" w:type="dxa"/>
            <w:bottom w:w="0" w:type="dxa"/>
            <w:right w:w="108" w:type="dxa"/>
          </w:tblCellMar>
        </w:tblPrEx>
        <w:trPr>
          <w:trHeight w:val="397"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中职学校内部诊断与质量评价</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山东省潍坊商业学校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40"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专题九：校园文化及信息化建设</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山东科技职业学院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校园文化与文明校园建设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济宁职业技术学院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9月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智慧校园建设与应用</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山东科技职业学院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40"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专题十：国际交流与合作</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潍坊职业学院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留学生招收与规范化管理</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潍坊职业学院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5月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中外合作办学机制与模式创新</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山东理工职业学院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6月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国际合作与人文交流</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青岛职业技术学院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11月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职业教育助力区域国际化发展模式创新</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威海职业学院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40"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专题十一：内部治理与后勤服务保障</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淄博职业学院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高职院校内部治理体系与能力建设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青岛酒店管理职业技术学院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高职院校后勤保障与服务能力建设</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淄博职业学院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中职学校内部治理与后勤服务保障</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威海市文登区职业中等专业学校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11月</w:t>
            </w:r>
          </w:p>
        </w:tc>
      </w:tr>
      <w:tr>
        <w:tblPrEx>
          <w:tblCellMar>
            <w:top w:w="0" w:type="dxa"/>
            <w:left w:w="108" w:type="dxa"/>
            <w:bottom w:w="0" w:type="dxa"/>
            <w:right w:w="108" w:type="dxa"/>
          </w:tblCellMar>
        </w:tblPrEx>
        <w:trPr>
          <w:trHeight w:val="340" w:hRule="exact"/>
          <w:jc w:val="center"/>
        </w:trPr>
        <w:tc>
          <w:tcPr>
            <w:tcW w:w="6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专题十二：职教本科</w:t>
            </w:r>
          </w:p>
        </w:tc>
        <w:tc>
          <w:tcPr>
            <w:tcW w:w="9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山东职业学院</w:t>
            </w: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职业教育本科专业建设与标准开发</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高职与本科贯通培养模式改革</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山东交通职业学院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8月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高职与本科四年联合培养模式改革</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滨州职业学院</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10月</w:t>
            </w:r>
          </w:p>
        </w:tc>
      </w:tr>
      <w:tr>
        <w:tblPrEx>
          <w:tblCellMar>
            <w:top w:w="0" w:type="dxa"/>
            <w:left w:w="108" w:type="dxa"/>
            <w:bottom w:w="0" w:type="dxa"/>
            <w:right w:w="108" w:type="dxa"/>
          </w:tblCellMar>
        </w:tblPrEx>
        <w:trPr>
          <w:trHeight w:val="340" w:hRule="exact"/>
          <w:jc w:val="center"/>
        </w:trPr>
        <w:tc>
          <w:tcPr>
            <w:tcW w:w="6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9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仿宋_GB2312"/>
                <w:color w:val="000000"/>
                <w:szCs w:val="21"/>
              </w:rPr>
            </w:pPr>
          </w:p>
        </w:tc>
        <w:tc>
          <w:tcPr>
            <w:tcW w:w="153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中职与本科3+4贯通培养模式改革</w:t>
            </w:r>
          </w:p>
        </w:tc>
        <w:tc>
          <w:tcPr>
            <w:tcW w:w="12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青岛电子学校</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仿宋_GB2312"/>
                <w:color w:val="000000"/>
                <w:szCs w:val="21"/>
              </w:rPr>
            </w:pPr>
            <w:r>
              <w:rPr>
                <w:rFonts w:hint="eastAsia" w:ascii="宋体" w:hAnsi="宋体" w:eastAsia="宋体" w:cs="仿宋_GB2312"/>
                <w:snapToGrid w:val="0"/>
                <w:color w:val="000000"/>
                <w:kern w:val="0"/>
                <w:szCs w:val="21"/>
                <w:lang w:bidi="ar"/>
              </w:rPr>
              <w:t>7月</w:t>
            </w:r>
          </w:p>
        </w:tc>
      </w:tr>
    </w:tbl>
    <w:p>
      <w:pPr>
        <w:spacing w:line="520" w:lineRule="exact"/>
        <w:rPr>
          <w:rFonts w:ascii="仿宋_GB2312" w:hAnsi="仿宋_GB2312" w:eastAsia="仿宋_GB2312" w:cs="仿宋_GB2312"/>
          <w:color w:val="000000" w:themeColor="text1"/>
          <w:kern w:val="0"/>
          <w:sz w:val="32"/>
          <w:szCs w:val="32"/>
          <w:lang w:bidi="ar"/>
          <w14:textFill>
            <w14:solidFill>
              <w14:schemeClr w14:val="tx1"/>
            </w14:solidFill>
          </w14:textFill>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542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dc:creator>
  <cp:lastModifiedBy>阿阿阿豆</cp:lastModifiedBy>
  <dcterms:modified xsi:type="dcterms:W3CDTF">2021-04-28T02:24:15Z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7044DCC424C14B49957AA089C543B1CC</vt:lpwstr>
  </property>
</Properties>
</file>