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ED" w:rsidRDefault="00FA60ED" w:rsidP="00FA60ED">
      <w:pPr>
        <w:widowControl/>
        <w:adjustRightInd w:val="0"/>
        <w:snapToGrid w:val="0"/>
        <w:spacing w:line="640" w:lineRule="exact"/>
        <w:jc w:val="left"/>
        <w:rPr>
          <w:rFonts w:ascii="黑体" w:eastAsia="黑体" w:hAnsi="黑体" w:cs="CESI黑体-GB13000" w:hint="eastAsia"/>
          <w:sz w:val="32"/>
          <w:szCs w:val="32"/>
        </w:rPr>
      </w:pPr>
      <w:r>
        <w:rPr>
          <w:rFonts w:ascii="黑体" w:eastAsia="黑体" w:hAnsi="黑体" w:cs="CESI黑体-GB13000" w:hint="eastAsia"/>
          <w:sz w:val="32"/>
          <w:szCs w:val="32"/>
        </w:rPr>
        <w:t>附件1</w:t>
      </w:r>
    </w:p>
    <w:p w:rsidR="00FA60ED" w:rsidRDefault="00FA60ED" w:rsidP="00FA60ED">
      <w:pPr>
        <w:widowControl/>
        <w:adjustRightInd w:val="0"/>
        <w:snapToGrid w:val="0"/>
        <w:spacing w:line="640" w:lineRule="exact"/>
        <w:ind w:firstLineChars="200" w:firstLine="924"/>
        <w:jc w:val="center"/>
        <w:rPr>
          <w:rFonts w:ascii="方正小标宋_GBK" w:eastAsia="方正小标宋_GBK" w:hAnsi="等线" w:cs="等线" w:hint="eastAsia"/>
          <w:sz w:val="44"/>
          <w:szCs w:val="44"/>
        </w:rPr>
      </w:pPr>
      <w:r>
        <w:rPr>
          <w:rFonts w:ascii="方正小标宋_GBK" w:eastAsia="方正小标宋_GBK" w:hAnsi="等线" w:cs="等线" w:hint="eastAsia"/>
          <w:sz w:val="44"/>
          <w:szCs w:val="44"/>
        </w:rPr>
        <w:t>山东省普通中小学及有关机构特殊教育</w:t>
      </w:r>
    </w:p>
    <w:p w:rsidR="00FA60ED" w:rsidRDefault="00FA60ED" w:rsidP="00FA60ED">
      <w:pPr>
        <w:widowControl/>
        <w:adjustRightInd w:val="0"/>
        <w:snapToGrid w:val="0"/>
        <w:spacing w:line="640" w:lineRule="exact"/>
        <w:ind w:firstLineChars="200" w:firstLine="924"/>
        <w:jc w:val="center"/>
        <w:rPr>
          <w:rFonts w:ascii="方正小标宋_GBK" w:eastAsia="方正小标宋_GBK" w:hAnsi="等线" w:cs="等线" w:hint="eastAsia"/>
          <w:sz w:val="44"/>
          <w:szCs w:val="44"/>
        </w:rPr>
      </w:pPr>
      <w:r>
        <w:rPr>
          <w:rFonts w:ascii="方正小标宋_GBK" w:eastAsia="方正小标宋_GBK" w:hAnsi="等线" w:cs="等线" w:hint="eastAsia"/>
          <w:sz w:val="44"/>
          <w:szCs w:val="44"/>
        </w:rPr>
        <w:t>部（班）设置标准</w:t>
      </w:r>
    </w:p>
    <w:p w:rsidR="00FA60ED" w:rsidRDefault="00FA60ED" w:rsidP="00FA60ED">
      <w:pPr>
        <w:widowControl/>
        <w:adjustRightInd w:val="0"/>
        <w:snapToGrid w:val="0"/>
        <w:spacing w:line="640" w:lineRule="exact"/>
        <w:ind w:firstLineChars="200" w:firstLine="640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（试行）</w:t>
      </w:r>
    </w:p>
    <w:p w:rsidR="00FA60ED" w:rsidRDefault="00FA60ED" w:rsidP="00FA60ED">
      <w:pPr>
        <w:widowControl/>
        <w:adjustRightInd w:val="0"/>
        <w:snapToGrid w:val="0"/>
        <w:spacing w:line="580" w:lineRule="exact"/>
        <w:ind w:firstLineChars="200" w:firstLine="640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FA60ED" w:rsidRDefault="00FA60ED" w:rsidP="00FA60ED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等线" w:cs="等线" w:hint="eastAsia"/>
          <w:kern w:val="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mallCaps/>
          <w:kern w:val="0"/>
          <w:sz w:val="32"/>
          <w:szCs w:val="32"/>
        </w:rPr>
        <w:t>第一条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 xml:space="preserve">　根据《残疾人教育条例》《山东省义务教育条例》，按照国家、省有关特殊教育学校设置的规定，结合我省实际情况，制定本标准。</w:t>
      </w:r>
    </w:p>
    <w:p w:rsidR="00FA60ED" w:rsidRDefault="00FA60ED" w:rsidP="00FA60ED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等线" w:cs="等线" w:hint="eastAsia"/>
          <w:bCs/>
          <w:smallCaps/>
          <w:kern w:val="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mallCaps/>
          <w:kern w:val="0"/>
          <w:sz w:val="32"/>
          <w:szCs w:val="32"/>
        </w:rPr>
        <w:t>第二条</w:t>
      </w:r>
      <w:bookmarkStart w:id="0" w:name="2"/>
      <w:bookmarkEnd w:id="0"/>
      <w:r>
        <w:rPr>
          <w:rFonts w:ascii="仿宋_GB2312" w:eastAsia="仿宋_GB2312" w:hAnsi="等线" w:cs="等线" w:hint="eastAsia"/>
          <w:kern w:val="0"/>
          <w:sz w:val="32"/>
          <w:szCs w:val="32"/>
        </w:rPr>
        <w:t xml:space="preserve">　本标准适用于</w:t>
      </w:r>
      <w:r>
        <w:rPr>
          <w:rFonts w:ascii="仿宋_GB2312" w:eastAsia="仿宋_GB2312" w:hAnsi="等线" w:cs="等线" w:hint="eastAsia"/>
          <w:sz w:val="32"/>
          <w:szCs w:val="32"/>
        </w:rPr>
        <w:t>在普通中小学以及有条件的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>医疗康复机构、儿童福利机构、残疾儿童康复机构</w:t>
      </w:r>
      <w:r>
        <w:rPr>
          <w:rFonts w:ascii="仿宋_GB2312" w:eastAsia="仿宋_GB2312" w:hAnsi="等线" w:cs="等线" w:hint="eastAsia"/>
          <w:sz w:val="32"/>
          <w:szCs w:val="32"/>
        </w:rPr>
        <w:t>设立的，专门接收适龄残疾儿童少年实施义务教育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>特殊教育部（班）。</w:t>
      </w:r>
      <w:r>
        <w:rPr>
          <w:rFonts w:ascii="仿宋_GB2312" w:eastAsia="仿宋_GB2312" w:hAnsi="等线" w:cs="等线" w:hint="eastAsia"/>
          <w:bCs/>
          <w:smallCaps/>
          <w:kern w:val="0"/>
          <w:sz w:val="32"/>
          <w:szCs w:val="32"/>
        </w:rPr>
        <w:t xml:space="preserve">　　 </w:t>
      </w:r>
    </w:p>
    <w:p w:rsidR="00FA60ED" w:rsidRDefault="00FA60ED" w:rsidP="00FA60ED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等线" w:cs="等线" w:hint="eastAsia"/>
          <w:sz w:val="32"/>
          <w:szCs w:val="32"/>
        </w:rPr>
      </w:pPr>
      <w:bookmarkStart w:id="1" w:name="6"/>
      <w:bookmarkEnd w:id="1"/>
      <w:r>
        <w:rPr>
          <w:rFonts w:ascii="CESI黑体-GB13000" w:eastAsia="CESI黑体-GB13000" w:hAnsi="CESI黑体-GB13000" w:cs="CESI黑体-GB13000" w:hint="eastAsia"/>
          <w:kern w:val="0"/>
          <w:sz w:val="32"/>
          <w:szCs w:val="32"/>
        </w:rPr>
        <w:t>第三条</w:t>
      </w:r>
      <w:r>
        <w:rPr>
          <w:rFonts w:ascii="仿宋_GB2312" w:eastAsia="仿宋_GB2312" w:hAnsi="等线" w:cs="等线" w:hint="eastAsia"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>特殊教育</w:t>
      </w:r>
      <w:r>
        <w:rPr>
          <w:rFonts w:ascii="仿宋_GB2312" w:eastAsia="仿宋_GB2312" w:hAnsi="等线" w:cs="等线" w:hint="eastAsia"/>
          <w:sz w:val="32"/>
          <w:szCs w:val="32"/>
        </w:rPr>
        <w:t>部（班）的规模应满足当地残疾儿童少年接受义务教育的需要，一般以1至3个班规模为宜，班额为6-8人。</w:t>
      </w:r>
    </w:p>
    <w:p w:rsidR="00FA60ED" w:rsidRDefault="00FA60ED" w:rsidP="00FA60ED">
      <w:pPr>
        <w:spacing w:line="58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kern w:val="0"/>
          <w:sz w:val="32"/>
          <w:szCs w:val="32"/>
        </w:rPr>
        <w:t>第四条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 xml:space="preserve">  特殊教育</w:t>
      </w:r>
      <w:r>
        <w:rPr>
          <w:rFonts w:ascii="仿宋_GB2312" w:eastAsia="仿宋_GB2312" w:hAnsi="等线" w:cs="等线" w:hint="eastAsia"/>
          <w:sz w:val="32"/>
          <w:szCs w:val="32"/>
        </w:rPr>
        <w:t>部（班）原则上应设立在中心城区办学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>条件和师资较好的普通中小学以及</w:t>
      </w:r>
      <w:r>
        <w:rPr>
          <w:rFonts w:ascii="仿宋_GB2312" w:eastAsia="仿宋_GB2312" w:hAnsi="等线" w:cs="等线" w:hint="eastAsia"/>
          <w:sz w:val="32"/>
          <w:szCs w:val="32"/>
        </w:rPr>
        <w:t>有条件的适龄残疾儿童集中的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>医疗康复机构、儿童福利机构、残疾儿童康复机构，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各种</w:t>
      </w:r>
      <w:r>
        <w:rPr>
          <w:rFonts w:ascii="仿宋_GB2312" w:eastAsia="仿宋_GB2312" w:hAnsi="仿宋_GB2312" w:hint="eastAsia"/>
          <w:sz w:val="32"/>
          <w:szCs w:val="32"/>
        </w:rPr>
        <w:t>用房及活动场地应相对独立设置。</w:t>
      </w:r>
    </w:p>
    <w:p w:rsidR="00FA60ED" w:rsidRDefault="00FA60ED" w:rsidP="00FA60ED">
      <w:pPr>
        <w:spacing w:line="580" w:lineRule="exact"/>
        <w:ind w:firstLineChars="200" w:firstLine="640"/>
        <w:rPr>
          <w:rFonts w:ascii="仿宋_GB2312" w:eastAsia="仿宋_GB2312" w:hAnsi="等线" w:cs="等线" w:hint="eastAsia"/>
          <w:kern w:val="0"/>
          <w:sz w:val="32"/>
          <w:szCs w:val="32"/>
        </w:rPr>
      </w:pPr>
      <w:r>
        <w:rPr>
          <w:rFonts w:ascii="仿宋_GB2312" w:eastAsia="仿宋_GB2312" w:hAnsi="等线" w:cs="等线" w:hint="eastAsia"/>
          <w:kern w:val="0"/>
          <w:sz w:val="32"/>
          <w:szCs w:val="32"/>
        </w:rPr>
        <w:t>普通中小学举办的特殊教育部（班）主要接收智力障碍</w:t>
      </w:r>
      <w:r>
        <w:rPr>
          <w:rFonts w:ascii="仿宋_GB2312" w:eastAsia="仿宋_GB2312" w:hAnsi="等线" w:cs="等线" w:hint="eastAsia"/>
          <w:sz w:val="32"/>
          <w:szCs w:val="32"/>
        </w:rPr>
        <w:t>、孤独症、脑瘫等类型的中度或重度残疾儿童少年。医疗康复机构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>、儿童福利机构、残疾儿童康复机构根据实际确定接收残疾儿童少年的类型。</w:t>
      </w:r>
    </w:p>
    <w:p w:rsidR="00FA60ED" w:rsidRDefault="00FA60ED" w:rsidP="00FA60ED">
      <w:pPr>
        <w:spacing w:line="580" w:lineRule="exact"/>
        <w:ind w:firstLineChars="200" w:firstLine="640"/>
        <w:rPr>
          <w:rFonts w:ascii="仿宋_GB2312" w:eastAsia="仿宋_GB2312" w:hAnsi="等线" w:cs="等线" w:hint="eastAsia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kern w:val="0"/>
          <w:sz w:val="32"/>
          <w:szCs w:val="32"/>
        </w:rPr>
        <w:lastRenderedPageBreak/>
        <w:t>第五条</w:t>
      </w:r>
      <w:r>
        <w:rPr>
          <w:rFonts w:ascii="仿宋_GB2312" w:eastAsia="仿宋_GB2312" w:hAnsi="等线" w:cs="等线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等线" w:cs="等线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>特殊教育</w:t>
      </w:r>
      <w:r>
        <w:rPr>
          <w:rFonts w:ascii="仿宋_GB2312" w:eastAsia="仿宋_GB2312" w:hAnsi="等线" w:cs="等线" w:hint="eastAsia"/>
          <w:sz w:val="32"/>
          <w:szCs w:val="32"/>
        </w:rPr>
        <w:t>部（班）应按照《山东省特殊教育学校办学条件标准》《城市道路和建筑物无障碍设计规范》等有关规定，</w:t>
      </w:r>
      <w:r>
        <w:rPr>
          <w:rFonts w:ascii="仿宋_GB2312" w:eastAsia="仿宋_GB2312" w:hAnsi="宋体" w:cs="宋体" w:hint="eastAsia"/>
          <w:sz w:val="32"/>
          <w:szCs w:val="32"/>
        </w:rPr>
        <w:t>根据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残疾儿童实际需要，</w:t>
      </w:r>
      <w:r>
        <w:rPr>
          <w:rFonts w:ascii="仿宋_GB2312" w:eastAsia="仿宋_GB2312" w:hAnsi="等线" w:cs="等线" w:hint="eastAsia"/>
          <w:sz w:val="32"/>
          <w:szCs w:val="32"/>
        </w:rPr>
        <w:t>新建或对原有校舍（场所）进行无障碍设施改造，确保残疾学生安全，方便残疾学生学习生活。</w:t>
      </w:r>
    </w:p>
    <w:p w:rsidR="00FA60ED" w:rsidRDefault="00FA60ED" w:rsidP="00FA60ED">
      <w:pPr>
        <w:spacing w:line="580" w:lineRule="exact"/>
        <w:ind w:firstLineChars="200" w:firstLine="640"/>
        <w:rPr>
          <w:rFonts w:ascii="仿宋_GB2312" w:eastAsia="仿宋_GB2312" w:hAnsi="等线" w:cs="等线" w:hint="eastAsia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kern w:val="0"/>
          <w:sz w:val="32"/>
          <w:szCs w:val="32"/>
        </w:rPr>
        <w:t>第六条</w:t>
      </w:r>
      <w:r>
        <w:rPr>
          <w:rFonts w:ascii="仿宋_GB2312" w:eastAsia="仿宋_GB2312" w:hAnsi="等线" w:cs="等线" w:hint="eastAsia"/>
          <w:sz w:val="32"/>
          <w:szCs w:val="32"/>
        </w:rPr>
        <w:t xml:space="preserve">  特殊教育部（班）应参照《山东省特殊教育学校办学条件标准》相关规定，设置教学及教学辅助用房、康复用房和体育活动场地，配备必要的设施设备。其他公共活动、办公用房、生活用房等可共用。</w:t>
      </w:r>
    </w:p>
    <w:p w:rsidR="00FA60ED" w:rsidRDefault="00FA60ED" w:rsidP="00FA60ED">
      <w:pPr>
        <w:pStyle w:val="a7"/>
        <w:adjustRightInd w:val="0"/>
        <w:snapToGrid w:val="0"/>
        <w:spacing w:beforeLines="50" w:before="156" w:line="360" w:lineRule="auto"/>
        <w:jc w:val="center"/>
        <w:rPr>
          <w:rFonts w:ascii="CESI黑体-GB13000" w:eastAsia="CESI黑体-GB13000" w:hAnsi="CESI黑体-GB13000" w:cs="CESI黑体-GB13000" w:hint="eastAsia"/>
          <w:kern w:val="0"/>
          <w:sz w:val="28"/>
          <w:szCs w:val="28"/>
        </w:rPr>
      </w:pPr>
      <w:r>
        <w:rPr>
          <w:rFonts w:ascii="CESI黑体-GB13000" w:eastAsia="CESI黑体-GB13000" w:hAnsi="CESI黑体-GB13000" w:cs="CESI黑体-GB13000" w:hint="eastAsia"/>
          <w:kern w:val="0"/>
          <w:sz w:val="28"/>
          <w:szCs w:val="28"/>
        </w:rPr>
        <w:t>特殊教育部（班）各类用房使用面积表（</w:t>
      </w:r>
      <w:r>
        <w:rPr>
          <w:rFonts w:ascii="Microsoft JhengHei" w:eastAsia="Microsoft JhengHei" w:hAnsi="Microsoft JhengHei" w:cs="Microsoft JhengHei" w:hint="eastAsia"/>
          <w:kern w:val="0"/>
          <w:sz w:val="28"/>
          <w:szCs w:val="28"/>
        </w:rPr>
        <w:t>㎡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1401"/>
        <w:gridCol w:w="798"/>
        <w:gridCol w:w="1273"/>
        <w:gridCol w:w="887"/>
        <w:gridCol w:w="1187"/>
      </w:tblGrid>
      <w:tr w:rsidR="00FA60ED" w:rsidTr="00FE3F9E">
        <w:trPr>
          <w:cantSplit/>
          <w:trHeight w:val="454"/>
          <w:tblHeader/>
          <w:jc w:val="center"/>
        </w:trPr>
        <w:tc>
          <w:tcPr>
            <w:tcW w:w="165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</w:pPr>
            <w:r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  <w:t>用房名称</w:t>
            </w:r>
          </w:p>
        </w:tc>
        <w:tc>
          <w:tcPr>
            <w:tcW w:w="84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</w:pPr>
            <w:r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  <w:t>每间使用面积</w:t>
            </w:r>
          </w:p>
        </w:tc>
        <w:tc>
          <w:tcPr>
            <w:tcW w:w="124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</w:pPr>
            <w:r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  <w:t>1班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</w:pPr>
            <w:r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  <w:t>3班</w:t>
            </w:r>
          </w:p>
        </w:tc>
      </w:tr>
      <w:tr w:rsidR="00FA60ED" w:rsidTr="00FE3F9E">
        <w:trPr>
          <w:cantSplit/>
          <w:trHeight w:val="454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jc w:val="left"/>
              <w:rPr>
                <w:rFonts w:ascii="CESI黑体-GB13000" w:eastAsia="CESI黑体-GB13000" w:hAnsi="CESI黑体-GB13000" w:cs="CESI黑体-GB13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jc w:val="left"/>
              <w:rPr>
                <w:rFonts w:ascii="CESI黑体-GB13000" w:eastAsia="CESI黑体-GB13000" w:hAnsi="CESI黑体-GB13000" w:cs="CESI黑体-GB13000"/>
                <w:kern w:val="0"/>
                <w:szCs w:val="21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</w:pPr>
            <w:r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  <w:t>间数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</w:pPr>
            <w:r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  <w:t>面积小计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</w:pPr>
            <w:r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  <w:t>间数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</w:pPr>
            <w:r>
              <w:rPr>
                <w:rFonts w:ascii="CESI黑体-GB13000" w:eastAsia="CESI黑体-GB13000" w:hAnsi="CESI黑体-GB13000" w:cs="CESI黑体-GB13000" w:hint="eastAsia"/>
                <w:kern w:val="0"/>
                <w:szCs w:val="21"/>
              </w:rPr>
              <w:t>面积小计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教师办公室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15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教室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54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54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162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多功能活动室★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90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90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90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个别训练室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24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感觉统合训练室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122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122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检测与评估室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20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20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认知康复训练室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30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多感官综合训练室※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61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61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61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音乐治疗室※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30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情绪宣泄室※★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30</w:t>
            </w:r>
          </w:p>
        </w:tc>
      </w:tr>
      <w:tr w:rsidR="00FA60ED" w:rsidTr="00FE3F9E">
        <w:trPr>
          <w:cantSplit/>
          <w:trHeight w:val="454"/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晨检室★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60ED" w:rsidRDefault="00FA60ED" w:rsidP="00FE3F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hAnsi="等线" w:cs="等线" w:hint="eastAsia"/>
                <w:kern w:val="0"/>
                <w:szCs w:val="21"/>
              </w:rPr>
            </w:pPr>
            <w:r>
              <w:rPr>
                <w:rFonts w:ascii="汉仪书宋一简" w:eastAsia="汉仪书宋一简" w:hAnsi="等线" w:cs="等线" w:hint="eastAsia"/>
                <w:kern w:val="0"/>
                <w:szCs w:val="21"/>
              </w:rPr>
              <w:t>18</w:t>
            </w:r>
          </w:p>
        </w:tc>
      </w:tr>
    </w:tbl>
    <w:p w:rsidR="00FA60ED" w:rsidRDefault="00FA60ED" w:rsidP="00FA60ED">
      <w:pPr>
        <w:pStyle w:val="a7"/>
        <w:adjustRightInd w:val="0"/>
        <w:snapToGrid w:val="0"/>
        <w:spacing w:line="240" w:lineRule="atLeast"/>
        <w:rPr>
          <w:rFonts w:ascii="汉仪书宋一简" w:eastAsia="汉仪书宋一简" w:hAnsi="仿宋" w:cs="等线" w:hint="eastAsia"/>
          <w:kern w:val="0"/>
          <w:szCs w:val="21"/>
        </w:rPr>
      </w:pPr>
      <w:r>
        <w:rPr>
          <w:rFonts w:ascii="汉仪书宋一简" w:eastAsia="汉仪书宋一简" w:hAnsi="等线" w:cs="等线" w:hint="eastAsia"/>
          <w:kern w:val="0"/>
          <w:szCs w:val="21"/>
        </w:rPr>
        <w:t>注：</w:t>
      </w:r>
      <w:r>
        <w:rPr>
          <w:rFonts w:ascii="汉仪书宋一简" w:eastAsia="汉仪书宋一简" w:hAnsi="仿宋" w:cs="等线" w:hint="eastAsia"/>
          <w:kern w:val="0"/>
          <w:szCs w:val="21"/>
        </w:rPr>
        <w:t>1.</w:t>
      </w:r>
      <w:r>
        <w:rPr>
          <w:rFonts w:ascii="汉仪书宋一简" w:eastAsia="汉仪书宋一简" w:hAnsi="仿宋" w:cs="宋体" w:hint="eastAsia"/>
          <w:kern w:val="0"/>
          <w:szCs w:val="21"/>
        </w:rPr>
        <w:t>带</w:t>
      </w:r>
      <w:r>
        <w:rPr>
          <w:rFonts w:ascii="汉仪书宋一简" w:eastAsia="汉仪书宋一简" w:hAnsi="仿宋" w:cs="等线" w:hint="eastAsia"/>
          <w:kern w:val="0"/>
          <w:szCs w:val="21"/>
        </w:rPr>
        <w:t>※</w:t>
      </w:r>
      <w:r>
        <w:rPr>
          <w:rFonts w:ascii="汉仪书宋一简" w:eastAsia="汉仪书宋一简" w:hAnsi="仿宋" w:cs="宋体" w:hint="eastAsia"/>
          <w:kern w:val="0"/>
          <w:szCs w:val="21"/>
        </w:rPr>
        <w:t>的用房为选配项目，</w:t>
      </w:r>
      <w:r>
        <w:rPr>
          <w:rFonts w:ascii="汉仪书宋一简" w:eastAsia="汉仪书宋一简" w:hAnsi="仿宋" w:cs="等线" w:hint="eastAsia"/>
          <w:kern w:val="0"/>
          <w:szCs w:val="21"/>
        </w:rPr>
        <w:t>带</w:t>
      </w:r>
      <w:r>
        <w:rPr>
          <w:rFonts w:ascii="汉仪书宋一简" w:eastAsia="汉仪书宋一简" w:hAnsi="仿宋" w:cs="宋体" w:hint="eastAsia"/>
          <w:kern w:val="0"/>
          <w:szCs w:val="21"/>
        </w:rPr>
        <w:t>★</w:t>
      </w:r>
      <w:r>
        <w:rPr>
          <w:rFonts w:ascii="汉仪书宋一简" w:eastAsia="汉仪书宋一简" w:hAnsi="仿宋" w:cs="等线" w:hint="eastAsia"/>
          <w:kern w:val="0"/>
          <w:szCs w:val="21"/>
        </w:rPr>
        <w:t>的用房可与学校或机构相应功能室共用。</w:t>
      </w:r>
    </w:p>
    <w:p w:rsidR="00FA60ED" w:rsidRDefault="00FA60ED" w:rsidP="00FA60ED">
      <w:pPr>
        <w:pStyle w:val="a7"/>
        <w:adjustRightInd w:val="0"/>
        <w:snapToGrid w:val="0"/>
        <w:spacing w:line="240" w:lineRule="atLeast"/>
        <w:ind w:firstLineChars="200" w:firstLine="420"/>
        <w:jc w:val="left"/>
        <w:rPr>
          <w:rFonts w:ascii="汉仪书宋一简" w:eastAsia="汉仪书宋一简" w:hAnsi="仿宋" w:cs="等线" w:hint="eastAsia"/>
          <w:kern w:val="0"/>
          <w:szCs w:val="21"/>
        </w:rPr>
      </w:pPr>
      <w:r>
        <w:rPr>
          <w:rFonts w:ascii="汉仪书宋一简" w:eastAsia="汉仪书宋一简" w:hAnsi="仿宋" w:cs="等线" w:hint="eastAsia"/>
          <w:kern w:val="0"/>
          <w:szCs w:val="21"/>
        </w:rPr>
        <w:t>2.检测与评估室根据所招收残疾类型确定。</w:t>
      </w:r>
    </w:p>
    <w:p w:rsidR="00FA60ED" w:rsidRDefault="00FA60ED" w:rsidP="00FA60ED">
      <w:pPr>
        <w:spacing w:line="580" w:lineRule="exact"/>
        <w:ind w:firstLineChars="200" w:firstLine="640"/>
        <w:rPr>
          <w:rFonts w:ascii="仿宋_GB2312" w:eastAsia="仿宋_GB2312" w:hAnsi="等线" w:cs="等线" w:hint="eastAsia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第七条</w:t>
      </w:r>
      <w:r>
        <w:rPr>
          <w:rFonts w:ascii="仿宋_GB2312" w:eastAsia="仿宋_GB2312" w:hAnsi="等线" w:cs="等线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等线" w:cs="等线" w:hint="eastAsia"/>
          <w:sz w:val="32"/>
          <w:szCs w:val="32"/>
        </w:rPr>
        <w:t>未设置特殊教育学校的县（市、区）应依托特教部（班）建设特殊教育资源中心，配备工作人员，配足配齐必要的教育教学、康复训练设施设备，为所在区域提供特殊教育指导和支持服务。</w:t>
      </w:r>
    </w:p>
    <w:p w:rsidR="00FA60ED" w:rsidRDefault="00FA60ED" w:rsidP="00FA60ED">
      <w:pPr>
        <w:spacing w:line="580" w:lineRule="exact"/>
        <w:ind w:firstLineChars="200" w:firstLine="640"/>
        <w:rPr>
          <w:rFonts w:ascii="仿宋_GB2312" w:eastAsia="仿宋_GB2312" w:hAnsi="等线" w:cs="等线" w:hint="eastAsia"/>
          <w:b/>
          <w:color w:val="FF0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第八条</w:t>
      </w:r>
      <w:r>
        <w:rPr>
          <w:rFonts w:ascii="仿宋_GB2312" w:eastAsia="仿宋_GB2312" w:hAnsi="等线" w:cs="等线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等线" w:cs="等线" w:hint="eastAsia"/>
          <w:sz w:val="32"/>
          <w:szCs w:val="32"/>
        </w:rPr>
        <w:t>特殊教育部（班）</w:t>
      </w:r>
      <w:r>
        <w:rPr>
          <w:rFonts w:ascii="仿宋_GB2312" w:eastAsia="仿宋_GB2312" w:hAnsi="宋体" w:cs="宋体" w:hint="eastAsia"/>
          <w:sz w:val="32"/>
          <w:szCs w:val="32"/>
        </w:rPr>
        <w:t>应参照《山东省特殊教育学校办学条件标准》</w:t>
      </w:r>
      <w:r>
        <w:rPr>
          <w:rFonts w:ascii="仿宋_GB2312" w:eastAsia="仿宋_GB2312" w:hAnsi="宋体" w:hint="eastAsia"/>
          <w:kern w:val="0"/>
          <w:sz w:val="32"/>
          <w:szCs w:val="32"/>
        </w:rPr>
        <w:t>《山东省特殊教育学校教育装备配备目录》的要求和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残疾学生的实际需要配备各种设施设备</w:t>
      </w:r>
      <w:r>
        <w:rPr>
          <w:rFonts w:ascii="仿宋_GB2312" w:eastAsia="仿宋_GB2312" w:hAnsi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按照《中小学幼儿园安全防范工作规范（试行）》要求配备安全防范设备。</w:t>
      </w:r>
    </w:p>
    <w:p w:rsidR="00FA60ED" w:rsidRDefault="00FA60ED" w:rsidP="00FA60ED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等线" w:cs="等线" w:hint="eastAsia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第九条</w:t>
      </w:r>
      <w:r>
        <w:rPr>
          <w:rFonts w:ascii="仿宋_GB2312" w:eastAsia="仿宋_GB2312" w:hAnsi="等线" w:cs="等线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等线" w:cs="等线" w:hint="eastAsia"/>
          <w:sz w:val="32"/>
          <w:szCs w:val="32"/>
        </w:rPr>
        <w:t>特殊教育部（班）应按照《山东省特殊教育学校教职工编制标准》相关规定配足配齐各类工作人员。</w:t>
      </w:r>
    </w:p>
    <w:p w:rsidR="00FA60ED" w:rsidRDefault="00FA60ED" w:rsidP="00FA60ED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等线" w:cs="等线" w:hint="eastAsia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sz w:val="32"/>
          <w:szCs w:val="32"/>
        </w:rPr>
        <w:t>第十条</w:t>
      </w:r>
      <w:r>
        <w:rPr>
          <w:rFonts w:ascii="仿宋_GB2312" w:eastAsia="仿宋_GB2312" w:hAnsi="等线" w:cs="等线" w:hint="eastAsia"/>
          <w:sz w:val="32"/>
          <w:szCs w:val="32"/>
        </w:rPr>
        <w:t xml:space="preserve">  本标准由山东省教育厅负责解释。</w:t>
      </w:r>
    </w:p>
    <w:p w:rsidR="00F66FB9" w:rsidRDefault="00FA60ED" w:rsidP="00FA60ED">
      <w:r>
        <w:rPr>
          <w:rFonts w:ascii="CESI黑体-GB13000" w:eastAsia="CESI黑体-GB13000" w:hAnsi="CESI黑体-GB13000" w:cs="CESI黑体-GB13000" w:hint="eastAsia"/>
          <w:sz w:val="32"/>
          <w:szCs w:val="32"/>
        </w:rPr>
        <w:t>第十一条</w:t>
      </w:r>
      <w:r>
        <w:rPr>
          <w:rFonts w:ascii="仿宋_GB2312" w:eastAsia="仿宋_GB2312" w:hAnsi="等线" w:cs="等线" w:hint="eastAsia"/>
          <w:sz w:val="32"/>
          <w:szCs w:val="32"/>
        </w:rPr>
        <w:t xml:space="preserve">  </w:t>
      </w:r>
      <w:bookmarkStart w:id="2" w:name="8"/>
      <w:r>
        <w:rPr>
          <w:rFonts w:ascii="仿宋_GB2312" w:eastAsia="仿宋_GB2312" w:hAnsi="等线" w:cs="等线" w:hint="eastAsia"/>
          <w:sz w:val="32"/>
          <w:szCs w:val="32"/>
        </w:rPr>
        <w:t>本标准自2021年12月1日起施行。</w:t>
      </w:r>
      <w:bookmarkStart w:id="3" w:name="_GoBack"/>
      <w:bookmarkEnd w:id="2"/>
      <w:bookmarkEnd w:id="3"/>
    </w:p>
    <w:sectPr w:rsidR="00F66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A71" w:rsidRDefault="00BC4A71" w:rsidP="00FA60ED">
      <w:r>
        <w:separator/>
      </w:r>
    </w:p>
  </w:endnote>
  <w:endnote w:type="continuationSeparator" w:id="0">
    <w:p w:rsidR="00BC4A71" w:rsidRDefault="00BC4A71" w:rsidP="00FA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Microsoft YaHei UI"/>
    <w:charset w:val="86"/>
    <w:family w:val="auto"/>
    <w:pitch w:val="default"/>
    <w:sig w:usb0="00000000" w:usb1="38CF7CF8" w:usb2="00000016" w:usb3="00000000" w:csb0="0004000F" w:csb1="00000000"/>
  </w:font>
  <w:font w:name="方正小标宋_GBK">
    <w:altName w:val="Malgun Gothic Semilight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书宋一简">
    <w:altName w:val="Microsoft YaHei UI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A71" w:rsidRDefault="00BC4A71" w:rsidP="00FA60ED">
      <w:r>
        <w:separator/>
      </w:r>
    </w:p>
  </w:footnote>
  <w:footnote w:type="continuationSeparator" w:id="0">
    <w:p w:rsidR="00BC4A71" w:rsidRDefault="00BC4A71" w:rsidP="00FA6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C2"/>
    <w:rsid w:val="00A321C2"/>
    <w:rsid w:val="00BC4A71"/>
    <w:rsid w:val="00F66FB9"/>
    <w:rsid w:val="00FA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4B9548-4706-4592-802C-41603680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0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0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0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0ED"/>
    <w:rPr>
      <w:sz w:val="18"/>
      <w:szCs w:val="18"/>
    </w:rPr>
  </w:style>
  <w:style w:type="paragraph" w:styleId="a7">
    <w:name w:val="Plain Text"/>
    <w:basedOn w:val="a"/>
    <w:link w:val="a8"/>
    <w:unhideWhenUsed/>
    <w:qFormat/>
    <w:rsid w:val="00FA60ED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FA60ED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1078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2021-12-02T03:40:00Z</dcterms:created>
  <dcterms:modified xsi:type="dcterms:W3CDTF">2021-12-02T03:40:00Z</dcterms:modified>
</cp:coreProperties>
</file>