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5B" w:rsidRPr="00C57830" w:rsidRDefault="005F445B" w:rsidP="005F445B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C57830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5F445B" w:rsidRPr="00C57830" w:rsidRDefault="005F445B" w:rsidP="005F445B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 w:rsidRPr="00C57830">
        <w:rPr>
          <w:rFonts w:ascii="方正小标宋_GBK" w:eastAsia="方正小标宋_GBK" w:hint="eastAsia"/>
          <w:sz w:val="44"/>
          <w:szCs w:val="44"/>
        </w:rPr>
        <w:t>山东省示范性中等职业学校建设工程项目绩效评估指标</w:t>
      </w:r>
    </w:p>
    <w:p w:rsidR="005F445B" w:rsidRPr="00C57830" w:rsidRDefault="005F445B" w:rsidP="005F445B">
      <w:pPr>
        <w:spacing w:line="2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5F445B" w:rsidRPr="00C57830" w:rsidRDefault="005F445B" w:rsidP="005F445B">
      <w:pPr>
        <w:spacing w:line="240" w:lineRule="exact"/>
        <w:rPr>
          <w:rFonts w:ascii="楷体" w:eastAsia="楷体" w:hAnsi="楷体"/>
          <w:sz w:val="32"/>
          <w:szCs w:val="32"/>
        </w:rPr>
      </w:pPr>
      <w:r w:rsidRPr="00C57830">
        <w:rPr>
          <w:rFonts w:ascii="楷体" w:eastAsia="楷体" w:hAnsi="楷体" w:cs="宋体" w:hint="eastAsia"/>
          <w:sz w:val="24"/>
        </w:rPr>
        <w:t xml:space="preserve">学校名称：__________________                                    </w:t>
      </w:r>
      <w:r>
        <w:rPr>
          <w:rFonts w:ascii="楷体" w:eastAsia="楷体" w:hAnsi="楷体" w:cs="宋体"/>
          <w:sz w:val="24"/>
        </w:rPr>
        <w:t xml:space="preserve">                  </w:t>
      </w:r>
      <w:r w:rsidRPr="00C57830">
        <w:rPr>
          <w:rFonts w:ascii="楷体" w:eastAsia="楷体" w:hAnsi="楷体" w:cs="宋体" w:hint="eastAsia"/>
          <w:sz w:val="24"/>
        </w:rPr>
        <w:t>市教育局（公章）</w:t>
      </w:r>
    </w:p>
    <w:tbl>
      <w:tblPr>
        <w:tblW w:w="14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2772"/>
        <w:gridCol w:w="518"/>
        <w:gridCol w:w="574"/>
        <w:gridCol w:w="1945"/>
        <w:gridCol w:w="2352"/>
        <w:gridCol w:w="2324"/>
        <w:gridCol w:w="559"/>
        <w:gridCol w:w="532"/>
        <w:gridCol w:w="532"/>
        <w:gridCol w:w="490"/>
        <w:gridCol w:w="476"/>
        <w:gridCol w:w="476"/>
      </w:tblGrid>
      <w:tr w:rsidR="005F445B" w:rsidRPr="00C57830" w:rsidTr="00926845">
        <w:trPr>
          <w:trHeight w:val="495"/>
          <w:tblHeader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评估指标</w:t>
            </w:r>
          </w:p>
        </w:tc>
        <w:tc>
          <w:tcPr>
            <w:tcW w:w="277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评估内容</w:t>
            </w:r>
          </w:p>
        </w:tc>
        <w:tc>
          <w:tcPr>
            <w:tcW w:w="1092" w:type="dxa"/>
            <w:gridSpan w:val="2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查验内容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中期评估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计分办法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验收评估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计分办法</w:t>
            </w:r>
          </w:p>
        </w:tc>
        <w:tc>
          <w:tcPr>
            <w:tcW w:w="1091" w:type="dxa"/>
            <w:gridSpan w:val="2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学校自评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得分</w:t>
            </w:r>
          </w:p>
        </w:tc>
        <w:tc>
          <w:tcPr>
            <w:tcW w:w="1022" w:type="dxa"/>
            <w:gridSpan w:val="2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市级复评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得分</w:t>
            </w:r>
          </w:p>
        </w:tc>
        <w:tc>
          <w:tcPr>
            <w:tcW w:w="952" w:type="dxa"/>
            <w:gridSpan w:val="2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省级评估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5F445B" w:rsidRPr="00C57830" w:rsidTr="00926845">
        <w:trPr>
          <w:trHeight w:val="495"/>
          <w:tblHeader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中期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评估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验收</w:t>
            </w:r>
          </w:p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评估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中期</w:t>
            </w: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br/>
              <w:t>评估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验收</w:t>
            </w: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br/>
              <w:t>评估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中期评估</w:t>
            </w:r>
          </w:p>
        </w:tc>
        <w:tc>
          <w:tcPr>
            <w:tcW w:w="490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验收评估</w:t>
            </w:r>
          </w:p>
        </w:tc>
        <w:tc>
          <w:tcPr>
            <w:tcW w:w="476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中期评估</w:t>
            </w:r>
          </w:p>
        </w:tc>
        <w:tc>
          <w:tcPr>
            <w:tcW w:w="476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黑体" w:cs="宋体"/>
                <w:bCs/>
                <w:kern w:val="0"/>
                <w:sz w:val="18"/>
                <w:szCs w:val="18"/>
              </w:rPr>
            </w:pPr>
            <w:r w:rsidRPr="00C57830"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验收评估</w:t>
            </w:r>
          </w:p>
        </w:tc>
      </w:tr>
      <w:tr w:rsidR="005F445B" w:rsidRPr="00C57830" w:rsidTr="00926845">
        <w:trPr>
          <w:trHeight w:val="1087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一、资金投入与管理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9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06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1.资金管理措施和制度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建立完善的资金管理措施和制度。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查阅资金管理制度规定。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管理措施和制度规定完善，计20分；有相应的管理措施和制度规定，但需进一步完善，计10-19分；没有建立相应的管理措施和制度规定，计0分。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管理措施和制度规定完善，计20分；有相应的管理措施和制度规定，但需进一步完善，计10-19分；没有建立相应的管理措施和制度规定，计0分。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671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lastRenderedPageBreak/>
              <w:t>2.专项资金使用情况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严格按照《任务书》中</w:t>
            </w:r>
            <w:r w:rsidRPr="00C57830"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  <w:t>“</w:t>
            </w: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资金投入</w:t>
            </w:r>
            <w:r w:rsidRPr="00C57830"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  <w:t>预算表</w:t>
            </w:r>
            <w:r w:rsidRPr="00C57830"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  <w:t>”</w:t>
            </w: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使用资金，做到专款专用。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查阅财务账、会计凭证等材料。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严格按资金管理办法要求使用资金，专款专用、不存在挤占挪用、改变用途问题，计50分；否则计0分，且资金投入与管理指标全部计0分。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严格按资金管理办法要求使用资金，专款专用、不存在挤占挪用、改变用途问题，计50分；否则计0分，且资金投入与管理指标全部计0分。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609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3.会计核算情况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会计核算规范，会计科目使用准确，原始凭证真实有效。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查阅财务账、会计凭证等材料。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会计核算规范，会计科目使用准确，原始凭证真实有效，计30分；会计核算比较规范，会计科目使用基本准确，原始凭证真实有效，计20-29分；会计核算不规范，会计科目使用不准确，原始凭证有虚假票据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会计核算规范，会计科目使用准确，原始凭证真实有效，计30分；会计核算比较规范，会计科目使用基本准确，原始凭证真实有效，计20-29分；会计核算不规范，会计科目使用不准确，原始凭证有虚假票据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925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4.设施设备采购情况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采购按规定实行公开招标，程序规范。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查阅采购活动相关材料。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全部按规定实行公开招标，程序规范的，计40分；大部分按规定实行公开招标，程序基本规范的，计30-39分；不按规定实行公开招标，程序不规范的，计0分。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全部按规定实行公开招标，程序规范的，计40分；大部分按规定实行公开招标，程序基本规范的，计30-39分；不按规定实行公开招标，程序不规范的，计0分。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317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5.资产管理情况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资产管理制度健全、规范，新增资产纳入学校固定资产统一管理。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查阅财务账、资产账等材料。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新增资产能够及时纳入学校固定资产管理，管理制度健全、规范的，计30分；新增资产能够纳入学校固定资产管理，但工作及时性有待提高，管理制度需进一步完善的，计20-29分；新增资产没有纳入学校固定资产管理，管理制度不健全、不规范的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新增资产能够及时纳入学校固定资产管理，管理制度健全、规范的，计30分；新增资产能够纳入学校固定资产管理，但工作及时性有待提高，管理制度需进一步完善的，计20-29分；新增资产没有纳入学校固定资产管理，管理制度不健全、不规范的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68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6.地方配套资金和学校自筹资金投入情况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地方配套资金和学校自筹资金按任务书承诺及时、足额到位。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查阅任务书、财务账、拨款文件等材料。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地方配套资金和学校自筹资金按任务书承诺及时、足额到位的，计15分；地方配套资金和学校自筹资金部分到位的，计5-14分；未安排地方配套资金和学校自筹资金的，计0分。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地方配套资金和学校自筹资金按任务书承诺及时、足额到位的，计15分；地方配套资金和学校自筹资金部分到位的，计5-14分；未安排地方配套资金和学校自筹资金的，计0分。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20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7.运用项目管理信息系统填报情况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运用《项目管理信息系统》及时准确上报项目建设进度。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查验系统数据上报情况。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按要求正常使用系统，数据维护及时准确的，计15分；报告数据不及时、不完整的，计5-14分；未使用系统的，计0分。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按要求正常使用系统，数据维护及时准确的，计15分；报告数据不及时、不完整的，计5-14分；未使用系统的，计0分。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48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二、基础建设成效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9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48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1.办学规模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近三年平均学历在校生规模达4000人。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查看学籍管理系统或学生资助系统在籍全日制</w:t>
            </w:r>
          </w:p>
          <w:p w:rsidR="005F445B" w:rsidRPr="00C57830" w:rsidRDefault="005F445B" w:rsidP="00926845">
            <w:pPr>
              <w:widowControl/>
              <w:spacing w:line="300" w:lineRule="exac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学生数。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每减少1%扣1分，扣完为止。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每减少1%减1分，扣完为止。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16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2.教师队伍建设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专任教师师生比在1：20以内；专业教师数不低于专任教师数的60%；双师型教师比例达到专业专任教师的70%；其中，具有与专业相关的技师等级职业资格证书（或中级以上非教师系列专业技术职务、执业资格）的教师不低于40%。有高级技师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查看教师花名册（学历、职称、技术等级及相关资格证书名称、编号，所教专业等详细情况），学校人事年度报表，教师相关资质证书复印件（原件抽查）及其它证明材料。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四个指标每完成一个计10分，未完成不计分。无高级技师扣3分。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四个指标每完成一个计10分，未完成不计分。无高级技师扣3分。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20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3.学校占地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占地面积不少于13.3万平方米（约200亩），市级以上城市规划建城区不少于10万平方米（约150亩）。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查看学校资产管理系统和固定资产账簿、土地证、建设批文等并实地评估。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达到标准计10分，否则不计分。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达到标准计10分，否则不计分。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48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4.校舍面积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校舍建筑面积不少于8万平方米，生均不低于20平方米。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查看学校资产管理系统和固定资产账簿、房产证（或建筑设计图纸）等，并实地查看评估。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两个指标每完成一个计15分，未完成不计分。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两个指标每完成一个计15分，未完成不计分。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96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5.实训条件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spacing w:val="-6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spacing w:val="-6"/>
                <w:kern w:val="0"/>
                <w:sz w:val="18"/>
                <w:szCs w:val="18"/>
              </w:rPr>
              <w:t>实训设备总值不低于3000万元。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spacing w:val="-4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spacing w:val="-4"/>
                <w:kern w:val="0"/>
                <w:sz w:val="18"/>
                <w:szCs w:val="18"/>
              </w:rPr>
              <w:t>查看学校资产管理系统和固定资产总账、明细账（专用设备管理台账），查验项目建设新增设备政采手续、合同及验收单并实地查看评估。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每减少1%扣1分，扣完为止。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每减少1%扣1分，扣完为止。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44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6.信息化建设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学生用计算机达1台/7人，教师用计算机达1台/1人；有功能齐全的校园网，基本实现数字化管理；有数字化教学平台，实现优质资源班班通，网络学习空间人人通；建成一定数量的教学资源库，信息化教学达到一定水平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查阅资产账，查验校园网带宽，查验教学平台、优质资源班班通、网络学习空间人人通、各专业教学资源库等。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四个指标每完成一个计5分，未完成不计分。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四个指标每完成一个计5分，未完成不计分。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20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7.图书配备</w:t>
            </w:r>
          </w:p>
        </w:tc>
        <w:tc>
          <w:tcPr>
            <w:tcW w:w="2772" w:type="dxa"/>
          </w:tcPr>
          <w:p w:rsidR="005F445B" w:rsidRPr="00C57830" w:rsidRDefault="005F445B" w:rsidP="00926845">
            <w:pPr>
              <w:widowControl/>
              <w:spacing w:line="300" w:lineRule="exac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适用印刷图书12万册，生均30册以上；其中,专业用书不少于1/3；电子教学参考书和期刊以及其他教学资料150种以上。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查阅财务账、资产账，查验图书、期刊及其他教学资料并实地查看评估。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三个指标每完成一个计5分，未完成不计分。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三个指标每完成一个计5分，未完成不计分。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742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8.体育、卫生等设施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有400米环形跑道的、设有看台的标准塑胶运动场；有塑胶篮球场、排球场；体育、卫生、生活等设施符合《学校体育工作条例》、《学校卫生工作条例》等要求；校园安全有保障。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294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实地勘验运动场、篮球场和排球场，根据《学校体育工作条例》、《学校卫生工作条例》要求查验体育、卫生、生活等设施，查验学校安全保障情况。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四个指标每完成一个计5分，未完成不计分。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四个指标每完成一个计5分，未完成不计分。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1415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9.专业建设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80%以上的专业达到规范化标准；40%达到示范性标准。有省级品牌专业。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查看市级以上教育行政部门专业分级认定文件。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两个指标每完成一个计15分，每降低5%减3分。有省级品牌专业计10分，否则不得分。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两个指标每完成一个计15分，每降低5%减3分。有省级品牌专业计10分，否则不得分。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2300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10.经费保障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在确保教师工资按时足额发放、学校正常运转的前提下，必须达到省定最低生均公用经费拨款标准。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查看评估前两个月教师工资表及工资发放凭证，查看当年生均公用经费拨付凭证。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完成计10分，未完成不计分。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完成计10分，未完成不计分。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865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三、内涵发展成效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9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20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1.强化综合素养教育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道德素养教育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2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文化素养教育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8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职业素养教育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6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公民素养教育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30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2.深化教学改革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专业设置与优化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6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人才培养模式改革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课程建设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教学模式改革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5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评价模式改革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8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教研科研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8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26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国际（地区）交流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45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3.促进产教深度融合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共建标准体系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1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共建基地平台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4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共同教育培养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6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集团化办学推进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4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现代学徒制试点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60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4.提升师资队伍水平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专任教师配备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4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兼职教师聘用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1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分类分层培养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3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校企人员交流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2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师德师风建设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40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5.推进信息化建设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信息化基础设施建设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59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数字化教学资源建设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58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信息技术应用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59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信息素养提升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10"/>
          <w:jc w:val="center"/>
        </w:trPr>
        <w:tc>
          <w:tcPr>
            <w:tcW w:w="1101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6.完善学校内部管理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现代学校制度建设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查阅《任务书》建设内容、预期目标和验收要点相关内容。</w:t>
            </w:r>
          </w:p>
        </w:tc>
        <w:tc>
          <w:tcPr>
            <w:tcW w:w="2352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2324" w:type="dxa"/>
            <w:vMerge w:val="restart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按预期目标完成情况和验收要点呈现情况评分。</w:t>
            </w:r>
          </w:p>
        </w:tc>
        <w:tc>
          <w:tcPr>
            <w:tcW w:w="559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1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学校管理水平提升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校长治校能力提升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40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学校治理机制创新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655"/>
          <w:jc w:val="center"/>
        </w:trPr>
        <w:tc>
          <w:tcPr>
            <w:tcW w:w="1101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教学诊断与改进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45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52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vMerge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9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vMerge/>
            <w:vAlign w:val="bottom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" w:type="dxa"/>
            <w:vMerge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  <w:tr w:rsidR="005F445B" w:rsidRPr="00C57830" w:rsidTr="00926845">
        <w:trPr>
          <w:trHeight w:val="725"/>
          <w:jc w:val="center"/>
        </w:trPr>
        <w:tc>
          <w:tcPr>
            <w:tcW w:w="1101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b/>
                <w:bCs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b/>
                <w:bCs/>
                <w:kern w:val="0"/>
                <w:sz w:val="18"/>
                <w:szCs w:val="18"/>
              </w:rPr>
              <w:t>合   计</w:t>
            </w:r>
          </w:p>
        </w:tc>
        <w:tc>
          <w:tcPr>
            <w:tcW w:w="277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18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57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center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945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5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24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59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2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90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  <w:r w:rsidRPr="00C57830">
              <w:rPr>
                <w:rFonts w:ascii="汉仪书宋一简" w:eastAsia="汉仪书宋一简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76" w:type="dxa"/>
            <w:vAlign w:val="center"/>
          </w:tcPr>
          <w:p w:rsidR="005F445B" w:rsidRPr="00C57830" w:rsidRDefault="005F445B" w:rsidP="00926845">
            <w:pPr>
              <w:widowControl/>
              <w:spacing w:line="300" w:lineRule="exact"/>
              <w:jc w:val="left"/>
              <w:rPr>
                <w:rFonts w:ascii="汉仪书宋一简" w:eastAsia="汉仪书宋一简" w:hAnsi="宋体" w:cs="宋体"/>
                <w:kern w:val="0"/>
                <w:sz w:val="18"/>
                <w:szCs w:val="18"/>
              </w:rPr>
            </w:pPr>
          </w:p>
        </w:tc>
      </w:tr>
    </w:tbl>
    <w:p w:rsidR="005F445B" w:rsidRPr="00C57830" w:rsidRDefault="005F445B" w:rsidP="005F445B">
      <w:pPr>
        <w:spacing w:line="580" w:lineRule="exact"/>
        <w:rPr>
          <w:rFonts w:ascii="黑体" w:eastAsia="黑体" w:hAnsi="黑体" w:cs="仿宋_GB2312"/>
          <w:sz w:val="32"/>
          <w:szCs w:val="32"/>
        </w:rPr>
      </w:pPr>
    </w:p>
    <w:p w:rsidR="00446554" w:rsidRDefault="00446554">
      <w:pPr>
        <w:rPr>
          <w:rFonts w:hint="eastAsia"/>
        </w:rPr>
      </w:pPr>
      <w:bookmarkStart w:id="0" w:name="_GoBack"/>
      <w:bookmarkEnd w:id="0"/>
    </w:p>
    <w:sectPr w:rsidR="00446554" w:rsidSect="005F445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E46" w:rsidRDefault="004B0E46" w:rsidP="005F445B">
      <w:r>
        <w:separator/>
      </w:r>
    </w:p>
  </w:endnote>
  <w:endnote w:type="continuationSeparator" w:id="0">
    <w:p w:rsidR="004B0E46" w:rsidRDefault="004B0E46" w:rsidP="005F4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E46" w:rsidRDefault="004B0E46" w:rsidP="005F445B">
      <w:r>
        <w:separator/>
      </w:r>
    </w:p>
  </w:footnote>
  <w:footnote w:type="continuationSeparator" w:id="0">
    <w:p w:rsidR="004B0E46" w:rsidRDefault="004B0E46" w:rsidP="005F4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349"/>
    <w:rsid w:val="00446554"/>
    <w:rsid w:val="004B0E46"/>
    <w:rsid w:val="005F445B"/>
    <w:rsid w:val="00B1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B9B38"/>
  <w15:chartTrackingRefBased/>
  <w15:docId w15:val="{DB0F28F4-6D1B-48ED-AF04-2586498B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4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4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727</Words>
  <Characters>4150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2019-10-21T05:58:00Z</dcterms:created>
  <dcterms:modified xsi:type="dcterms:W3CDTF">2019-10-21T06:01:00Z</dcterms:modified>
</cp:coreProperties>
</file>