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</w:p>
    <w:p>
      <w:pPr>
        <w:widowControl/>
        <w:spacing w:line="580" w:lineRule="exact"/>
        <w:jc w:val="center"/>
        <w:rPr>
          <w:rFonts w:ascii="方正小标宋简体" w:hAnsi="Calibri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仿宋_GB2312"/>
          <w:bCs/>
          <w:color w:val="000000"/>
          <w:kern w:val="0"/>
          <w:sz w:val="44"/>
          <w:szCs w:val="44"/>
        </w:rPr>
        <w:t>2022年度高等职业院校内部质量保证体系</w:t>
      </w:r>
    </w:p>
    <w:p>
      <w:pPr>
        <w:widowControl/>
        <w:spacing w:line="580" w:lineRule="exact"/>
        <w:jc w:val="center"/>
        <w:rPr>
          <w:rFonts w:ascii="方正小标宋简体" w:hAnsi="Calibri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仿宋_GB2312"/>
          <w:bCs/>
          <w:color w:val="000000"/>
          <w:kern w:val="0"/>
          <w:sz w:val="44"/>
          <w:szCs w:val="44"/>
        </w:rPr>
        <w:t>诊断与改进复核结论</w:t>
      </w:r>
    </w:p>
    <w:p>
      <w:pPr>
        <w:widowControl/>
        <w:spacing w:line="580" w:lineRule="exact"/>
        <w:jc w:val="center"/>
        <w:rPr>
          <w:rFonts w:ascii="方正小标宋简体" w:hAnsi="Calibri" w:eastAsia="方正小标宋简体" w:cs="仿宋_GB2312"/>
          <w:bCs/>
          <w:color w:val="000000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587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8"/>
                <w:szCs w:val="28"/>
              </w:rPr>
              <w:t>复核结论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莱芜职业技术学院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山东医学高等专科学校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山东职业学院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山东交通职业学院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烟台工程职业学院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山东城市建设职业学院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菏泽职业学院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枣庄职业学院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000000"/>
                <w:kern w:val="0"/>
                <w:sz w:val="28"/>
                <w:szCs w:val="28"/>
              </w:rPr>
              <w:t>有效</w:t>
            </w:r>
          </w:p>
        </w:tc>
      </w:tr>
    </w:tbl>
    <w:p/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D3EC1"/>
    <w:rsid w:val="4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2023-06-06T03:28:00Z</dcterms:created>
  <dc:creator>z</dc:creator>
  <cp:lastModifiedBy>z</cp:lastModifiedBy>
  <dcterms:modified xsi:type="dcterms:W3CDTF">2023-06-06T03:28:35Z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