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改革尖兵（一）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2021年山东省改革尖兵申报材料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李存岭，省教育厅高校学生处处长，中共党员，1980年出生。该同志秉持昂扬向上的改革精神、勇于探索的创新精神，持续深化招生与就业制度改革，推动全省高校招生与就业工作走在全国前列。</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一、推动建立科学的、公平的、富有特色的考试招生制度</w:t>
      </w:r>
    </w:p>
    <w:p>
      <w:pPr>
        <w:keepNext w:val="0"/>
        <w:keepLines w:val="0"/>
        <w:pageBreakBefore w:val="0"/>
        <w:widowControl w:val="0"/>
        <w:tabs>
          <w:tab w:val="left" w:pos="87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一是持续深化高考综合改革。</w:t>
      </w:r>
      <w:r>
        <w:rPr>
          <w:rFonts w:hint="eastAsia" w:ascii="仿宋_GB2312" w:hAnsi="仿宋_GB2312" w:eastAsia="仿宋_GB2312" w:cs="仿宋_GB2312"/>
          <w:sz w:val="32"/>
          <w:szCs w:val="32"/>
          <w:lang w:val="en-US" w:eastAsia="zh-CN"/>
        </w:rPr>
        <w:t>构建“1+1+15”制度体系，优化我省春季高考、夏季高考在人才选拔体系中的定位，面向普通高中学生、中职学生分别采取“两依据一参考”、“文化素质+职业技能”的考试招生模式，结合不同群体特点的构建富有山东特色的人才成长“立交桥”。</w:t>
      </w:r>
    </w:p>
    <w:p>
      <w:pPr>
        <w:keepNext w:val="0"/>
        <w:keepLines w:val="0"/>
        <w:pageBreakBefore w:val="0"/>
        <w:widowControl w:val="0"/>
        <w:tabs>
          <w:tab w:val="left" w:pos="876"/>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二是进一步促进教育公平。</w:t>
      </w:r>
      <w:r>
        <w:rPr>
          <w:rFonts w:hint="eastAsia" w:ascii="仿宋_GB2312" w:hAnsi="仿宋_GB2312" w:eastAsia="仿宋_GB2312" w:cs="仿宋_GB2312"/>
          <w:sz w:val="32"/>
          <w:szCs w:val="32"/>
          <w:lang w:val="en-US" w:eastAsia="zh-CN"/>
        </w:rPr>
        <w:t>在全国率先完成高考加分项目清理工作。实施“地方高校专项”招生计划，面向农村学生录取2050人，较2020年增长10%。连续扩大“公费师范生、公费农科生、公费医学生</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招生规模，2021年共招收8297人，为乡镇偏远地区输送大批优秀人才。</w:t>
      </w:r>
    </w:p>
    <w:p>
      <w:pPr>
        <w:keepNext w:val="0"/>
        <w:keepLines w:val="0"/>
        <w:pageBreakBefore w:val="0"/>
        <w:widowControl w:val="0"/>
        <w:tabs>
          <w:tab w:val="left" w:pos="876"/>
        </w:tabs>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楷体" w:hAnsi="楷体" w:eastAsia="楷体" w:cs="楷体"/>
          <w:sz w:val="32"/>
          <w:szCs w:val="32"/>
          <w:lang w:val="en-US" w:eastAsia="zh-CN"/>
        </w:rPr>
        <w:t>三是精准服务考生和家长。</w:t>
      </w:r>
      <w:r>
        <w:rPr>
          <w:rFonts w:hint="eastAsia" w:ascii="仿宋_GB2312" w:hAnsi="仿宋_GB2312" w:eastAsia="仿宋_GB2312" w:cs="仿宋_GB2312"/>
          <w:sz w:val="32"/>
          <w:szCs w:val="32"/>
          <w:lang w:val="en-US" w:eastAsia="zh-CN"/>
        </w:rPr>
        <w:t>面向2021届高考生，搭建集群化、立体化、全媒化的“七个一”宣传解读渠道，推出</w:t>
      </w:r>
      <w:r>
        <w:rPr>
          <w:rFonts w:hint="eastAsia" w:ascii="仿宋_GB2312" w:hAnsi="仿宋_GB2312" w:eastAsia="仿宋_GB2312" w:cs="仿宋_GB2312"/>
          <w:sz w:val="32"/>
          <w:szCs w:val="32"/>
        </w:rPr>
        <w:t>助力考生精准填报志愿“十举措”，</w:t>
      </w:r>
      <w:r>
        <w:rPr>
          <w:rFonts w:hint="eastAsia" w:ascii="仿宋_GB2312" w:hAnsi="仿宋_GB2312" w:eastAsia="仿宋_GB2312" w:cs="仿宋_GB2312"/>
          <w:sz w:val="32"/>
          <w:szCs w:val="32"/>
          <w:lang w:val="en-US" w:eastAsia="zh-CN"/>
        </w:rPr>
        <w:t>促进了考生、家长和社会对改革政策的理解和认同。</w:t>
      </w:r>
      <w:r>
        <w:rPr>
          <w:rFonts w:hint="eastAsia" w:ascii="仿宋_GB2312" w:hAnsi="仿宋_GB2312" w:eastAsia="仿宋_GB2312" w:cs="仿宋_GB2312"/>
          <w:b/>
          <w:bCs/>
          <w:kern w:val="2"/>
          <w:sz w:val="32"/>
          <w:szCs w:val="32"/>
          <w:lang w:val="en-US" w:eastAsia="zh-CN" w:bidi="ar-SA"/>
        </w:rPr>
        <w:t>我省高考改革经验形成“山东样板”，教育部在后续省份改革中予以推广我省做法，10余省市前来调研学习，教育部陈宝生部长对我省高考平稳实施致信表扬。</w:t>
      </w:r>
    </w:p>
    <w:p>
      <w:pPr>
        <w:ind w:firstLine="642"/>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二、推动建立系统的、高效的、群众满意的就业工作体系</w:t>
      </w:r>
    </w:p>
    <w:p>
      <w:pPr>
        <w:ind w:firstLine="642"/>
        <w:jc w:val="both"/>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一是</w:t>
      </w:r>
      <w:r>
        <w:rPr>
          <w:rFonts w:hint="eastAsia" w:ascii="楷体" w:hAnsi="楷体" w:eastAsia="楷体" w:cs="楷体"/>
          <w:sz w:val="32"/>
          <w:szCs w:val="32"/>
          <w:lang w:val="en-US" w:eastAsia="zh-CN"/>
        </w:rPr>
        <w:t>推动管理服务提质增效。</w:t>
      </w:r>
      <w:r>
        <w:rPr>
          <w:rFonts w:hint="eastAsia" w:ascii="仿宋_GB2312" w:hAnsi="仿宋_GB2312" w:eastAsia="仿宋_GB2312" w:cs="仿宋_GB2312"/>
          <w:sz w:val="32"/>
          <w:szCs w:val="32"/>
          <w:lang w:val="en-US" w:eastAsia="zh-CN"/>
        </w:rPr>
        <w:t>启动毕业生电子报到证，将师范类毕业生就业服务手续全部纳入省政务服务“四级网办”事项，搭建“一网两端”平台，将原本复杂的就业手续变为了全省通办、全程网办，目前</w:t>
      </w:r>
      <w:r>
        <w:rPr>
          <w:rFonts w:hint="eastAsia" w:ascii="仿宋_GB2312" w:hAnsi="仿宋_GB2312" w:eastAsia="仿宋_GB2312" w:cs="仿宋_GB2312"/>
          <w:color w:val="auto"/>
          <w:sz w:val="32"/>
          <w:szCs w:val="32"/>
          <w:lang w:eastAsia="zh-CN"/>
        </w:rPr>
        <w:t>累计办理就业手续47298件</w:t>
      </w:r>
      <w:r>
        <w:rPr>
          <w:rFonts w:hint="eastAsia" w:ascii="仿宋_GB2312" w:hAnsi="仿宋_GB2312" w:eastAsia="仿宋_GB2312" w:cs="仿宋_GB2312"/>
          <w:sz w:val="32"/>
          <w:szCs w:val="32"/>
          <w:lang w:val="en-US" w:eastAsia="zh-CN"/>
        </w:rPr>
        <w:t>。开发毕业生档案转递平台，实现了毕业生档案寄递全过程线上可查询、可追溯。研发就业工作服务智能机器人“云小路”，为毕业生提供24小时在线解答和服务。</w:t>
      </w:r>
    </w:p>
    <w:p>
      <w:pPr>
        <w:ind w:firstLine="642"/>
        <w:jc w:val="both"/>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二是</w:t>
      </w:r>
      <w:r>
        <w:rPr>
          <w:rFonts w:hint="eastAsia" w:ascii="楷体" w:hAnsi="楷体" w:eastAsia="楷体" w:cs="楷体"/>
          <w:sz w:val="32"/>
          <w:szCs w:val="32"/>
          <w:lang w:val="en-US" w:eastAsia="zh-CN"/>
        </w:rPr>
        <w:t>通过大赛提升学生就业技能。</w:t>
      </w:r>
      <w:r>
        <w:rPr>
          <w:rFonts w:hint="eastAsia" w:ascii="仿宋_GB2312" w:hAnsi="仿宋_GB2312" w:eastAsia="仿宋_GB2312" w:cs="仿宋_GB2312"/>
          <w:sz w:val="32"/>
          <w:szCs w:val="32"/>
          <w:lang w:val="en-US" w:eastAsia="zh-CN"/>
        </w:rPr>
        <w:t>组织师范生学生从业技能大赛，师范类高校毕业生参赛率达90%以上，通过赛练融通、学用结合的方式，促进</w:t>
      </w:r>
      <w:r>
        <w:rPr>
          <w:rFonts w:hint="eastAsia" w:ascii="仿宋_GB2312" w:hAnsi="Times New Roman" w:eastAsia="仿宋_GB2312" w:cs="Times New Roman"/>
          <w:color w:val="auto"/>
          <w:sz w:val="32"/>
          <w:szCs w:val="32"/>
        </w:rPr>
        <w:t>师范生</w:t>
      </w:r>
      <w:r>
        <w:rPr>
          <w:rFonts w:hint="eastAsia" w:ascii="仿宋_GB2312" w:hAnsi="Times New Roman" w:eastAsia="仿宋_GB2312" w:cs="Times New Roman"/>
          <w:color w:val="auto"/>
          <w:sz w:val="32"/>
          <w:szCs w:val="32"/>
          <w:lang w:val="en-US" w:eastAsia="zh-CN"/>
        </w:rPr>
        <w:t>师德师风和从业</w:t>
      </w:r>
      <w:r>
        <w:rPr>
          <w:rFonts w:hint="eastAsia" w:ascii="仿宋_GB2312" w:hAnsi="Times New Roman" w:eastAsia="仿宋_GB2312" w:cs="Times New Roman"/>
          <w:color w:val="auto"/>
          <w:sz w:val="32"/>
          <w:szCs w:val="32"/>
        </w:rPr>
        <w:t>技能</w:t>
      </w:r>
      <w:r>
        <w:rPr>
          <w:rFonts w:hint="eastAsia" w:ascii="仿宋_GB2312" w:hAnsi="Times New Roman" w:eastAsia="仿宋_GB2312" w:cs="Times New Roman"/>
          <w:color w:val="auto"/>
          <w:sz w:val="32"/>
          <w:szCs w:val="32"/>
          <w:lang w:val="en-US" w:eastAsia="zh-CN"/>
        </w:rPr>
        <w:t>的</w:t>
      </w:r>
      <w:r>
        <w:rPr>
          <w:rFonts w:hint="eastAsia" w:ascii="仿宋_GB2312" w:hAnsi="Times New Roman" w:eastAsia="仿宋_GB2312" w:cs="Times New Roman"/>
          <w:color w:val="auto"/>
          <w:sz w:val="32"/>
          <w:szCs w:val="32"/>
        </w:rPr>
        <w:t>养成</w:t>
      </w:r>
      <w:r>
        <w:rPr>
          <w:rFonts w:hint="eastAsia" w:ascii="仿宋_GB2312" w:hAnsi="仿宋_GB2312" w:eastAsia="仿宋_GB2312" w:cs="仿宋_GB2312"/>
          <w:sz w:val="32"/>
          <w:szCs w:val="32"/>
          <w:lang w:val="en-US" w:eastAsia="zh-CN"/>
        </w:rPr>
        <w:t>。</w:t>
      </w:r>
    </w:p>
    <w:p>
      <w:pPr>
        <w:ind w:firstLine="642"/>
        <w:jc w:val="both"/>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三是</w:t>
      </w:r>
      <w:r>
        <w:rPr>
          <w:rFonts w:hint="eastAsia" w:ascii="楷体" w:hAnsi="楷体" w:eastAsia="楷体" w:cs="楷体"/>
          <w:sz w:val="32"/>
          <w:szCs w:val="32"/>
          <w:lang w:val="en-US" w:eastAsia="zh-CN"/>
        </w:rPr>
        <w:t>组织“寒冬送暖，就业先行”网上专场就业双选会和8场省级就业双选会</w:t>
      </w:r>
      <w:r>
        <w:rPr>
          <w:rFonts w:hint="eastAsia" w:ascii="仿宋_GB2312" w:hAnsi="仿宋_GB2312" w:eastAsia="仿宋_GB2312" w:cs="仿宋_GB2312"/>
          <w:sz w:val="32"/>
          <w:szCs w:val="32"/>
          <w:lang w:val="en-US" w:eastAsia="zh-CN"/>
        </w:rPr>
        <w:t>，累计提供就业岗位17.5万个。利用扩招政策，增加研究生和专升本招生计划1.3万余人。截止2021年9月，我省超过9成的2021届高校毕业生落实毕业去向，位居全国前列。</w:t>
      </w:r>
    </w:p>
    <w:p>
      <w:pPr>
        <w:spacing w:line="579" w:lineRule="exact"/>
        <w:jc w:val="center"/>
        <w:rPr>
          <w:rFonts w:hint="eastAsia" w:ascii="方正小标宋简体" w:hAnsi="方正小标宋简体" w:eastAsia="方正小标宋简体" w:cs="方正小标宋简体"/>
          <w:sz w:val="44"/>
          <w:szCs w:val="44"/>
          <w:lang w:val="en-US" w:eastAsia="zh-CN"/>
        </w:rPr>
      </w:pPr>
    </w:p>
    <w:p>
      <w:pPr>
        <w:spacing w:line="579"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改革尖兵（二）</w:t>
      </w:r>
    </w:p>
    <w:p>
      <w:pPr>
        <w:spacing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吴永刚</w:t>
      </w:r>
      <w:r>
        <w:rPr>
          <w:rFonts w:hint="eastAsia" w:ascii="方正小标宋简体" w:hAnsi="方正小标宋简体" w:eastAsia="方正小标宋简体" w:cs="方正小标宋简体"/>
          <w:sz w:val="44"/>
          <w:szCs w:val="44"/>
        </w:rPr>
        <w:t>事迹材料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吴永刚，男，1965年4月生，中共党员。自2016年7月任威海职业学院党委书记以来，该同志以党的十九大和全国职业教育工作会议精神为指导，深入贯彻习近平总书记关于职业教育的重要论述，全面推行各项改革，在职业教育转型发展中积极探索、勇于突破，争当山东职教高地建设改革创新排头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一是深化服务面向改革，</w:t>
      </w:r>
      <w:r>
        <w:rPr>
          <w:rFonts w:hint="eastAsia" w:ascii="仿宋_GB2312" w:hAnsi="仿宋_GB2312" w:eastAsia="仿宋_GB2312" w:cs="仿宋_GB2312"/>
          <w:sz w:val="32"/>
          <w:szCs w:val="32"/>
        </w:rPr>
        <w:t>立足区域产业</w:t>
      </w:r>
      <w:r>
        <w:rPr>
          <w:rFonts w:ascii="仿宋_GB2312" w:hAnsi="仿宋_GB2312" w:eastAsia="仿宋_GB2312" w:cs="仿宋_GB2312"/>
          <w:sz w:val="32"/>
          <w:szCs w:val="32"/>
        </w:rPr>
        <w:t>结构升级和</w:t>
      </w:r>
      <w:r>
        <w:rPr>
          <w:rFonts w:hint="eastAsia" w:ascii="仿宋_GB2312" w:hAnsi="仿宋_GB2312" w:eastAsia="仿宋_GB2312" w:cs="仿宋_GB2312"/>
          <w:sz w:val="32"/>
          <w:szCs w:val="32"/>
        </w:rPr>
        <w:t>社会需求制定</w:t>
      </w:r>
      <w:r>
        <w:rPr>
          <w:rFonts w:ascii="仿宋_GB2312" w:hAnsi="仿宋_GB2312" w:eastAsia="仿宋_GB2312" w:cs="仿宋_GB2312"/>
          <w:sz w:val="32"/>
          <w:szCs w:val="32"/>
        </w:rPr>
        <w:t>学校发展规划</w:t>
      </w:r>
      <w:r>
        <w:rPr>
          <w:rFonts w:hint="eastAsia" w:ascii="仿宋_GB2312" w:hAnsi="仿宋_GB2312" w:eastAsia="仿宋_GB2312" w:cs="仿宋_GB2312"/>
          <w:sz w:val="32"/>
          <w:szCs w:val="32"/>
        </w:rPr>
        <w:t>，倡导建立了专业设置与区域产业动态调整机制，毕业生就业率始终保持在95%以上。面向脱贫攻坚主战场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建了乡村振兴研究院，全面承接威海市粮食检测中心、中华全国供销合作总社济南果品研究院的相关工作。同时，积极服务国家战略，协调上合组织大使团来山东访问，推动了省政府与上合组织成功举办上合组织国家职业技能大赛，（XX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二是深化教学体系改革，</w:t>
      </w:r>
      <w:r>
        <w:rPr>
          <w:rFonts w:hint="eastAsia" w:ascii="仿宋_GB2312" w:hAnsi="仿宋_GB2312" w:eastAsia="仿宋_GB2312" w:cs="仿宋_GB2312"/>
          <w:sz w:val="32"/>
          <w:szCs w:val="32"/>
        </w:rPr>
        <w:t>把职业教育核心放在职业上，大力推行以实训为导向的教育改革，开展了“砸墙运动”，取消理论课教室，全面推进理实一体化教学，“教师在实训室里办公，学生在车间里上学，用老师的真本事教给学生真本领，学生有作品，二级学院有产品”成为常态，在搞好教学工作的同时，积极服务区域新旧动能转换和企业的创新发展，每年实训和社会服务收入超过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楷体" w:hAnsi="楷体" w:eastAsia="楷体" w:cs="楷体"/>
          <w:sz w:val="32"/>
          <w:szCs w:val="32"/>
        </w:rPr>
        <w:t>三是深化组织人事改革，</w:t>
      </w:r>
      <w:r>
        <w:rPr>
          <w:rFonts w:hint="eastAsia" w:ascii="仿宋_GB2312" w:hAnsi="仿宋_GB2312" w:eastAsia="仿宋_GB2312" w:cs="仿宋_GB2312"/>
          <w:sz w:val="32"/>
          <w:szCs w:val="32"/>
        </w:rPr>
        <w:t>大力倡导干部选拔唯德唯才，绩效分配多岗多得，特别是在职称评聘中大力推行能上能下，坚决破除“五唯”。2020年职称评定实行全员竞聘，9人跨三级，53人跨两级晋升，其中1人从副高七级一步跨到正教授四级，12人落聘，包括1名正教授。学院认定的911篇论文，只有21篇被教师作为标志性成果上报，比例为2.3%。国内主流媒体对此进行了全面深入报道，引起了广泛的社会反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四是深化校产管理改革，</w:t>
      </w:r>
      <w:r>
        <w:rPr>
          <w:rFonts w:hint="eastAsia" w:ascii="仿宋_GB2312" w:hAnsi="仿宋_GB2312" w:eastAsia="仿宋_GB2312" w:cs="仿宋_GB2312"/>
          <w:sz w:val="32"/>
          <w:szCs w:val="32"/>
        </w:rPr>
        <w:t>把学院的一切资源都作为教学资源，把一切经营性活动都作为教学活动，积极争取市委、市政府的支持，主导成立了资产运营公司，校内结算中心和招投标中心等，学校的所有校产管理和后勤保障都作为生产性实训项目放到二级学院，老师带着学生干，自己的事自己干，既节省了学院运营成本，又为学生提供了实训载体，每年节省后勤支出1000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五是深化办学体制改革，</w:t>
      </w:r>
      <w:r>
        <w:rPr>
          <w:rFonts w:hint="eastAsia" w:ascii="仿宋_GB2312" w:hAnsi="仿宋_GB2312" w:eastAsia="仿宋_GB2312" w:cs="仿宋_GB2312"/>
          <w:sz w:val="32"/>
          <w:szCs w:val="32"/>
        </w:rPr>
        <w:t>推动成立的3个独立法人、混合所有制二级学院，都实现持续健康发展，特别是混合所有制的海大学院得到了国家海事局和社会各界的充分肯定和认可，成为全国职业院校典型案例。同时，坚持把社会培训工作放在全日制教学工作同等甚至更重要的位置，2019年培训收入达到3480多万元。今年尽管受疫情影响，仍然达到3070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4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E136A"/>
    <w:rsid w:val="00024137"/>
    <w:rsid w:val="08E5141F"/>
    <w:rsid w:val="109F0966"/>
    <w:rsid w:val="29700D7E"/>
    <w:rsid w:val="2C623727"/>
    <w:rsid w:val="362212C7"/>
    <w:rsid w:val="3F194CC5"/>
    <w:rsid w:val="485E136A"/>
    <w:rsid w:val="4C004EE2"/>
    <w:rsid w:val="544D76E8"/>
    <w:rsid w:val="65F30BFC"/>
    <w:rsid w:val="6D50600D"/>
    <w:rsid w:val="6E5177CB"/>
    <w:rsid w:val="70AC666B"/>
    <w:rsid w:val="792C1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56" w:after="52" w:line="580" w:lineRule="exact"/>
      <w:ind w:left="74" w:right="70" w:firstLine="420" w:firstLineChars="200"/>
    </w:pPr>
    <w:rPr>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2021-11-09T08:20:00Z</dcterms:created>
  <dc:creator>dell</dc:creator>
  <cp:lastModifiedBy>dell</cp:lastModifiedBy>
  <cp:lastPrinted>2021-11-11T03:34:00Z</cp:lastPrinted>
  <dcterms:modified xsi:type="dcterms:W3CDTF">2021-11-15T06:00:50Z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