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ascii="黑体" w:hAnsi="黑体" w:eastAsia="黑体" w:cs="Calibri"/>
          <w:kern w:val="0"/>
          <w:sz w:val="32"/>
          <w:szCs w:val="32"/>
          <w:lang w:val="zh-CN"/>
        </w:rPr>
      </w:pPr>
    </w:p>
    <w:p>
      <w:pPr>
        <w:snapToGrid w:val="0"/>
        <w:spacing w:line="540" w:lineRule="exact"/>
        <w:jc w:val="center"/>
        <w:rPr>
          <w:rFonts w:hint="eastAsia" w:ascii="方正小标宋简体" w:eastAsia="方正小标宋简体" w:cs="Calibri"/>
          <w:kern w:val="0"/>
          <w:sz w:val="36"/>
          <w:szCs w:val="36"/>
          <w:lang w:val="zh-CN"/>
        </w:rPr>
      </w:pPr>
      <w:r>
        <w:rPr>
          <w:rFonts w:hint="eastAsia" w:ascii="方正小标宋简体" w:eastAsia="方正小标宋简体" w:cs="Calibri"/>
          <w:kern w:val="0"/>
          <w:sz w:val="36"/>
          <w:szCs w:val="36"/>
          <w:lang w:val="zh-CN"/>
        </w:rPr>
        <w:t>重点任务分工及进度安排表</w:t>
      </w:r>
    </w:p>
    <w:p>
      <w:pPr>
        <w:snapToGrid w:val="0"/>
        <w:spacing w:line="540" w:lineRule="exact"/>
        <w:jc w:val="center"/>
        <w:rPr>
          <w:rFonts w:hint="eastAsia" w:ascii="方正小标宋简体" w:eastAsia="方正小标宋简体" w:cs="Calibri"/>
          <w:kern w:val="0"/>
          <w:sz w:val="36"/>
          <w:szCs w:val="36"/>
          <w:lang w:val="zh-CN"/>
        </w:rPr>
      </w:pPr>
    </w:p>
    <w:tbl>
      <w:tblPr>
        <w:tblStyle w:val="5"/>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3986"/>
        <w:gridCol w:w="2135"/>
        <w:gridCol w:w="1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7" w:hRule="atLeast"/>
          <w:tblHeader/>
        </w:trPr>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b/>
              </w:rPr>
            </w:pPr>
            <w:r>
              <w:rPr>
                <w:rFonts w:hint="eastAsia"/>
                <w:b/>
              </w:rPr>
              <w:t>序号</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b/>
              </w:rPr>
            </w:pPr>
            <w:r>
              <w:rPr>
                <w:rFonts w:hint="eastAsia"/>
                <w:b/>
              </w:rPr>
              <w:t>工作任务</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b/>
              </w:rPr>
            </w:pPr>
            <w:r>
              <w:rPr>
                <w:rFonts w:hint="eastAsia"/>
                <w:b/>
              </w:rPr>
              <w:t>负责单位</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b/>
              </w:rPr>
            </w:pPr>
            <w:r>
              <w:rPr>
                <w:rFonts w:hint="eastAsia"/>
                <w:b/>
              </w:rPr>
              <w:t>时间进度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pPr>
            <w:r>
              <w:t>1</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制定普通高中学生职业适应性测试指导意见</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rPr>
                <w:rFonts w:hint="eastAsia"/>
              </w:rPr>
            </w:pPr>
            <w:r>
              <w:rPr>
                <w:rFonts w:hint="eastAsia"/>
              </w:rPr>
              <w:t>省教育厅</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rPr>
                <w:rFonts w:hint="eastAsia"/>
              </w:rPr>
            </w:pPr>
            <w:r>
              <w:rPr>
                <w:rFonts w:hint="eastAsia"/>
              </w:rPr>
              <w:t>2015年完成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pPr>
            <w:r>
              <w:t>2</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改进“专升本”制度，逐步实现与职业教育贯通培养方式对接</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省教育厅</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t>2015</w:t>
            </w:r>
            <w:r>
              <w:rPr>
                <w:rFonts w:hint="eastAsia"/>
              </w:rPr>
              <w:t>年出台具体措施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3</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从</w:t>
            </w:r>
            <w:r>
              <w:t>2015</w:t>
            </w:r>
            <w:r>
              <w:rPr>
                <w:rFonts w:hint="eastAsia"/>
              </w:rPr>
              <w:t>年起，各设区市全部实现由教育考试招生机构负责高中阶段考试招生工作</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各市人民政府</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t>2015</w:t>
            </w:r>
            <w:r>
              <w:rPr>
                <w:rFonts w:hint="eastAsia"/>
              </w:rPr>
              <w:t>年9月前完成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pPr>
            <w:r>
              <w:t>4</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实施“文化素质</w:t>
            </w:r>
            <w:r>
              <w:t>+</w:t>
            </w:r>
            <w:r>
              <w:rPr>
                <w:rFonts w:hint="eastAsia"/>
              </w:rPr>
              <w:t>专业技能”中职学校学业水平考试制度和学生综合素质评价制度</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省教育厅</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t>2015</w:t>
            </w:r>
            <w:r>
              <w:rPr>
                <w:rFonts w:hint="eastAsia"/>
              </w:rPr>
              <w:t>年出台指导意见，2016年实施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pPr>
            <w:r>
              <w:rPr>
                <w:rFonts w:hint="eastAsia"/>
              </w:rPr>
              <w:t>5</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进一步扩大职业院校和应用本科高校在人事管理、教师评聘、收入分配等方面的办学自主权</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80" w:lineRule="exact"/>
              <w:rPr>
                <w:szCs w:val="21"/>
              </w:rPr>
            </w:pPr>
            <w:r>
              <w:rPr>
                <w:rFonts w:hint="eastAsia"/>
                <w:szCs w:val="21"/>
              </w:rPr>
              <w:t>省人力资源社会保障厅会同省编办、发展改革委、教育厅等</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t>2015</w:t>
            </w:r>
            <w:r>
              <w:rPr>
                <w:rFonts w:hint="eastAsia"/>
              </w:rPr>
              <w:t>年12月前出台具体措施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pPr>
            <w:r>
              <w:t>6</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制定职业院校管理基本规范</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省教育厅等有关部门</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t>2015</w:t>
            </w:r>
            <w:r>
              <w:rPr>
                <w:rFonts w:hint="eastAsia"/>
              </w:rPr>
              <w:t>年9月前</w:t>
            </w:r>
            <w:r>
              <w:t xml:space="preserve"> </w:t>
            </w:r>
            <w:r>
              <w:rPr>
                <w:rFonts w:hint="eastAsia"/>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pPr>
            <w:r>
              <w:t>7</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t>2015</w:t>
            </w:r>
            <w:r>
              <w:rPr>
                <w:rFonts w:hint="eastAsia"/>
              </w:rPr>
              <w:t>年，制定我省推进高等教育重点改革意见</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省教育厅牵头</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t>2015</w:t>
            </w:r>
            <w:r>
              <w:rPr>
                <w:rFonts w:hint="eastAsia"/>
              </w:rPr>
              <w:t>年完成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8</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rPr>
                <w:rFonts w:hint="eastAsia"/>
              </w:rPr>
            </w:pPr>
            <w:r>
              <w:rPr>
                <w:rFonts w:hint="eastAsia"/>
              </w:rPr>
              <w:t>从2015年起，将每年硕士研究生招生计划增量主要用于专业学位硕士招生</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省教育厅牵头</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rPr>
                <w:rFonts w:hint="eastAsia"/>
              </w:rPr>
            </w:pPr>
            <w:r>
              <w:rPr>
                <w:rFonts w:hint="eastAsia"/>
              </w:rPr>
              <w:t>按年度组织实施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9</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rPr>
                <w:rFonts w:hint="eastAsia"/>
              </w:rPr>
            </w:pPr>
            <w:r>
              <w:rPr>
                <w:rFonts w:hint="eastAsia"/>
              </w:rPr>
              <w:t>2015年研究制定政策措施，将企业开展职业教育情况纳入企业社会责任报告，国有大中型企业建设职业教育实习实训基地，并将专业技术人才到校任教情况纳入业绩考核</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省经济和信息化委会同省国资委、教育厅、人力资源社会保障厅</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t>2015</w:t>
            </w:r>
            <w:r>
              <w:rPr>
                <w:rFonts w:hint="eastAsia"/>
              </w:rPr>
              <w:t>年12月前出台具体措施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10</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rPr>
                <w:rFonts w:hint="eastAsia"/>
              </w:rPr>
            </w:pPr>
            <w:r>
              <w:rPr>
                <w:rFonts w:hint="eastAsia"/>
              </w:rPr>
              <w:t>从2015年起，市、县（市、区）政府设立职业教育发展基金，支持建设校企一体化合作办学示范校和企业</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各市、县（市、区）人民政府</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rPr>
                <w:rFonts w:hint="eastAsia"/>
              </w:rPr>
            </w:pPr>
            <w:r>
              <w:t>2015</w:t>
            </w:r>
            <w:r>
              <w:rPr>
                <w:rFonts w:hint="eastAsia"/>
              </w:rPr>
              <w:t>年出台措施，并按年度组织实施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11</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rPr>
                <w:rFonts w:hint="eastAsia"/>
              </w:rPr>
            </w:pPr>
            <w:r>
              <w:rPr>
                <w:rFonts w:hint="eastAsia"/>
              </w:rPr>
              <w:t>扩大高校合作办学自主权，取消校企合作办学项目数量限制，落实校企合作办学收费政策，加大对合作办学的政策支持力度</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rPr>
                <w:rFonts w:hint="eastAsia"/>
              </w:rPr>
            </w:pPr>
            <w:r>
              <w:rPr>
                <w:rFonts w:hint="eastAsia"/>
              </w:rPr>
              <w:t>省物价局会同省财政厅、教育厅</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rPr>
                <w:rFonts w:hint="eastAsia"/>
              </w:rPr>
            </w:pPr>
            <w:r>
              <w:rPr>
                <w:rFonts w:hint="eastAsia"/>
              </w:rPr>
              <w:t>按年度组织实施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12</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开展现代学徒制试点。启动多元投资主体依法共建职业教育集团改革试点</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省教育厅会同省经济和信息化委、财政厅、人力资源社会保障厅等</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t>2015</w:t>
            </w:r>
            <w:r>
              <w:rPr>
                <w:rFonts w:hint="eastAsia"/>
              </w:rPr>
              <w:t>年出台具体措施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13</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rPr>
                <w:rFonts w:hint="eastAsia"/>
              </w:rPr>
            </w:pPr>
            <w:r>
              <w:rPr>
                <w:rFonts w:hint="eastAsia"/>
              </w:rPr>
              <w:t>制定校企合作推进办法</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rPr>
                <w:rFonts w:hint="eastAsia"/>
              </w:rPr>
            </w:pPr>
            <w:r>
              <w:rPr>
                <w:rFonts w:hint="eastAsia"/>
                <w:szCs w:val="21"/>
              </w:rPr>
              <w:t>省教育厅会同省法制办、发展改革委、经济和信息化委、财政厅、人力资源社会保障厅等</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rPr>
                <w:rFonts w:hint="eastAsia"/>
              </w:rPr>
            </w:pPr>
            <w:r>
              <w:rPr>
                <w:rFonts w:hint="eastAsia"/>
              </w:rPr>
              <w:t>2016年启动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6" w:hRule="atLeast"/>
        </w:trPr>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14</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80" w:lineRule="exact"/>
            </w:pPr>
            <w:r>
              <w:rPr>
                <w:rFonts w:hint="eastAsia"/>
              </w:rPr>
              <w:t>着力改善职业教育实训条件</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80" w:lineRule="exact"/>
              <w:rPr>
                <w:szCs w:val="21"/>
              </w:rPr>
            </w:pPr>
            <w:r>
              <w:rPr>
                <w:rFonts w:hint="eastAsia"/>
                <w:szCs w:val="21"/>
              </w:rPr>
              <w:t>省教育厅会同省经济和信息化委、发展改革委、财政厅、人力资源社会保障厅等</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按年度组织实施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15</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80" w:lineRule="exact"/>
            </w:pPr>
            <w:r>
              <w:rPr>
                <w:rFonts w:hint="eastAsia"/>
              </w:rPr>
              <w:t>全面尽快落实我省职业院校教职工编制标准、教师招聘、20%编制员额由学校自主聘用兼职教师、职称评价等政策规定</w:t>
            </w:r>
            <w:r>
              <w:t xml:space="preserve"> </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80" w:lineRule="exact"/>
              <w:rPr>
                <w:szCs w:val="21"/>
              </w:rPr>
            </w:pPr>
            <w:r>
              <w:rPr>
                <w:rFonts w:hint="eastAsia"/>
                <w:szCs w:val="21"/>
              </w:rPr>
              <w:t>省编办、省人力资源社会保障厅、省教育厅、财政厅按照各自职责抓好落实</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t>2015</w:t>
            </w:r>
            <w:r>
              <w:rPr>
                <w:rFonts w:hint="eastAsia"/>
              </w:rPr>
              <w:t>年完成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pPr>
            <w:r>
              <w:rPr>
                <w:rFonts w:hint="eastAsia"/>
              </w:rPr>
              <w:t>16</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80" w:lineRule="exact"/>
            </w:pPr>
            <w:r>
              <w:rPr>
                <w:rFonts w:hint="eastAsia"/>
              </w:rPr>
              <w:t>从</w:t>
            </w:r>
            <w:r>
              <w:t>2015</w:t>
            </w:r>
            <w:r>
              <w:rPr>
                <w:rFonts w:hint="eastAsia"/>
              </w:rPr>
              <w:t>年起，开展中职学校设立正高级教师职务试点，并逐步调整优化职业院校的岗位设置结构比例</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80" w:lineRule="exact"/>
              <w:rPr>
                <w:szCs w:val="21"/>
              </w:rPr>
            </w:pPr>
            <w:r>
              <w:rPr>
                <w:rFonts w:hint="eastAsia"/>
                <w:szCs w:val="21"/>
              </w:rPr>
              <w:t>省人力资源社会保障厅会同省教育厅</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t>2015</w:t>
            </w:r>
            <w:r>
              <w:rPr>
                <w:rFonts w:hint="eastAsia"/>
              </w:rPr>
              <w:t>年</w:t>
            </w:r>
            <w:r>
              <w:t>9</w:t>
            </w:r>
            <w:r>
              <w:rPr>
                <w:rFonts w:hint="eastAsia"/>
              </w:rPr>
              <w:t>月前制定具体措施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pPr>
            <w:r>
              <w:t>17</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40" w:lineRule="exact"/>
            </w:pPr>
            <w:r>
              <w:rPr>
                <w:rFonts w:hint="eastAsia"/>
              </w:rPr>
              <w:t>启动本科高校专业教师与行业企业专业人才互聘“双百计划”，实施青年技能名师建设计划和“墨子杯”职教名家建设计划；建设海外职业教育师资培训基地</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80" w:lineRule="exact"/>
              <w:rPr>
                <w:szCs w:val="21"/>
              </w:rPr>
            </w:pPr>
            <w:r>
              <w:rPr>
                <w:rFonts w:hint="eastAsia"/>
                <w:szCs w:val="21"/>
              </w:rPr>
              <w:t>省教育厅会同省经济和信息化委、人力资源社会保障厅等</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t>2015</w:t>
            </w:r>
            <w:r>
              <w:rPr>
                <w:rFonts w:hint="eastAsia"/>
              </w:rPr>
              <w:t>年出台具体措施，按年度组织实施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pPr>
            <w:r>
              <w:t>18</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80" w:lineRule="exact"/>
              <w:rPr>
                <w:rFonts w:hint="eastAsia"/>
              </w:rPr>
            </w:pPr>
            <w:r>
              <w:rPr>
                <w:rFonts w:hint="eastAsia"/>
              </w:rPr>
              <w:t>2016年，建立职业院校和本科高校教师技能大赛制度</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80" w:lineRule="exact"/>
              <w:rPr>
                <w:rFonts w:hint="eastAsia"/>
                <w:szCs w:val="21"/>
              </w:rPr>
            </w:pPr>
            <w:r>
              <w:rPr>
                <w:rFonts w:hint="eastAsia"/>
                <w:szCs w:val="21"/>
              </w:rPr>
              <w:t>省教育厅会同省经济和信息化委、人力资源社会保障厅等</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rPr>
                <w:rFonts w:hint="eastAsia"/>
              </w:rPr>
            </w:pPr>
            <w:r>
              <w:rPr>
                <w:rFonts w:hint="eastAsia"/>
              </w:rPr>
              <w:t>2016年建立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pPr>
            <w:r>
              <w:t>19</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80" w:lineRule="exact"/>
            </w:pPr>
            <w:r>
              <w:rPr>
                <w:rFonts w:hint="eastAsia"/>
              </w:rPr>
              <w:t>各级政府要制定具体措施，明确党政机关和企事业单位招用人员，不得歧视职业院校毕业生</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80" w:lineRule="exact"/>
            </w:pPr>
            <w:r>
              <w:rPr>
                <w:rFonts w:hint="eastAsia"/>
              </w:rPr>
              <w:t>省人力资源社会保障厅，各市、县（市、区）人民政府</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t>2015</w:t>
            </w:r>
            <w:r>
              <w:rPr>
                <w:rFonts w:hint="eastAsia"/>
              </w:rPr>
              <w:t>年出台具体措施，按年度组织实施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20</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80" w:lineRule="exact"/>
            </w:pPr>
            <w:r>
              <w:rPr>
                <w:rFonts w:hint="eastAsia"/>
              </w:rPr>
              <w:t>从</w:t>
            </w:r>
            <w:r>
              <w:t>2015</w:t>
            </w:r>
            <w:r>
              <w:rPr>
                <w:rFonts w:hint="eastAsia"/>
              </w:rPr>
              <w:t>年起，在全省实施重点行业就业准入实施情况年度报告和发布制度，推广人力资源统计、预测、供求信息发布制度</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省人力资源社会保障厅会同有关部门</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t>2015</w:t>
            </w:r>
            <w:r>
              <w:rPr>
                <w:rFonts w:hint="eastAsia"/>
              </w:rPr>
              <w:t>年</w:t>
            </w:r>
            <w:r>
              <w:t>12</w:t>
            </w:r>
            <w:r>
              <w:rPr>
                <w:rFonts w:hint="eastAsia"/>
              </w:rPr>
              <w:t>月前完成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21</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80" w:lineRule="exact"/>
            </w:pPr>
            <w:r>
              <w:rPr>
                <w:rFonts w:hint="eastAsia"/>
              </w:rPr>
              <w:t>“十三五”期间，各级政府要将教育财政经费增量向职业教育倾斜。将职业教育继续作为省级区域发展资金切块资金的投入方向和领域，加大对职业教育办学条件改善和内涵建设的支持力度</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省财政厅、发展改革委，各市、县（市、区）人民政府</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按年度组织实施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22</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80" w:lineRule="exact"/>
            </w:pPr>
            <w:r>
              <w:rPr>
                <w:rFonts w:hint="eastAsia"/>
              </w:rPr>
              <w:t>2015年，全面落实中职学校生均经费拨款标准。2016年，公办高职高专院校生均拨款标准达到1.1万元，2017年达到1.2万元；提高公办技师学院生均拨款标准</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省财政厅，各市、县（市、区）人民政府</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按年度组织实施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23</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300" w:lineRule="exact"/>
              <w:rPr>
                <w:spacing w:val="-10"/>
              </w:rPr>
            </w:pPr>
            <w:r>
              <w:rPr>
                <w:rFonts w:hint="eastAsia"/>
                <w:spacing w:val="-10"/>
              </w:rPr>
              <w:t>建立市、县级政府职业教育经费投入绩效评价、审计公告、预决算公开制度</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各市、县（市、区）人民政府</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2015年完成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24</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300" w:lineRule="exact"/>
            </w:pPr>
            <w:r>
              <w:rPr>
                <w:rFonts w:hint="eastAsia"/>
              </w:rPr>
              <w:t>落实教育费附加不低于30%和地方教育附加不低于30%用于职业教育政策，向社会公开使用情况</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省财政厅，各市、县（市、区）人民政府</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按年度组织实施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25</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40" w:lineRule="exact"/>
            </w:pPr>
            <w:r>
              <w:rPr>
                <w:rFonts w:hint="eastAsia"/>
              </w:rPr>
              <w:t>制定具体实施意见，对不按规定提取和使用教育培训经费并拒不改正的企业，由县级以上地方人民政府依法收取企业应当承担的职业教育经费，统筹用于本地区职业教育</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各市、县（市、区）人民政府</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2015年制定具体实施意见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26</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rPr>
                <w:rFonts w:hint="eastAsia"/>
              </w:rPr>
            </w:pPr>
            <w:r>
              <w:rPr>
                <w:rFonts w:hint="eastAsia"/>
              </w:rPr>
              <w:t>推进技工学校与其他中职学校的有机融合和优化整合；逐步将符合条件的技师学院纳入高等学校序列。</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60" w:lineRule="exact"/>
            </w:pPr>
            <w:r>
              <w:rPr>
                <w:rFonts w:hint="eastAsia"/>
              </w:rPr>
              <w:t>省教育厅会同省编办、发展改革委、人力资源社会保障厅及有关行业主管部门，各市、县（市、区）人民政府</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按年度组织实施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27</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300" w:lineRule="exact"/>
            </w:pPr>
            <w:r>
              <w:rPr>
                <w:rFonts w:hint="eastAsia"/>
              </w:rPr>
              <w:t>将普及高中阶段教育重点放在中等职业教育，实现中职学校和普通高中办学条件、办学规模大体相当</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80" w:lineRule="exact"/>
              <w:rPr>
                <w:szCs w:val="21"/>
              </w:rPr>
            </w:pPr>
            <w:r>
              <w:rPr>
                <w:rFonts w:hint="eastAsia"/>
                <w:szCs w:val="21"/>
              </w:rPr>
              <w:t>各市、县（市、区）人民政府</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按年度组织实施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28</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支持社会力量兴办职业教育</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80" w:lineRule="exact"/>
            </w:pPr>
            <w:r>
              <w:rPr>
                <w:rFonts w:hint="eastAsia"/>
              </w:rPr>
              <w:t>省教育厅会同省编办、发展改革委、财政厅、民政厅、人力资源社会保障厅、国税局、地税局、工商局、物价局、金融办等</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按年度组织实施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29</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扩大非营利性民办职业院校教师与公办学校教师享受同样社会保障待遇试点范围</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80" w:lineRule="exact"/>
              <w:rPr>
                <w:szCs w:val="21"/>
              </w:rPr>
            </w:pPr>
            <w:r>
              <w:rPr>
                <w:rFonts w:hint="eastAsia"/>
                <w:szCs w:val="21"/>
              </w:rPr>
              <w:t>省人力资源社会保障厅会同省财政厅、教育厅</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t>201</w:t>
            </w:r>
            <w:r>
              <w:rPr>
                <w:rFonts w:hint="eastAsia"/>
              </w:rPr>
              <w:t>6年扩大试点范围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30</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rPr>
                <w:rFonts w:hint="eastAsia"/>
              </w:rPr>
            </w:pPr>
            <w:r>
              <w:rPr>
                <w:rFonts w:hint="eastAsia"/>
              </w:rPr>
              <w:t>健全综合督导和专项督导相结合的督导评估机制，完善职业教育督导报告公布制度，并将督导结果作为对被督导单位及其主要负责人考核的重要依据</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各级人民政府</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按年度组织实施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31</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rPr>
                <w:rFonts w:hint="eastAsia"/>
              </w:rPr>
            </w:pPr>
            <w:r>
              <w:rPr>
                <w:rFonts w:hint="eastAsia"/>
              </w:rPr>
              <w:t>各级政府要设立专家咨询委员会</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80" w:lineRule="exact"/>
              <w:rPr>
                <w:rFonts w:hint="eastAsia"/>
                <w:szCs w:val="21"/>
              </w:rPr>
            </w:pPr>
            <w:r>
              <w:rPr>
                <w:rFonts w:hint="eastAsia"/>
                <w:szCs w:val="21"/>
              </w:rPr>
              <w:t>省教育厅，各市、县（市、区）人民政府</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rPr>
                <w:rFonts w:hint="eastAsia"/>
              </w:rPr>
            </w:pPr>
            <w:r>
              <w:rPr>
                <w:rFonts w:hint="eastAsia"/>
              </w:rPr>
              <w:t>2016年完成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32</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推动修订《山东省职业教育条例》</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300" w:lineRule="exact"/>
            </w:pPr>
            <w:r>
              <w:rPr>
                <w:rFonts w:hint="eastAsia"/>
              </w:rPr>
              <w:t>省教育厅会同省法制办、发展改革委、经济和信息化委、财政厅、人力资源社会保障厅等</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待《职业教育法》修订后组织实施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jc w:val="center"/>
              <w:rPr>
                <w:rFonts w:hint="eastAsia"/>
              </w:rPr>
            </w:pPr>
            <w:r>
              <w:rPr>
                <w:rFonts w:hint="eastAsia"/>
              </w:rPr>
              <w:t>33</w:t>
            </w:r>
          </w:p>
        </w:tc>
        <w:tc>
          <w:tcPr>
            <w:tcW w:w="398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pPr>
            <w:r>
              <w:rPr>
                <w:rFonts w:hint="eastAsia"/>
              </w:rPr>
              <w:t>各级政府及有关部门要建立健全职业教育重要事项立项督查机制</w:t>
            </w:r>
          </w:p>
        </w:tc>
        <w:tc>
          <w:tcPr>
            <w:tcW w:w="21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300" w:lineRule="exact"/>
              <w:rPr>
                <w:rFonts w:hint="eastAsia"/>
              </w:rPr>
            </w:pPr>
            <w:r>
              <w:rPr>
                <w:rFonts w:hint="eastAsia"/>
              </w:rPr>
              <w:t>各市、县（市、区）人民政府</w:t>
            </w:r>
          </w:p>
        </w:tc>
        <w:tc>
          <w:tcPr>
            <w:tcW w:w="172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rPr>
                <w:rFonts w:hint="eastAsia"/>
              </w:rPr>
            </w:pPr>
            <w:r>
              <w:rPr>
                <w:rFonts w:hint="eastAsia"/>
              </w:rPr>
              <w:t>2015年完成</w:t>
            </w:r>
          </w:p>
        </w:tc>
      </w:tr>
    </w:tbl>
    <w:p>
      <w:pPr>
        <w:snapToGrid w:val="0"/>
        <w:spacing w:line="580" w:lineRule="exact"/>
        <w:ind w:firstLine="640" w:firstLineChars="200"/>
        <w:rPr>
          <w:rFonts w:hint="eastAsia" w:ascii="仿宋_GB2312" w:eastAsia="仿宋_GB2312" w:cs="Calibri"/>
          <w:kern w:val="0"/>
          <w:sz w:val="32"/>
          <w:szCs w:val="32"/>
          <w:lang w:val="zh-CN"/>
        </w:rPr>
      </w:pPr>
    </w:p>
    <w:p>
      <w:pPr>
        <w:snapToGrid w:val="0"/>
        <w:spacing w:line="580" w:lineRule="exact"/>
        <w:ind w:firstLine="720" w:firstLineChars="225"/>
        <w:rPr>
          <w:rFonts w:hint="eastAsia" w:ascii="仿宋_GB2312" w:eastAsia="仿宋_GB2312" w:cs="Calibri"/>
          <w:kern w:val="0"/>
          <w:sz w:val="32"/>
          <w:szCs w:val="32"/>
          <w:lang w:val="zh-CN"/>
        </w:rPr>
      </w:pPr>
    </w:p>
    <w:p>
      <w:bookmarkStart w:id="0" w:name="_GoBack"/>
      <w:bookmarkEnd w:id="0"/>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12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C19D3"/>
    <w:rsid w:val="297C19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2018-11-03T09:09:00Z</dcterms:created>
  <dc:creator>Administrator</dc:creator>
  <cp:lastModifiedBy>Administrator</cp:lastModifiedBy>
  <dcterms:modified xsi:type="dcterms:W3CDTF">2018-11-03T09:10:14Z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