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简体"/>
          <w:sz w:val="36"/>
          <w:szCs w:val="36"/>
        </w:rPr>
      </w:pPr>
      <w:r>
        <w:rPr>
          <w:rFonts w:hint="eastAsia" w:eastAsia="方正小标宋简体"/>
          <w:sz w:val="36"/>
          <w:szCs w:val="36"/>
        </w:rPr>
        <w:t>开考高等教育自学考试网络与新媒体专业的论证报告</w:t>
      </w:r>
    </w:p>
    <w:p>
      <w:pPr>
        <w:pStyle w:val="3"/>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一、网络与新媒体</w:t>
      </w:r>
      <w:r>
        <w:rPr>
          <w:rFonts w:hint="eastAsia" w:ascii="Times New Roman" w:hAnsi="Times New Roman" w:eastAsia="黑体" w:cs="黑体"/>
          <w:kern w:val="2"/>
          <w:sz w:val="32"/>
          <w:szCs w:val="32"/>
        </w:rPr>
        <w:t>专业前景</w:t>
      </w:r>
      <w:r>
        <w:rPr>
          <w:rFonts w:hint="eastAsia" w:ascii="Times New Roman" w:hAnsi="Times New Roman" w:eastAsia="黑体" w:cs="黑体"/>
          <w:sz w:val="32"/>
          <w:szCs w:val="32"/>
        </w:rPr>
        <w:t xml:space="preserve"> </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前，我国的互联网已经改变了媒体的生产方式和生存形态，报纸逐渐向网络版、手机版转型，甚至出现了“报纸消亡”的趋势，广播、电视也不再固守在传统的频率和频道内，而是开创了网络广播、网络电视。新闻节目的编排和制作已经完全进入了网络时代，由媒体技术带动的新媒体的发展已经渗透到媒介的每一根神经，网络逐渐成为采集、传播和消费信息的主要渠道，互联网已经改变了人们的生活方式、生活习惯、思维方式，融合传统媒体的先进成分同时用现代传播技术推动的新媒体已经成为信息时代新闻传播的发展方向和传播哲学。</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2014年8月18日中央全面深化改革领导小组第四次会议审议通过了《关于推动传统媒体和新兴媒体融合发展的指导意见》，将媒体融合作为我国媒体发展的核心方向，提出了推动传统媒体和新兴媒体在内容、渠道、平台、经营、管理等方面深度融合，建设立体多样、融合发展的现代传播体系的新要求。2015年7月4日，国务院印发《国务院关于积极推进“互联网+”行动的指导意见》与此同时“十三五”规划纲要提出，“十三五”期间要实现“公共文化服务体系基本建成，文化产业成为国民经济支柱性产业”的目标。受国家一系列大力发展文化产业及信息产业的支持政策的影响，新媒体产业持续高速发展，让走在时代前沿的新媒体专业人才显得捉襟见肘，更是成为中国现代传媒业发展的软肋。新媒体产业链蕴藏着大量的就业机会和新的岗位，其中网络、动漫、游戏、3G、新闻、编辑、广告、创意、营销、编导等专业的新媒体人才和技术人才需求量较大。新媒体人才急缺的岗位，不仅包括各传统媒体纷纷自建的网站，也包括发展快速的新闻门户网站、专业网站，还包括极具潜力的掌上媒体、金融机构电子信息服务平台等未来“新新媒体”。这些单位，几乎都是盈利能力强、收入水平高。在以技术和模式创新为核心竞争力的新媒体企业，对技术开发、游戏动漫、新媒体营销、新媒体编导等专才和复合型人才的需求每年增幅高达82%。随着新媒体产业的飞速发展，美国学生网站最新推出受学生推崇、社会需求量大、前途最看好的十大新颖学科，新媒体位居首位。无论国内国外新媒体人才成为媒介机构的时代新宠。</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高等教育自学考试网络与新媒体专业就是培养适应传统媒体机构、政府机关、事业单位、公司等团体组织急需的宽口径、复合型信息传播人才。主要为新闻传播行业、文化创意行业、影视行业以及教育与培训行业培养从事以数字化新闻生产、网络化传播为主要特征的数字内容设计与制作，数字媒体相关技术的研发以及其它计算机、媒体、网络、艺术交叉领域工作的高级复合型人才。</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了满足网络与新媒体专业人才的市场需求，我校认为有条件也有必要增设网络与新媒体（本科）专业，并特此申请为此专业的主考院校，从而更好地为山东省网络与新媒体相关企业培育更多具有较强实践能力和理论基础的高级网络与新媒体应用型人才。</w:t>
      </w:r>
    </w:p>
    <w:p>
      <w:pPr>
        <w:pStyle w:val="3"/>
        <w:spacing w:line="560"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二、主考院校情况</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山东大学是教育部直属的国家“211工程”和“985工程”重点建设的高水平大学。山东大学前身是1901年创办的山东大学堂，是继京师大学堂之后中国创办的第二所国立大学，也是中国第一所按章程办学的大学。山东大学秉承"为天下储人才"、"为国家图富强"的办学宗旨，践行"学无止境，气有浩然"的校训，踔厉奋发，薪火相传，形成了"崇实求新"的校风，为国家和社会培养了40余万各类人才，为国家和区域经济社会发展做出了重要贡献。山东大学目前有15个学科的学术影响力和贡献能力进入ESI世界排名前1%（名列国内高校第八位）。</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山东大学素以文史见长，人文社会科学教育与研究在百年山大的发展历程中一直占有重要的地位。1996年，山东大学重新开启全日制新闻学本科教育；2000年获得新闻学专业硕士学位授予权；2006年获得国家首批新闻传播学一级学科硕士学位授予权；2011年获得新闻传播学博士学位一级学科授予权，目前为全国新闻传播学16个一级学科博士学位授予单位之一，并于当年成为全国首批新闻与传播专业硕士（MJC）授予单位；2014年获批新闻传播学博士后流动站。</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2016年9月新闻传播学院独立建院，聘任全国政协教科文卫体委员会副主任、新华社原社长李从军同志担任名誉院长。学院现任院长为山东广播电视台台长、党委书记兼山东影视传媒集团有限责任公司董事长吕芃教授，现任党委书记为博士生导师王德胜教授。</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在十余年的恢复建设过程中，山东大学的新闻传播学科逐步建立了山东省唯一的“学士（本科）—硕士（研究生）—博士（研究生）—博士后”完整的新闻传播人才培养体系。</w:t>
      </w:r>
    </w:p>
    <w:p>
      <w:pPr>
        <w:pStyle w:val="3"/>
        <w:spacing w:line="560" w:lineRule="exact"/>
        <w:ind w:firstLine="56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前，山东大学新闻传播学院拥有新闻传播学一级学科博士点（含新闻学、传播学两个二级学科博士点）、新闻传播学一级学科硕士点（含新闻学、传播学两个二级学科硕士点）、新闻与传播专业学位硕士点、设计学一级学科硕士点、艺术设计专业学位硕士点等研究生学位点，以及新闻学、广告学两个本科专业。其中新闻传播学为中宣部、教育部确立的“部校共建”重点建设专业，设计艺术学为山东省重点学科。</w:t>
      </w:r>
    </w:p>
    <w:p>
      <w:pPr>
        <w:pStyle w:val="3"/>
        <w:spacing w:line="560" w:lineRule="exact"/>
        <w:ind w:firstLine="720" w:firstLineChars="22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山东大学新闻传播学院目前有专任教师24人，其中教授11人，副教授7人；教师中博士生导师6人，硕士生导师17人（含博士导师）；其中45岁以下的年轻教师占14人，占58%；教师中具有博士学位者19人，占80%；具有一年以上海外经历者13人，占54%。教师队伍学历层次较高、年龄结构合理、具有国际视野，充满发展活力。</w:t>
      </w:r>
    </w:p>
    <w:p>
      <w:pPr>
        <w:pStyle w:val="3"/>
        <w:spacing w:line="560" w:lineRule="exact"/>
        <w:ind w:firstLine="720" w:firstLineChars="22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学术研究方面，山东大学新闻传播学院充分发挥山东大学学科门类齐全、研究实力雄厚的良好环境，在新闻舆论工作研究、公共传播与公共管理研究、文化传播研究、影像传播研究、新媒体研究、媒介经营与管理研究等方面具有比较鲜明的优势和特色。目前建有山东省社科重点研究基地——山东省品牌与传播研究基地，以及山东大学传播与媒介研究中心、山东大学大数据与精确传播实验室等科研机构。</w:t>
      </w:r>
    </w:p>
    <w:p>
      <w:pPr>
        <w:pStyle w:val="3"/>
        <w:spacing w:line="560" w:lineRule="exact"/>
        <w:ind w:firstLine="720" w:firstLineChars="22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国际交流方面，新闻传播学科与美国、英国、法国、韩国等国家的高水平科研及教学机构建立了紧密的合作关系，除了派出教师参加国际会议、进行实地考察，以及派出学生进行访问学习或联合培养之外，还邀请高水平的国外教师、资深记者记者等传媒学界与业界知名人士到学院讲学或直接承担研究生课程。</w:t>
      </w:r>
    </w:p>
    <w:p>
      <w:pPr>
        <w:pStyle w:val="3"/>
        <w:spacing w:line="560" w:lineRule="exact"/>
        <w:ind w:firstLine="720" w:firstLineChars="22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业界交流方面，新闻传播学科在中央电视台等国家级媒体以及大众报业集团、山东广电等省部级媒体，及其他相关企业事业单位建设有教学实践基地，并聘任具有业务水平和学术水平的专家39人，其中兼职硕士导师13人，指导学生实习实践业界教师26人。</w:t>
      </w:r>
    </w:p>
    <w:p>
      <w:pPr>
        <w:pStyle w:val="3"/>
        <w:spacing w:line="560" w:lineRule="exact"/>
        <w:ind w:firstLine="720" w:firstLineChars="22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近年来，新闻传播学院获得来自宣传部门、教育主管部门和学校全方位的教学科研支持。目前，山东大学新闻传播学院是2013年中宣部、教育部确立的全国首批10所与地方宣传部共建的高校新闻院系之一，是2013年教育部批准的16个部属高校新闻传播学文科实践教育基地建设单位之一。</w:t>
      </w:r>
    </w:p>
    <w:p>
      <w:pPr>
        <w:pStyle w:val="3"/>
        <w:spacing w:line="560" w:lineRule="exact"/>
        <w:ind w:firstLine="720" w:firstLineChars="22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高等教育自学考试人才培养方面，山东大学于1998年成为山东省首家新闻学专业基础科段和本科段的主考院校。近20年来，已经为山东省培养了近万名新闻传播人才，具有丰富的自学考试人才培养经验。在网络与新媒体大发展的今天，山东大学开设新闻传播学类最为前沿的新专业——网络与新媒体，既符合时代要求，又具有良好的教育教学基础。</w:t>
      </w:r>
    </w:p>
    <w:p>
      <w:pPr>
        <w:pStyle w:val="3"/>
        <w:spacing w:line="580" w:lineRule="exact"/>
        <w:ind w:firstLine="640" w:firstLineChars="20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三、高等教育自学考试网络与新媒体（本科）专业的考试计划</w:t>
      </w:r>
    </w:p>
    <w:p>
      <w:pPr>
        <w:pStyle w:val="3"/>
        <w:spacing w:line="560" w:lineRule="exact"/>
        <w:ind w:firstLine="640" w:firstLineChars="200"/>
        <w:rPr>
          <w:rFonts w:hint="eastAsia" w:ascii="楷体_GB2312" w:hAnsi="Times New Roman" w:eastAsia="楷体_GB2312" w:cs="楷体"/>
          <w:color w:val="000000"/>
          <w:sz w:val="32"/>
          <w:szCs w:val="32"/>
        </w:rPr>
      </w:pPr>
      <w:r>
        <w:rPr>
          <w:rFonts w:hint="eastAsia" w:ascii="楷体_GB2312" w:hAnsi="Times New Roman" w:eastAsia="楷体_GB2312" w:cs="楷体"/>
          <w:color w:val="000000"/>
          <w:sz w:val="32"/>
          <w:szCs w:val="32"/>
        </w:rPr>
        <w:t>（一）指导思想</w:t>
      </w:r>
    </w:p>
    <w:p>
      <w:pPr>
        <w:pStyle w:val="3"/>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高等教育自学考试网络与新媒体专业是为适应现代服务业的需要，为培养高素质应用型网络与新媒体人才而设置的。根据高等教育自学考试的特点，该专业的设置具有较强的针对性和应用性，注重考核应考者对本专业的基本理论、基本知识和基本技能的掌握以及运用所学知识分析和解决实际问题的能力。</w:t>
      </w:r>
    </w:p>
    <w:p>
      <w:pPr>
        <w:pStyle w:val="3"/>
        <w:spacing w:line="560" w:lineRule="exact"/>
        <w:ind w:firstLine="640" w:firstLineChars="200"/>
        <w:rPr>
          <w:rFonts w:hint="eastAsia" w:ascii="楷体_GB2312" w:hAnsi="Times New Roman" w:eastAsia="楷体_GB2312" w:cs="楷体"/>
          <w:color w:val="000000"/>
          <w:sz w:val="32"/>
          <w:szCs w:val="32"/>
        </w:rPr>
      </w:pPr>
      <w:r>
        <w:rPr>
          <w:rFonts w:hint="eastAsia" w:ascii="楷体_GB2312" w:hAnsi="Times New Roman" w:eastAsia="楷体_GB2312" w:cs="楷体"/>
          <w:color w:val="000000"/>
          <w:sz w:val="32"/>
          <w:szCs w:val="32"/>
        </w:rPr>
        <w:t>（二）学历层次与规格</w:t>
      </w:r>
    </w:p>
    <w:p>
      <w:pPr>
        <w:pStyle w:val="3"/>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专业为高等教育本科层次，共设13门课程，各门课程均采用学分制计算，共计70学分。凡取得本专业计划所规定的13门课程合格成绩，并完成规定的毕业论文及其它实践性环节的考核，思想品德鉴定符合要求者，经审核合格后，由山东省高等教育自学考试委员会颁发主考学校副署的高等教育自学考试网络与新媒体专业本科毕业证书。其学业水平达到国家规定的学位标准，按《中华人民共和国高等教育法》和《中华人民共和国学位条例》的规定，由主考学校授予学士学位。</w:t>
      </w:r>
    </w:p>
    <w:p>
      <w:pPr>
        <w:pStyle w:val="3"/>
        <w:spacing w:line="560" w:lineRule="exact"/>
        <w:ind w:firstLine="640" w:firstLineChars="200"/>
        <w:rPr>
          <w:rFonts w:hint="eastAsia" w:ascii="楷体_GB2312" w:hAnsi="Times New Roman" w:eastAsia="楷体_GB2312" w:cs="楷体"/>
          <w:color w:val="000000"/>
          <w:sz w:val="32"/>
          <w:szCs w:val="32"/>
        </w:rPr>
      </w:pPr>
      <w:r>
        <w:rPr>
          <w:rFonts w:hint="eastAsia" w:ascii="楷体_GB2312" w:hAnsi="Times New Roman" w:eastAsia="楷体_GB2312" w:cs="楷体"/>
          <w:color w:val="000000"/>
          <w:sz w:val="32"/>
          <w:szCs w:val="32"/>
        </w:rPr>
        <w:t>（三）培养目标与基本要求</w:t>
      </w:r>
    </w:p>
    <w:p>
      <w:pPr>
        <w:pStyle w:val="3"/>
        <w:spacing w:line="560" w:lineRule="exact"/>
        <w:ind w:firstLine="720" w:firstLineChars="225"/>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网络与新媒体专业培养具有良好的职业道德和人文素养，具有创新意识和创业精神、掌握网络与新媒体专业基础知识、基本理论和基本技能,能够在新闻出版单位、网站、通信公司、企业、机关和高校，从事信息传播和数字网络栏目与文化的开发、运营、管理和研究的工作。</w:t>
      </w:r>
    </w:p>
    <w:p>
      <w:pPr>
        <w:pStyle w:val="3"/>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1.在门户网站、搜索网站、新闻网站、数据库服务、数字出版、电子商务、数字内容服务、网络公司等互联网信息服务及新媒体单位从事产品开发、信息编辑、项目策划、服务推广、运行管理等方面的实务和研究工作。  </w:t>
      </w:r>
    </w:p>
    <w:p>
      <w:pPr>
        <w:pStyle w:val="3"/>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2.在政府部门、大中型企事业单位从事媒体计划、网站开发设计、信息服务与管理、信息监测与风险管理、对外宣传效果分析及应用等方面的实务、管理和研究工作。  </w:t>
      </w:r>
    </w:p>
    <w:p>
      <w:pPr>
        <w:pStyle w:val="3"/>
        <w:spacing w:line="580" w:lineRule="exact"/>
        <w:ind w:firstLine="640" w:firstLineChars="200"/>
        <w:rPr>
          <w:rFonts w:hint="eastAsia" w:ascii="楷体_GB2312" w:hAnsi="Times New Roman" w:eastAsia="楷体_GB2312" w:cs="楷体"/>
          <w:color w:val="000000"/>
          <w:sz w:val="32"/>
          <w:szCs w:val="32"/>
        </w:rPr>
      </w:pPr>
      <w:r>
        <w:rPr>
          <w:rFonts w:hint="eastAsia" w:ascii="楷体_GB2312" w:hAnsi="Times New Roman" w:eastAsia="楷体_GB2312" w:cs="楷体"/>
          <w:color w:val="000000"/>
          <w:sz w:val="32"/>
          <w:szCs w:val="32"/>
        </w:rPr>
        <w:t xml:space="preserve">（四）课程设置与学分 </w:t>
      </w:r>
    </w:p>
    <w:p>
      <w:pPr>
        <w:pStyle w:val="3"/>
        <w:spacing w:line="580" w:lineRule="exact"/>
        <w:ind w:firstLine="640" w:firstLineChars="200"/>
        <w:rPr>
          <w:rFonts w:ascii="Times New Roman" w:hAnsi="Times New Roman" w:cs="宋体"/>
          <w:color w:val="000000"/>
          <w:sz w:val="32"/>
          <w:szCs w:val="32"/>
        </w:rPr>
      </w:pPr>
      <w:r>
        <w:rPr>
          <w:rFonts w:hint="eastAsia" w:ascii="Times New Roman" w:hAnsi="Times New Roman" w:eastAsia="仿宋_GB2312" w:cs="仿宋_GB2312"/>
          <w:color w:val="000000"/>
          <w:sz w:val="32"/>
          <w:szCs w:val="32"/>
        </w:rPr>
        <w:t>专业代码：050306T</w:t>
      </w:r>
    </w:p>
    <w:tbl>
      <w:tblPr>
        <w:tblStyle w:val="5"/>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76"/>
        <w:gridCol w:w="3622"/>
        <w:gridCol w:w="108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bCs/>
                <w:kern w:val="0"/>
                <w:sz w:val="24"/>
              </w:rPr>
            </w:pPr>
            <w:r>
              <w:rPr>
                <w:rFonts w:hint="eastAsia" w:cs="宋体"/>
                <w:bCs/>
                <w:kern w:val="0"/>
                <w:sz w:val="24"/>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bCs/>
                <w:kern w:val="0"/>
                <w:sz w:val="24"/>
              </w:rPr>
            </w:pPr>
            <w:r>
              <w:rPr>
                <w:rFonts w:hint="eastAsia" w:cs="宋体"/>
                <w:bCs/>
                <w:kern w:val="0"/>
                <w:sz w:val="24"/>
              </w:rPr>
              <w:t>课程代码</w:t>
            </w: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bCs/>
                <w:kern w:val="0"/>
                <w:sz w:val="24"/>
              </w:rPr>
            </w:pPr>
            <w:r>
              <w:rPr>
                <w:rFonts w:hint="eastAsia" w:cs="宋体"/>
                <w:bCs/>
                <w:kern w:val="0"/>
                <w:sz w:val="24"/>
              </w:rPr>
              <w:t>课程名称</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bCs/>
                <w:kern w:val="0"/>
                <w:sz w:val="24"/>
              </w:rPr>
            </w:pPr>
            <w:r>
              <w:rPr>
                <w:rFonts w:hint="eastAsia" w:cs="宋体"/>
                <w:bCs/>
                <w:kern w:val="0"/>
                <w:sz w:val="24"/>
              </w:rPr>
              <w:t>学分</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bCs/>
                <w:kern w:val="0"/>
                <w:sz w:val="24"/>
              </w:rPr>
            </w:pPr>
            <w:r>
              <w:rPr>
                <w:rFonts w:hint="eastAsia"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1</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bCs/>
                <w:kern w:val="0"/>
                <w:sz w:val="24"/>
              </w:rPr>
              <w:t>03708</w:t>
            </w: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kern w:val="0"/>
                <w:sz w:val="24"/>
              </w:rPr>
              <w:t>中国近现代史纲要</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bCs/>
                <w:kern w:val="0"/>
                <w:sz w:val="24"/>
              </w:rPr>
              <w:t>2</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2</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bCs/>
                <w:kern w:val="0"/>
                <w:sz w:val="24"/>
              </w:rPr>
              <w:t>03709</w:t>
            </w: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kern w:val="0"/>
                <w:sz w:val="24"/>
              </w:rPr>
              <w:t>马克思主义基本原理概论</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bCs/>
                <w:kern w:val="0"/>
                <w:sz w:val="24"/>
              </w:rPr>
              <w:t>4</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3</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00015</w:t>
            </w: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英语（二）</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14</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4</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网络与新媒体概论</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4</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5</w:t>
            </w: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网络与新媒体评论</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6</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6</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网络媒体实务</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6</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7</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融合新闻</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6</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8</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新媒体网页设计与制作</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7</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9</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新媒体视听节目制作</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7</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10</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突发新闻</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6</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11</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网络舆情</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4</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12</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数据新闻</w:t>
            </w:r>
          </w:p>
        </w:tc>
        <w:tc>
          <w:tcPr>
            <w:tcW w:w="10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4</w:t>
            </w:r>
          </w:p>
        </w:tc>
        <w:tc>
          <w:tcPr>
            <w:tcW w:w="19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13</w:t>
            </w:r>
          </w:p>
        </w:tc>
        <w:tc>
          <w:tcPr>
            <w:tcW w:w="13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p>
        </w:tc>
        <w:tc>
          <w:tcPr>
            <w:tcW w:w="36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毕业论文</w:t>
            </w: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left"/>
              <w:rPr>
                <w:sz w:val="24"/>
              </w:rPr>
            </w:pPr>
          </w:p>
        </w:tc>
        <w:tc>
          <w:tcPr>
            <w:tcW w:w="194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cs="宋体"/>
                <w:kern w:val="0"/>
                <w:sz w:val="24"/>
              </w:rPr>
            </w:pPr>
            <w:r>
              <w:rPr>
                <w:rFonts w:hint="eastAsia" w:cs="宋体"/>
                <w:kern w:val="0"/>
                <w:sz w:val="24"/>
              </w:rPr>
              <w:t>不记学分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576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宋体"/>
                <w:kern w:val="0"/>
                <w:sz w:val="24"/>
              </w:rPr>
            </w:pPr>
            <w:r>
              <w:rPr>
                <w:rFonts w:hint="eastAsia" w:cs="宋体"/>
                <w:kern w:val="0"/>
                <w:sz w:val="24"/>
              </w:rPr>
              <w:t>总学分</w:t>
            </w: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cs="宋体"/>
                <w:kern w:val="0"/>
                <w:sz w:val="24"/>
              </w:rPr>
            </w:pPr>
            <w:r>
              <w:rPr>
                <w:rFonts w:hint="eastAsia" w:cs="宋体"/>
                <w:kern w:val="0"/>
                <w:sz w:val="24"/>
              </w:rPr>
              <w:t>70</w:t>
            </w:r>
          </w:p>
        </w:tc>
        <w:tc>
          <w:tcPr>
            <w:tcW w:w="1944"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cs="宋体"/>
                <w:kern w:val="0"/>
                <w:sz w:val="24"/>
              </w:rPr>
            </w:pPr>
          </w:p>
        </w:tc>
      </w:tr>
    </w:tbl>
    <w:p>
      <w:pPr>
        <w:pStyle w:val="2"/>
        <w:shd w:val="clear" w:color="auto" w:fill="FFFFFF"/>
        <w:spacing w:before="0" w:beforeAutospacing="0" w:after="0" w:afterAutospacing="0" w:line="560" w:lineRule="exact"/>
        <w:ind w:firstLine="640" w:firstLineChars="200"/>
        <w:rPr>
          <w:rFonts w:hint="eastAsia" w:ascii="楷体_GB2312" w:eastAsia="楷体_GB2312" w:cs="楷体"/>
          <w:b w:val="0"/>
          <w:bCs/>
          <w:sz w:val="32"/>
          <w:szCs w:val="32"/>
          <w:shd w:val="clear" w:color="auto" w:fill="FFFFFF"/>
        </w:rPr>
      </w:pPr>
      <w:r>
        <w:rPr>
          <w:rFonts w:hint="eastAsia" w:ascii="楷体_GB2312" w:eastAsia="楷体_GB2312" w:cs="楷体"/>
          <w:b w:val="0"/>
          <w:bCs/>
          <w:sz w:val="32"/>
          <w:szCs w:val="32"/>
          <w:shd w:val="clear" w:color="auto" w:fill="FFFFFF"/>
        </w:rPr>
        <w:t>（五）主要课程说明</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1.网络与新媒体概论</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系统论述网络与新媒体对人类社会发展的基本意义、基本功能；概述网络与新媒体的基本概念、基本知识和基本观点；全方位阐述网络与新媒体给政治、经济、社会、文化，特别是传媒业带来的变化、挑战与机遇。</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2.网络与新媒体评论</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新闻评论的基本规律、基本特性、基本功能、常见类型，网络与新媒体评论的个性特征、概念界定、常见类型，网络评论频道，网络专题评论，微博评论，微信评论，网络与新媒体影音评论以及网络与新媒体评论的编辑策划。</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3.网络媒体实务</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本课程主要讲授网络媒体技术概述、网站设计制作实务，网络信息组织实务、网络新闻实务、网络广告实务，网络媒体经营实务、网络出版实务、网络调查实务、以及网络播音主持实务。</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4.融合新闻</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本课程主要讲授融合新闻的基本理论、报道流程、报道主体、新闻价值，融合新闻的报道原则，融合新闻多媒体的运用以及如何进行用户调研及融媒体互动等内容。</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5.新媒体网页设计与制作</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本课程主要讲授网页设计概述、网页编辑软件及应用、网页图形、动画设计及应用、网页设计语言以及网站与网页设计案例等。</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6.新媒体视听节目制作</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本课程主要讲授微电影制作、新闻片制作、专题片制作、纪录片制作、视频广告制作、搞笑短片制作、宣传片制作、动画短片制作、 MV制作、网络视频谈话节目制作以及网络广播节目制作。</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7.突发新闻教程</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本课程主要讲授突发新闻概述、突发事件与突发新闻以及 突发新闻传播的媒介形态及相互影响，我国突发新闻报道历史回顾与分析，全媒体时代突发新闻报道新特点、突发新闻的传播模式和机制改革以及突发新闻报道的快速反应机制，突发新闻的信息发现与采集、突发新闻的信息处理、突发新闻采访的特点与技巧、突发新闻采访对象快速接触策略、突发新闻采访对象情绪调控策略、突发新闻写作的模式化、突发新闻写作的主要报道形式、突发新闻写作的语言与表达、突发新闻写作叙事模式、突发新闻报道的策划、编辑和评论以及突发新闻报道的舆论引导。</w:t>
      </w:r>
    </w:p>
    <w:p>
      <w:pPr>
        <w:pStyle w:val="3"/>
        <w:spacing w:line="560" w:lineRule="exact"/>
        <w:ind w:left="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8.网络舆情</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本课程主要讲授网络舆情的传播机理，网络舆情的监测与引导，网络舆情信息的经营与管理等内容。</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9.数据新闻</w:t>
      </w:r>
    </w:p>
    <w:p>
      <w:pPr>
        <w:pStyle w:val="3"/>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本课程主要讲授如何查询和获取公开发表的数据，采集未公开发表的数据，如何进行数据分析，以及数据可视化、数据新闻制作和传播等内容。</w:t>
      </w:r>
    </w:p>
    <w:p>
      <w:pPr>
        <w:spacing w:line="560" w:lineRule="exact"/>
        <w:ind w:firstLine="435"/>
        <w:rPr>
          <w:rFonts w:hint="eastAsia" w:ascii="楷体_GB2312" w:eastAsia="楷体_GB2312" w:cs="楷体"/>
          <w:bCs/>
          <w:sz w:val="32"/>
          <w:szCs w:val="32"/>
        </w:rPr>
      </w:pPr>
      <w:r>
        <w:rPr>
          <w:rFonts w:hint="eastAsia" w:ascii="楷体_GB2312" w:eastAsia="楷体_GB2312" w:cs="楷体"/>
          <w:bCs/>
          <w:sz w:val="32"/>
          <w:szCs w:val="32"/>
        </w:rPr>
        <w:t>（六）本专业指定教材</w:t>
      </w:r>
    </w:p>
    <w:tbl>
      <w:tblPr>
        <w:tblStyle w:val="5"/>
        <w:tblW w:w="9072" w:type="dxa"/>
        <w:jc w:val="center"/>
        <w:tblInd w:w="0" w:type="dxa"/>
        <w:tblLayout w:type="fixed"/>
        <w:tblCellMar>
          <w:top w:w="0" w:type="dxa"/>
          <w:left w:w="108" w:type="dxa"/>
          <w:bottom w:w="0" w:type="dxa"/>
          <w:right w:w="108" w:type="dxa"/>
        </w:tblCellMar>
      </w:tblPr>
      <w:tblGrid>
        <w:gridCol w:w="605"/>
        <w:gridCol w:w="2026"/>
        <w:gridCol w:w="1851"/>
        <w:gridCol w:w="1851"/>
        <w:gridCol w:w="1348"/>
        <w:gridCol w:w="1391"/>
      </w:tblGrid>
      <w:tr>
        <w:tblPrEx>
          <w:tblLayout w:type="fixed"/>
          <w:tblCellMar>
            <w:top w:w="0" w:type="dxa"/>
            <w:left w:w="108" w:type="dxa"/>
            <w:bottom w:w="0" w:type="dxa"/>
            <w:right w:w="108" w:type="dxa"/>
          </w:tblCellMar>
        </w:tblPrEx>
        <w:trPr>
          <w:trHeight w:val="240" w:hRule="atLeast"/>
          <w:jc w:val="center"/>
        </w:trPr>
        <w:tc>
          <w:tcPr>
            <w:tcW w:w="60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b/>
                <w:bCs/>
                <w:kern w:val="0"/>
                <w:sz w:val="24"/>
              </w:rPr>
            </w:pPr>
            <w:r>
              <w:rPr>
                <w:rFonts w:hint="eastAsia" w:cs="宋体"/>
                <w:b/>
                <w:bCs/>
                <w:kern w:val="0"/>
                <w:sz w:val="24"/>
              </w:rPr>
              <w:t>序号</w:t>
            </w:r>
          </w:p>
        </w:tc>
        <w:tc>
          <w:tcPr>
            <w:tcW w:w="2026" w:type="dxa"/>
            <w:tcBorders>
              <w:top w:val="single" w:color="auto" w:sz="4" w:space="0"/>
              <w:left w:val="nil"/>
              <w:bottom w:val="single" w:color="auto" w:sz="4" w:space="0"/>
              <w:right w:val="single" w:color="auto" w:sz="4" w:space="0"/>
            </w:tcBorders>
            <w:tcMar>
              <w:left w:w="28" w:type="dxa"/>
              <w:right w:w="28" w:type="dxa"/>
            </w:tcMar>
            <w:vAlign w:val="center"/>
          </w:tcPr>
          <w:p>
            <w:pPr>
              <w:snapToGrid w:val="0"/>
              <w:jc w:val="center"/>
              <w:rPr>
                <w:rFonts w:cs="宋体"/>
                <w:b/>
                <w:bCs/>
                <w:kern w:val="0"/>
                <w:sz w:val="24"/>
              </w:rPr>
            </w:pPr>
            <w:r>
              <w:rPr>
                <w:rFonts w:hint="eastAsia" w:cs="宋体"/>
                <w:b/>
                <w:bCs/>
                <w:kern w:val="0"/>
                <w:sz w:val="24"/>
              </w:rPr>
              <w:t>课程名称</w:t>
            </w:r>
          </w:p>
        </w:tc>
        <w:tc>
          <w:tcPr>
            <w:tcW w:w="1851" w:type="dxa"/>
            <w:tcBorders>
              <w:top w:val="single" w:color="auto" w:sz="4" w:space="0"/>
              <w:left w:val="nil"/>
              <w:bottom w:val="single" w:color="auto" w:sz="4" w:space="0"/>
              <w:right w:val="single" w:color="auto" w:sz="4" w:space="0"/>
            </w:tcBorders>
            <w:tcMar>
              <w:left w:w="28" w:type="dxa"/>
              <w:right w:w="28" w:type="dxa"/>
            </w:tcMar>
            <w:vAlign w:val="center"/>
          </w:tcPr>
          <w:p>
            <w:pPr>
              <w:snapToGrid w:val="0"/>
              <w:jc w:val="center"/>
              <w:rPr>
                <w:rFonts w:cs="宋体"/>
                <w:b/>
                <w:bCs/>
                <w:kern w:val="0"/>
                <w:sz w:val="24"/>
              </w:rPr>
            </w:pPr>
            <w:r>
              <w:rPr>
                <w:rFonts w:hint="eastAsia" w:cs="宋体"/>
                <w:b/>
                <w:bCs/>
                <w:kern w:val="0"/>
                <w:sz w:val="24"/>
              </w:rPr>
              <w:t>教材名称</w:t>
            </w:r>
          </w:p>
        </w:tc>
        <w:tc>
          <w:tcPr>
            <w:tcW w:w="1851" w:type="dxa"/>
            <w:tcBorders>
              <w:top w:val="single" w:color="auto" w:sz="4" w:space="0"/>
              <w:left w:val="nil"/>
              <w:bottom w:val="single" w:color="auto" w:sz="4" w:space="0"/>
              <w:right w:val="single" w:color="auto" w:sz="4" w:space="0"/>
            </w:tcBorders>
            <w:tcMar>
              <w:left w:w="28" w:type="dxa"/>
              <w:right w:w="28" w:type="dxa"/>
            </w:tcMar>
            <w:vAlign w:val="center"/>
          </w:tcPr>
          <w:p>
            <w:pPr>
              <w:snapToGrid w:val="0"/>
              <w:jc w:val="center"/>
              <w:rPr>
                <w:rFonts w:cs="宋体"/>
                <w:b/>
                <w:bCs/>
                <w:kern w:val="0"/>
                <w:sz w:val="24"/>
              </w:rPr>
            </w:pPr>
            <w:r>
              <w:rPr>
                <w:rFonts w:hint="eastAsia" w:cs="宋体"/>
                <w:b/>
                <w:bCs/>
                <w:kern w:val="0"/>
                <w:sz w:val="24"/>
              </w:rPr>
              <w:t>出版社</w:t>
            </w:r>
          </w:p>
        </w:tc>
        <w:tc>
          <w:tcPr>
            <w:tcW w:w="1348" w:type="dxa"/>
            <w:tcBorders>
              <w:top w:val="single" w:color="auto" w:sz="4" w:space="0"/>
              <w:left w:val="nil"/>
              <w:bottom w:val="single" w:color="auto" w:sz="4" w:space="0"/>
              <w:right w:val="single" w:color="auto" w:sz="4" w:space="0"/>
            </w:tcBorders>
            <w:tcMar>
              <w:left w:w="28" w:type="dxa"/>
              <w:right w:w="28" w:type="dxa"/>
            </w:tcMar>
            <w:vAlign w:val="center"/>
          </w:tcPr>
          <w:p>
            <w:pPr>
              <w:snapToGrid w:val="0"/>
              <w:jc w:val="center"/>
              <w:rPr>
                <w:rFonts w:cs="宋体"/>
                <w:b/>
                <w:bCs/>
                <w:kern w:val="0"/>
                <w:sz w:val="24"/>
              </w:rPr>
            </w:pPr>
            <w:r>
              <w:rPr>
                <w:rFonts w:hint="eastAsia" w:cs="宋体"/>
                <w:b/>
                <w:bCs/>
                <w:kern w:val="0"/>
                <w:sz w:val="24"/>
              </w:rPr>
              <w:t>主编</w:t>
            </w:r>
          </w:p>
        </w:tc>
        <w:tc>
          <w:tcPr>
            <w:tcW w:w="1391" w:type="dxa"/>
            <w:tcBorders>
              <w:top w:val="single" w:color="auto" w:sz="4" w:space="0"/>
              <w:left w:val="nil"/>
              <w:bottom w:val="single" w:color="auto" w:sz="4" w:space="0"/>
              <w:right w:val="single" w:color="auto" w:sz="4" w:space="0"/>
            </w:tcBorders>
            <w:tcMar>
              <w:left w:w="28" w:type="dxa"/>
              <w:right w:w="28" w:type="dxa"/>
            </w:tcMar>
            <w:vAlign w:val="center"/>
          </w:tcPr>
          <w:p>
            <w:pPr>
              <w:snapToGrid w:val="0"/>
              <w:jc w:val="center"/>
              <w:rPr>
                <w:rFonts w:cs="宋体"/>
                <w:b/>
                <w:bCs/>
                <w:kern w:val="0"/>
                <w:sz w:val="24"/>
              </w:rPr>
            </w:pPr>
            <w:r>
              <w:rPr>
                <w:rFonts w:hint="eastAsia" w:cs="宋体"/>
                <w:b/>
                <w:bCs/>
                <w:kern w:val="0"/>
                <w:sz w:val="24"/>
              </w:rPr>
              <w:t>出版时间</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1</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网络与新媒体概论</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网络与新媒体概论</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Tahoma"/>
                <w:sz w:val="24"/>
                <w:shd w:val="clear" w:color="auto" w:fill="FFFFFF"/>
              </w:rPr>
              <w:t>高等教育出版社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李良荣</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kern w:val="0"/>
                <w:sz w:val="24"/>
              </w:rPr>
            </w:pPr>
            <w:r>
              <w:rPr>
                <w:rFonts w:hint="eastAsia" w:cs="宋体"/>
                <w:kern w:val="0"/>
                <w:sz w:val="24"/>
              </w:rPr>
              <w:t>2014-02-01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2</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网络与新媒体评论</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网络与新媒体评论</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sz w:val="24"/>
                <w:shd w:val="clear" w:color="auto" w:fill="FFFFFF"/>
              </w:rPr>
              <w:t>北京大学出版社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杨娟</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kern w:val="0"/>
                <w:sz w:val="24"/>
              </w:rPr>
            </w:pPr>
            <w:r>
              <w:rPr>
                <w:rFonts w:hint="eastAsia" w:cs="宋体"/>
                <w:kern w:val="0"/>
                <w:sz w:val="24"/>
              </w:rPr>
              <w:t>2015-06-01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3</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网络媒体实务</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网络媒体实务</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sz w:val="24"/>
                <w:shd w:val="clear" w:color="auto" w:fill="FFFFFF"/>
              </w:rPr>
              <w:t>北京大学出版社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张合斌</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kern w:val="0"/>
                <w:sz w:val="24"/>
              </w:rPr>
            </w:pPr>
            <w:r>
              <w:rPr>
                <w:rFonts w:hint="eastAsia" w:cs="宋体"/>
                <w:kern w:val="0"/>
                <w:sz w:val="24"/>
              </w:rPr>
              <w:t>2015-04-01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4</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融合新闻</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融合新闻</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Tahoma"/>
                <w:sz w:val="24"/>
                <w:shd w:val="clear" w:color="auto" w:fill="FFFFFF"/>
              </w:rPr>
              <w:t>清华</w:t>
            </w:r>
            <w:r>
              <w:rPr>
                <w:rFonts w:hint="eastAsia" w:cs="宋体"/>
                <w:sz w:val="24"/>
                <w:shd w:val="clear" w:color="auto" w:fill="FFFFFF"/>
              </w:rPr>
              <w:t>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刘冰</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kern w:val="0"/>
                <w:sz w:val="24"/>
              </w:rPr>
            </w:pPr>
            <w:r>
              <w:rPr>
                <w:rFonts w:hint="eastAsia" w:cs="宋体"/>
                <w:kern w:val="0"/>
                <w:sz w:val="24"/>
              </w:rPr>
              <w:t>2017-02-01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5</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新媒体网页设计与制作</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新媒体网页设计与制作</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sz w:val="24"/>
                <w:shd w:val="clear" w:color="auto" w:fill="FFFFFF"/>
              </w:rPr>
              <w:t>北京大学出版社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惠悲荷</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kern w:val="0"/>
                <w:sz w:val="24"/>
              </w:rPr>
            </w:pPr>
            <w:r>
              <w:rPr>
                <w:rFonts w:hint="eastAsia" w:cs="宋体"/>
                <w:kern w:val="0"/>
                <w:sz w:val="24"/>
              </w:rPr>
              <w:t>2015-09-01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6</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新媒体视听节目制作</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新媒体视听节目制作</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shd w:val="clear" w:color="auto" w:fill="FFFFFF"/>
              </w:rPr>
              <w:t>北京大学出版社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周建青</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sz w:val="24"/>
              </w:rPr>
            </w:pPr>
            <w:r>
              <w:rPr>
                <w:rFonts w:hint="eastAsia" w:cs="宋体"/>
                <w:sz w:val="24"/>
              </w:rPr>
              <w:t>2014-11-01</w:t>
            </w:r>
          </w:p>
        </w:tc>
      </w:tr>
      <w:tr>
        <w:tblPrEx>
          <w:tblLayout w:type="fixed"/>
          <w:tblCellMar>
            <w:top w:w="0" w:type="dxa"/>
            <w:left w:w="108" w:type="dxa"/>
            <w:bottom w:w="0" w:type="dxa"/>
            <w:right w:w="108" w:type="dxa"/>
          </w:tblCellMar>
        </w:tblPrEx>
        <w:trPr>
          <w:trHeight w:val="285"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7</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突发新闻</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突发新闻教程</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shd w:val="clear" w:color="auto" w:fill="FFFFFF"/>
              </w:rPr>
              <w:t>北京大学出版社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李军</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sz w:val="24"/>
              </w:rPr>
            </w:pPr>
            <w:r>
              <w:rPr>
                <w:rFonts w:hint="eastAsia" w:cs="宋体"/>
                <w:sz w:val="24"/>
              </w:rPr>
              <w:t>2015-11-01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8</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网络舆情</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网络舆情概论</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Tahoma"/>
                <w:sz w:val="24"/>
                <w:shd w:val="clear" w:color="auto" w:fill="FFFFFF"/>
              </w:rPr>
              <w:t>中国人民大学出版社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hint="eastAsia"/>
                <w:sz w:val="24"/>
                <w:shd w:val="clear" w:color="auto" w:fill="FFFFFF"/>
              </w:rPr>
            </w:pPr>
            <w:r>
              <w:rPr>
                <w:rFonts w:hint="eastAsia"/>
                <w:sz w:val="24"/>
                <w:shd w:val="clear" w:color="auto" w:fill="FFFFFF"/>
              </w:rPr>
              <w:t xml:space="preserve">周蔚华 </w:t>
            </w:r>
          </w:p>
          <w:p>
            <w:pPr>
              <w:snapToGrid w:val="0"/>
              <w:jc w:val="center"/>
              <w:rPr>
                <w:rFonts w:cs="宋体"/>
                <w:sz w:val="24"/>
              </w:rPr>
            </w:pPr>
            <w:r>
              <w:rPr>
                <w:rFonts w:hint="eastAsia"/>
                <w:sz w:val="24"/>
                <w:shd w:val="clear" w:color="auto" w:fill="FFFFFF"/>
              </w:rPr>
              <w:t>徐发波</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sz w:val="24"/>
              </w:rPr>
            </w:pPr>
            <w:r>
              <w:rPr>
                <w:rFonts w:hint="eastAsia" w:cs="宋体"/>
                <w:sz w:val="24"/>
              </w:rPr>
              <w:t>2016-01-01</w:t>
            </w:r>
          </w:p>
        </w:tc>
      </w:tr>
      <w:tr>
        <w:tblPrEx>
          <w:tblLayout w:type="fixed"/>
          <w:tblCellMar>
            <w:top w:w="0" w:type="dxa"/>
            <w:left w:w="108" w:type="dxa"/>
            <w:bottom w:w="0" w:type="dxa"/>
            <w:right w:w="108" w:type="dxa"/>
          </w:tblCellMar>
        </w:tblPrEx>
        <w:trPr>
          <w:trHeight w:val="240" w:hRule="atLeast"/>
          <w:jc w:val="center"/>
        </w:trPr>
        <w:tc>
          <w:tcPr>
            <w:tcW w:w="605" w:type="dxa"/>
            <w:tcBorders>
              <w:top w:val="nil"/>
              <w:left w:val="single" w:color="auto" w:sz="4" w:space="0"/>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9</w:t>
            </w:r>
          </w:p>
        </w:tc>
        <w:tc>
          <w:tcPr>
            <w:tcW w:w="2026"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kern w:val="0"/>
                <w:sz w:val="24"/>
              </w:rPr>
            </w:pPr>
            <w:r>
              <w:rPr>
                <w:rFonts w:hint="eastAsia" w:cs="宋体"/>
                <w:kern w:val="0"/>
                <w:sz w:val="24"/>
              </w:rPr>
              <w:t>数据新闻</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数据新闻概论</w:t>
            </w:r>
          </w:p>
        </w:tc>
        <w:tc>
          <w:tcPr>
            <w:tcW w:w="1851"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Tahoma"/>
                <w:sz w:val="24"/>
                <w:shd w:val="clear" w:color="auto" w:fill="FFFFFF"/>
              </w:rPr>
            </w:pPr>
            <w:r>
              <w:rPr>
                <w:rFonts w:hint="eastAsia" w:cs="Tahoma"/>
                <w:sz w:val="24"/>
                <w:shd w:val="clear" w:color="auto" w:fill="FFFFFF"/>
              </w:rPr>
              <w:t>中国人民大学出版社</w:t>
            </w:r>
          </w:p>
        </w:tc>
        <w:tc>
          <w:tcPr>
            <w:tcW w:w="1348" w:type="dxa"/>
            <w:tcBorders>
              <w:top w:val="nil"/>
              <w:left w:val="nil"/>
              <w:bottom w:val="single" w:color="auto" w:sz="4" w:space="0"/>
              <w:right w:val="single" w:color="auto" w:sz="4" w:space="0"/>
            </w:tcBorders>
            <w:tcMar>
              <w:left w:w="28" w:type="dxa"/>
              <w:right w:w="28" w:type="dxa"/>
            </w:tcMar>
            <w:vAlign w:val="center"/>
          </w:tcPr>
          <w:p>
            <w:pPr>
              <w:snapToGrid w:val="0"/>
              <w:jc w:val="center"/>
              <w:rPr>
                <w:rFonts w:cs="宋体"/>
                <w:sz w:val="24"/>
              </w:rPr>
            </w:pPr>
            <w:r>
              <w:rPr>
                <w:rFonts w:hint="eastAsia" w:cs="宋体"/>
                <w:sz w:val="24"/>
              </w:rPr>
              <w:t>方洁</w:t>
            </w:r>
          </w:p>
        </w:tc>
        <w:tc>
          <w:tcPr>
            <w:tcW w:w="1391" w:type="dxa"/>
            <w:tcBorders>
              <w:top w:val="nil"/>
              <w:left w:val="nil"/>
              <w:bottom w:val="single" w:color="auto" w:sz="4" w:space="0"/>
              <w:right w:val="single" w:color="auto" w:sz="4" w:space="0"/>
            </w:tcBorders>
            <w:tcMar>
              <w:left w:w="28" w:type="dxa"/>
              <w:right w:w="28" w:type="dxa"/>
            </w:tcMar>
            <w:vAlign w:val="center"/>
          </w:tcPr>
          <w:p>
            <w:pPr>
              <w:snapToGrid w:val="0"/>
              <w:rPr>
                <w:rFonts w:cs="宋体"/>
                <w:sz w:val="24"/>
              </w:rPr>
            </w:pPr>
            <w:r>
              <w:rPr>
                <w:rFonts w:hint="eastAsia" w:cs="宋体"/>
                <w:sz w:val="24"/>
              </w:rPr>
              <w:t>2015-06-01</w:t>
            </w:r>
          </w:p>
        </w:tc>
      </w:tr>
    </w:tbl>
    <w:p>
      <w:pPr>
        <w:pStyle w:val="3"/>
        <w:spacing w:line="580" w:lineRule="exact"/>
        <w:ind w:firstLine="640" w:firstLineChars="200"/>
        <w:rPr>
          <w:rFonts w:ascii="Times New Roman" w:hAnsi="Times New Roman" w:cs="宋体"/>
          <w:color w:val="000000"/>
          <w:sz w:val="32"/>
          <w:szCs w:val="32"/>
        </w:rPr>
      </w:pPr>
    </w:p>
    <w:p>
      <w:pPr>
        <w:spacing w:line="560" w:lineRule="exact"/>
        <w:jc w:val="left"/>
        <w:rPr>
          <w:rFonts w:hint="eastAsia" w:eastAsia="方正小标宋简体" w:cs="方正小标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B5CC5"/>
    <w:rsid w:val="66EB5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cs="宋体"/>
      <w:b/>
      <w:kern w:val="44"/>
      <w:sz w:val="48"/>
      <w:szCs w:val="4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2018-11-09T03:14:00Z</dcterms:created>
  <dc:creator>Administrator</dc:creator>
  <cp:lastModifiedBy>Administrator</cp:lastModifiedBy>
  <dcterms:modified xsi:type="dcterms:W3CDTF">2018-11-09T03:14:59Z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