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ind w:firstLine="555"/>
        <w:jc w:val="center"/>
        <w:rPr>
          <w:rFonts w:ascii="黑体" w:hAnsi="黑体" w:eastAsia="黑体" w:cs="宋体"/>
          <w:color w:val="333333"/>
          <w:kern w:val="0"/>
          <w:sz w:val="32"/>
          <w:szCs w:val="32"/>
        </w:rPr>
      </w:pPr>
      <w:r>
        <w:rPr>
          <w:rFonts w:hint="eastAsia" w:ascii="黑体" w:hAnsi="黑体" w:eastAsia="黑体" w:cs="宋体"/>
          <w:color w:val="333333"/>
          <w:kern w:val="0"/>
          <w:sz w:val="32"/>
          <w:szCs w:val="32"/>
        </w:rPr>
        <w:t>中国海洋大学2020年综合评价招生章程</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为贯彻落实《国务院关于深化考试招生制度改革的实施意见》精神，推进分类考试、综合评价、多元录取考试招生模式改革，结合我校专业人才培养需要，经教育部、山东省批准，我校2020年继续面向山东省考生开展综合评价招生试点工作。</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一、招生计划及报名条件</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招生专业包括：物理学、德语、朝鲜语，计划招生总人数：40人。考生需同时符合以下报考条件：</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1.对于报考专业有强烈的学习兴趣与爱好，具有良好的思想品德，身心健康，高中三年参加不少于10个工作日的社区服务和1周社会实践，并完成不少于6学分的考察探究活动（研究性学习、研学旅行、野外考察等），且已经通过山东省2020年夏季高考报名的高中毕业生；</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2.山东省高中学业水平合格考试各科目成绩均达合格；</w:t>
      </w:r>
    </w:p>
    <w:tbl>
      <w:tblPr>
        <w:tblStyle w:val="6"/>
        <w:tblpPr w:leftFromText="180" w:rightFromText="180" w:vertAnchor="text" w:horzAnchor="page" w:tblpX="1158" w:tblpY="538"/>
        <w:tblOverlap w:val="never"/>
        <w:tblW w:w="1035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784"/>
        <w:gridCol w:w="1199"/>
        <w:gridCol w:w="2833"/>
        <w:gridCol w:w="45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1784"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widowControl/>
              <w:jc w:val="center"/>
              <w:rPr>
                <w:rFonts w:ascii="微软雅黑" w:hAnsi="微软雅黑" w:eastAsia="微软雅黑" w:cs="宋体"/>
                <w:color w:val="333333"/>
                <w:kern w:val="0"/>
                <w:sz w:val="24"/>
                <w:szCs w:val="24"/>
              </w:rPr>
            </w:pPr>
            <w:bookmarkStart w:id="0" w:name="_GoBack"/>
            <w:bookmarkEnd w:id="0"/>
            <w:r>
              <w:rPr>
                <w:rFonts w:hint="eastAsia" w:ascii="仿宋" w:hAnsi="仿宋" w:eastAsia="仿宋" w:cs="宋体"/>
                <w:b/>
                <w:bCs/>
                <w:color w:val="333333"/>
                <w:kern w:val="0"/>
                <w:sz w:val="24"/>
                <w:szCs w:val="24"/>
              </w:rPr>
              <w:t>专业（类）</w:t>
            </w:r>
          </w:p>
        </w:tc>
        <w:tc>
          <w:tcPr>
            <w:tcW w:w="1199" w:type="dxa"/>
            <w:tcBorders>
              <w:top w:val="single" w:color="000000" w:sz="6" w:space="0"/>
              <w:left w:val="nil"/>
              <w:bottom w:val="single" w:color="000000" w:sz="6" w:space="0"/>
              <w:right w:val="single" w:color="000000" w:sz="6" w:space="0"/>
            </w:tcBorders>
            <w:shd w:val="clear" w:color="auto" w:fill="auto"/>
            <w:vAlign w:val="center"/>
          </w:tcPr>
          <w:p>
            <w:pPr>
              <w:widowControl/>
              <w:jc w:val="center"/>
              <w:rPr>
                <w:rFonts w:ascii="微软雅黑" w:hAnsi="微软雅黑" w:eastAsia="微软雅黑" w:cs="宋体"/>
                <w:color w:val="333333"/>
                <w:kern w:val="0"/>
                <w:sz w:val="24"/>
                <w:szCs w:val="24"/>
              </w:rPr>
            </w:pPr>
            <w:r>
              <w:rPr>
                <w:rFonts w:hint="eastAsia" w:ascii="仿宋" w:hAnsi="仿宋" w:eastAsia="仿宋" w:cs="宋体"/>
                <w:b/>
                <w:bCs/>
                <w:color w:val="333333"/>
                <w:kern w:val="0"/>
                <w:sz w:val="24"/>
                <w:szCs w:val="24"/>
              </w:rPr>
              <w:t>招生计划</w:t>
            </w:r>
          </w:p>
        </w:tc>
        <w:tc>
          <w:tcPr>
            <w:tcW w:w="2833" w:type="dxa"/>
            <w:tcBorders>
              <w:top w:val="single" w:color="000000" w:sz="6" w:space="0"/>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widowControl/>
              <w:jc w:val="center"/>
              <w:rPr>
                <w:rFonts w:ascii="微软雅黑" w:hAnsi="微软雅黑" w:eastAsia="微软雅黑" w:cs="宋体"/>
                <w:color w:val="333333"/>
                <w:kern w:val="0"/>
                <w:sz w:val="24"/>
                <w:szCs w:val="24"/>
              </w:rPr>
            </w:pPr>
            <w:r>
              <w:rPr>
                <w:rFonts w:hint="eastAsia" w:ascii="仿宋" w:hAnsi="仿宋" w:eastAsia="仿宋" w:cs="宋体"/>
                <w:b/>
                <w:bCs/>
                <w:color w:val="333333"/>
                <w:kern w:val="0"/>
                <w:sz w:val="24"/>
                <w:szCs w:val="24"/>
              </w:rPr>
              <w:t>选考科目要求</w:t>
            </w:r>
          </w:p>
        </w:tc>
        <w:tc>
          <w:tcPr>
            <w:tcW w:w="4534" w:type="dxa"/>
            <w:tcBorders>
              <w:top w:val="single" w:color="000000" w:sz="6" w:space="0"/>
              <w:left w:val="nil"/>
              <w:bottom w:val="single" w:color="000000" w:sz="6" w:space="0"/>
              <w:right w:val="single" w:color="000000" w:sz="6" w:space="0"/>
            </w:tcBorders>
            <w:shd w:val="clear" w:color="auto" w:fill="auto"/>
            <w:vAlign w:val="center"/>
          </w:tcPr>
          <w:p>
            <w:pPr>
              <w:widowControl/>
              <w:jc w:val="center"/>
              <w:rPr>
                <w:rFonts w:ascii="微软雅黑" w:hAnsi="微软雅黑" w:eastAsia="微软雅黑" w:cs="宋体"/>
                <w:color w:val="333333"/>
                <w:kern w:val="0"/>
                <w:sz w:val="24"/>
                <w:szCs w:val="24"/>
              </w:rPr>
            </w:pPr>
            <w:r>
              <w:rPr>
                <w:rFonts w:hint="eastAsia" w:ascii="仿宋" w:hAnsi="仿宋" w:eastAsia="仿宋" w:cs="宋体"/>
                <w:b/>
                <w:bCs/>
                <w:color w:val="333333"/>
                <w:kern w:val="0"/>
                <w:sz w:val="24"/>
                <w:szCs w:val="24"/>
              </w:rPr>
              <w:t>专业报考条件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0" w:hRule="atLeast"/>
        </w:trPr>
        <w:tc>
          <w:tcPr>
            <w:tcW w:w="1784" w:type="dxa"/>
            <w:tcBorders>
              <w:top w:val="nil"/>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widowControl/>
              <w:jc w:val="center"/>
              <w:rPr>
                <w:rFonts w:ascii="微软雅黑" w:hAnsi="微软雅黑" w:eastAsia="微软雅黑" w:cs="宋体"/>
                <w:color w:val="333333"/>
                <w:kern w:val="0"/>
                <w:sz w:val="24"/>
                <w:szCs w:val="24"/>
              </w:rPr>
            </w:pPr>
            <w:r>
              <w:rPr>
                <w:rFonts w:hint="eastAsia" w:ascii="仿宋" w:hAnsi="仿宋" w:eastAsia="仿宋" w:cs="宋体"/>
                <w:color w:val="333333"/>
                <w:kern w:val="0"/>
                <w:sz w:val="24"/>
                <w:szCs w:val="24"/>
              </w:rPr>
              <w:t>物理学</w:t>
            </w:r>
          </w:p>
        </w:tc>
        <w:tc>
          <w:tcPr>
            <w:tcW w:w="1199" w:type="dxa"/>
            <w:tcBorders>
              <w:top w:val="nil"/>
              <w:left w:val="nil"/>
              <w:bottom w:val="single" w:color="000000" w:sz="6" w:space="0"/>
              <w:right w:val="single" w:color="000000" w:sz="6" w:space="0"/>
            </w:tcBorders>
            <w:shd w:val="clear" w:color="auto" w:fill="auto"/>
            <w:vAlign w:val="center"/>
          </w:tcPr>
          <w:p>
            <w:pPr>
              <w:widowControl/>
              <w:jc w:val="center"/>
              <w:rPr>
                <w:rFonts w:ascii="微软雅黑" w:hAnsi="微软雅黑" w:eastAsia="微软雅黑" w:cs="宋体"/>
                <w:color w:val="333333"/>
                <w:kern w:val="0"/>
                <w:sz w:val="24"/>
                <w:szCs w:val="24"/>
              </w:rPr>
            </w:pPr>
            <w:r>
              <w:rPr>
                <w:rFonts w:hint="eastAsia" w:ascii="仿宋" w:hAnsi="仿宋" w:eastAsia="仿宋" w:cs="宋体"/>
                <w:color w:val="333333"/>
                <w:kern w:val="0"/>
                <w:sz w:val="24"/>
                <w:szCs w:val="24"/>
              </w:rPr>
              <w:t>10</w:t>
            </w:r>
          </w:p>
        </w:tc>
        <w:tc>
          <w:tcPr>
            <w:tcW w:w="2833"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widowControl/>
              <w:jc w:val="center"/>
              <w:rPr>
                <w:rFonts w:ascii="微软雅黑" w:hAnsi="微软雅黑" w:eastAsia="微软雅黑" w:cs="宋体"/>
                <w:color w:val="333333"/>
                <w:kern w:val="0"/>
                <w:sz w:val="24"/>
                <w:szCs w:val="24"/>
              </w:rPr>
            </w:pPr>
            <w:r>
              <w:rPr>
                <w:rFonts w:hint="eastAsia" w:ascii="仿宋" w:hAnsi="仿宋" w:eastAsia="仿宋" w:cs="宋体"/>
                <w:color w:val="333333"/>
                <w:kern w:val="0"/>
                <w:sz w:val="24"/>
                <w:szCs w:val="24"/>
              </w:rPr>
              <w:t>物理(1门科目,考生必须选考方可报考)</w:t>
            </w:r>
          </w:p>
        </w:tc>
        <w:tc>
          <w:tcPr>
            <w:tcW w:w="4534" w:type="dxa"/>
            <w:tcBorders>
              <w:top w:val="nil"/>
              <w:left w:val="nil"/>
              <w:bottom w:val="single" w:color="000000" w:sz="6" w:space="0"/>
              <w:right w:val="single" w:color="000000" w:sz="6" w:space="0"/>
            </w:tcBorders>
            <w:shd w:val="clear" w:color="auto" w:fill="auto"/>
          </w:tcPr>
          <w:p>
            <w:pPr>
              <w:widowControl/>
              <w:jc w:val="left"/>
              <w:rPr>
                <w:rFonts w:ascii="微软雅黑" w:hAnsi="微软雅黑" w:eastAsia="微软雅黑" w:cs="宋体"/>
                <w:color w:val="333333"/>
                <w:kern w:val="0"/>
                <w:sz w:val="24"/>
                <w:szCs w:val="24"/>
              </w:rPr>
            </w:pPr>
            <w:r>
              <w:rPr>
                <w:rFonts w:hint="eastAsia" w:ascii="仿宋" w:hAnsi="仿宋" w:eastAsia="仿宋" w:cs="宋体"/>
                <w:color w:val="333333"/>
                <w:kern w:val="0"/>
                <w:sz w:val="24"/>
                <w:szCs w:val="24"/>
              </w:rPr>
              <w:t>高中阶段曾获得全国中学生物理竞赛复赛（省级赛区）三等奖（含）以上奖励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0" w:hRule="atLeast"/>
        </w:trPr>
        <w:tc>
          <w:tcPr>
            <w:tcW w:w="1784" w:type="dxa"/>
            <w:tcBorders>
              <w:top w:val="nil"/>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widowControl/>
              <w:jc w:val="center"/>
              <w:rPr>
                <w:rFonts w:ascii="微软雅黑" w:hAnsi="微软雅黑" w:eastAsia="微软雅黑" w:cs="宋体"/>
                <w:color w:val="333333"/>
                <w:kern w:val="0"/>
                <w:sz w:val="24"/>
                <w:szCs w:val="24"/>
              </w:rPr>
            </w:pPr>
            <w:r>
              <w:rPr>
                <w:rFonts w:hint="eastAsia" w:ascii="仿宋" w:hAnsi="仿宋" w:eastAsia="仿宋" w:cs="宋体"/>
                <w:color w:val="333333"/>
                <w:kern w:val="0"/>
                <w:sz w:val="24"/>
                <w:szCs w:val="24"/>
              </w:rPr>
              <w:t>德语</w:t>
            </w:r>
          </w:p>
        </w:tc>
        <w:tc>
          <w:tcPr>
            <w:tcW w:w="1199" w:type="dxa"/>
            <w:tcBorders>
              <w:top w:val="nil"/>
              <w:left w:val="nil"/>
              <w:bottom w:val="single" w:color="000000" w:sz="6" w:space="0"/>
              <w:right w:val="single" w:color="000000" w:sz="6" w:space="0"/>
            </w:tcBorders>
            <w:shd w:val="clear" w:color="auto" w:fill="auto"/>
            <w:vAlign w:val="center"/>
          </w:tcPr>
          <w:p>
            <w:pPr>
              <w:widowControl/>
              <w:jc w:val="center"/>
              <w:rPr>
                <w:rFonts w:ascii="微软雅黑" w:hAnsi="微软雅黑" w:eastAsia="微软雅黑" w:cs="宋体"/>
                <w:color w:val="333333"/>
                <w:kern w:val="0"/>
                <w:sz w:val="24"/>
                <w:szCs w:val="24"/>
              </w:rPr>
            </w:pPr>
            <w:r>
              <w:rPr>
                <w:rFonts w:hint="eastAsia" w:ascii="仿宋" w:hAnsi="仿宋" w:eastAsia="仿宋" w:cs="宋体"/>
                <w:color w:val="333333"/>
                <w:kern w:val="0"/>
                <w:sz w:val="24"/>
                <w:szCs w:val="24"/>
              </w:rPr>
              <w:t>15</w:t>
            </w:r>
          </w:p>
        </w:tc>
        <w:tc>
          <w:tcPr>
            <w:tcW w:w="2833" w:type="dxa"/>
            <w:vMerge w:val="restart"/>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widowControl/>
              <w:jc w:val="center"/>
              <w:rPr>
                <w:rFonts w:ascii="微软雅黑" w:hAnsi="微软雅黑" w:eastAsia="微软雅黑" w:cs="宋体"/>
                <w:color w:val="333333"/>
                <w:kern w:val="0"/>
                <w:sz w:val="24"/>
                <w:szCs w:val="24"/>
              </w:rPr>
            </w:pPr>
            <w:r>
              <w:rPr>
                <w:rFonts w:hint="eastAsia" w:ascii="仿宋" w:hAnsi="仿宋" w:eastAsia="仿宋" w:cs="宋体"/>
                <w:color w:val="333333"/>
                <w:kern w:val="0"/>
                <w:sz w:val="24"/>
                <w:szCs w:val="24"/>
              </w:rPr>
              <w:t>不提科目要求</w:t>
            </w:r>
          </w:p>
        </w:tc>
        <w:tc>
          <w:tcPr>
            <w:tcW w:w="4534" w:type="dxa"/>
            <w:vMerge w:val="restart"/>
            <w:tcBorders>
              <w:top w:val="nil"/>
              <w:left w:val="nil"/>
              <w:bottom w:val="single" w:color="000000" w:sz="6" w:space="0"/>
              <w:right w:val="single" w:color="000000" w:sz="6" w:space="0"/>
            </w:tcBorders>
            <w:shd w:val="clear" w:color="auto" w:fill="auto"/>
          </w:tcPr>
          <w:p>
            <w:pPr>
              <w:widowControl/>
              <w:jc w:val="left"/>
              <w:rPr>
                <w:rFonts w:ascii="微软雅黑" w:hAnsi="微软雅黑" w:eastAsia="微软雅黑" w:cs="宋体"/>
                <w:color w:val="333333"/>
                <w:kern w:val="0"/>
                <w:sz w:val="24"/>
                <w:szCs w:val="24"/>
              </w:rPr>
            </w:pPr>
            <w:r>
              <w:rPr>
                <w:rFonts w:hint="eastAsia" w:ascii="仿宋" w:hAnsi="仿宋" w:eastAsia="仿宋" w:cs="宋体"/>
                <w:color w:val="333333"/>
                <w:kern w:val="0"/>
                <w:sz w:val="24"/>
                <w:szCs w:val="24"/>
              </w:rPr>
              <w:t>高中阶段曾参加全国英语大赛获省级一等奖（含）以上奖励，或参加外语学习、外国语言文学研究、参加跨文化交流等活动并取得较好成果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784" w:type="dxa"/>
            <w:tcBorders>
              <w:top w:val="nil"/>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widowControl/>
              <w:jc w:val="center"/>
              <w:rPr>
                <w:rFonts w:ascii="微软雅黑" w:hAnsi="微软雅黑" w:eastAsia="微软雅黑" w:cs="宋体"/>
                <w:color w:val="333333"/>
                <w:kern w:val="0"/>
                <w:sz w:val="24"/>
                <w:szCs w:val="24"/>
              </w:rPr>
            </w:pPr>
            <w:r>
              <w:rPr>
                <w:rFonts w:hint="eastAsia" w:ascii="仿宋" w:hAnsi="仿宋" w:eastAsia="仿宋" w:cs="宋体"/>
                <w:color w:val="333333"/>
                <w:kern w:val="0"/>
                <w:sz w:val="24"/>
                <w:szCs w:val="24"/>
              </w:rPr>
              <w:t>朝鲜语</w:t>
            </w:r>
          </w:p>
        </w:tc>
        <w:tc>
          <w:tcPr>
            <w:tcW w:w="1199" w:type="dxa"/>
            <w:tcBorders>
              <w:top w:val="nil"/>
              <w:left w:val="nil"/>
              <w:bottom w:val="single" w:color="000000" w:sz="6" w:space="0"/>
              <w:right w:val="single" w:color="000000" w:sz="6" w:space="0"/>
            </w:tcBorders>
            <w:shd w:val="clear" w:color="auto" w:fill="auto"/>
            <w:vAlign w:val="center"/>
          </w:tcPr>
          <w:p>
            <w:pPr>
              <w:widowControl/>
              <w:jc w:val="center"/>
              <w:rPr>
                <w:rFonts w:ascii="微软雅黑" w:hAnsi="微软雅黑" w:eastAsia="微软雅黑" w:cs="宋体"/>
                <w:color w:val="333333"/>
                <w:kern w:val="0"/>
                <w:sz w:val="24"/>
                <w:szCs w:val="24"/>
              </w:rPr>
            </w:pPr>
            <w:r>
              <w:rPr>
                <w:rFonts w:hint="eastAsia" w:ascii="仿宋" w:hAnsi="仿宋" w:eastAsia="仿宋" w:cs="宋体"/>
                <w:color w:val="333333"/>
                <w:kern w:val="0"/>
                <w:sz w:val="24"/>
                <w:szCs w:val="24"/>
              </w:rPr>
              <w:t>15</w:t>
            </w:r>
          </w:p>
        </w:tc>
        <w:tc>
          <w:tcPr>
            <w:tcW w:w="2833" w:type="dxa"/>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333333"/>
                <w:kern w:val="0"/>
                <w:sz w:val="24"/>
                <w:szCs w:val="24"/>
              </w:rPr>
            </w:pPr>
          </w:p>
        </w:tc>
        <w:tc>
          <w:tcPr>
            <w:tcW w:w="4534" w:type="dxa"/>
            <w:vMerge w:val="continue"/>
            <w:tcBorders>
              <w:top w:val="nil"/>
              <w:left w:val="nil"/>
              <w:bottom w:val="single" w:color="000000" w:sz="6" w:space="0"/>
              <w:right w:val="single" w:color="000000" w:sz="6" w:space="0"/>
            </w:tcBorders>
            <w:shd w:val="clear" w:color="auto" w:fill="FFFFFF"/>
            <w:vAlign w:val="center"/>
          </w:tcPr>
          <w:p>
            <w:pPr>
              <w:widowControl/>
              <w:jc w:val="left"/>
              <w:rPr>
                <w:rFonts w:ascii="微软雅黑" w:hAnsi="微软雅黑" w:eastAsia="微软雅黑" w:cs="宋体"/>
                <w:color w:val="333333"/>
                <w:kern w:val="0"/>
                <w:sz w:val="24"/>
                <w:szCs w:val="24"/>
              </w:rPr>
            </w:pPr>
          </w:p>
        </w:tc>
      </w:tr>
    </w:tbl>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3.分专业报考条件及招生计划：</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注：（1）考生需提供证明符合专业报考条件的相关支撑材料，其中学科奥林匹克竞赛证书落款单位为相应国家级学会，如：中国物理学会；</w:t>
      </w:r>
    </w:p>
    <w:p>
      <w:pPr>
        <w:widowControl/>
        <w:shd w:val="clear" w:color="auto" w:fill="FFFFFF"/>
        <w:spacing w:line="420" w:lineRule="atLeast"/>
        <w:ind w:firstLine="480"/>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（2）学校可视生源情况对各专业计划进行适当调整；</w:t>
      </w:r>
    </w:p>
    <w:p>
      <w:pPr>
        <w:widowControl/>
        <w:shd w:val="clear" w:color="auto" w:fill="FFFFFF"/>
        <w:spacing w:line="420" w:lineRule="atLeast"/>
        <w:ind w:firstLine="480"/>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（3）每位考生只能选择一个专业报考且须符合专业选考科目要求；</w:t>
      </w:r>
    </w:p>
    <w:p>
      <w:pPr>
        <w:widowControl/>
        <w:shd w:val="clear" w:color="auto" w:fill="FFFFFF"/>
        <w:spacing w:line="420" w:lineRule="atLeast"/>
        <w:ind w:firstLine="480"/>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（4）综合评价招生各专业学费按照山东省物价管理部门要求执行。</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二、报名流程</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1.网上报名：</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符合报名条件的考生于6月22日前登录阳光高考特殊类型招生报名平台综合评价报名系统（http://gaokao.chsi.com.cn/zhpjbm）进行报名，按要求填写相关信息。</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2.上传系统材料：</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1）网上报名生成的《中国海洋大学2020年综合评价招生申请表》。考生完成网上报名，信息确认无误后下载打印申请表，每一页均须由所在中学相关负责人审核属实并签字，加盖中学公章;考生将填写完整、本人签字、中学签字盖章、版本号与网上一致的申请表扫描后上传至报名系统。</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（2）个人陈述。须由考生本人手写，字数不限，建议不超过2000字，内容一般应包括自身成长经历、对报考专业的认知与思考、个性特长、取得的成绩及进入大学后的专业学习规划等。</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（3）符合报名条件的有关获奖证书、证明以及其他材料等，需上传原件扫描件。</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（4）未体现在学生综合素质评价档案中的，有关社区服务、社会实践和考察探究活动相关材料可上传原件扫描件（非必需）。</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（5）《报考材料真实性承诺书》（见附件），需考生本人签字后上传原件扫描件。</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以上材料经扫描后在报名系统上传，不需邮寄或提交任何纸质材料。上传至报名系统的申请材料务必真实、准确、清晰。未按要求完成报名、材料不全者，不予审核。</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三、资格审查及学校考核办法</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1.资格审查</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学校组织相关学科专家，依据报考条件，认真审核考生报名材料及山东省教育厅反馈的考生高中综合素质评价信息，择优确定获得考核资格的考生名单，并在我校本科招生信息网公布。获得考核资格的考生需登录阳光高考特殊类型招生报名平台综合评价报名系统（http://gaokao.chsi.com.cn/zhpjbm）进行确认、交费并打印准考证。</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2.考核方式与内容</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考核方式为面试，物理学专业侧重于考察考生学科特长和创新潜质等，外语类专业侧重于考察考生英语应用能力，同时学校还将开展对学生理想信念、思想品德、诚实守信、遵纪守法、责任担当和心理素质等综合素质的考核。</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3.考核时间和地点</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有关综合评价试点招生考核安排的具体事项，将在我校本科招生信息网公布。</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4.公布考核合格名单</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学校将遵循“严格标准、保证质量”的原则，根据考生考核成绩，由学校本科招生工作领导小组分专业划定合格分数线，确定合格考生名单。名单在教育部阳光高考信息平台和中国海洋大学本科招生信息网公示，并报山东省教育招生考试院备案。</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四、录取政策及录取办法</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1.志愿批次。我校综合评价考核合格的考生须在山东省普通类提前批进行高考志愿填报，填报专业志愿须与考核合格的专业保持一致。</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2.录取规则。考核合格考生高考投档成绩（含附加分）不得低于2020年山东省划定的特殊类型招生录取控制分数线。考生进档后我校将按照综合成绩，按照“分数优先”的原则分专业录取。提前批被我校综合评价录取的考生不再被其他学校录取，也无法参加山东省统一高考后续批次录取；未被录取的考生，可正常参加山东省统一高考后续批次录取。</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综合成绩构成：我校综合评价考核成绩（按满分100分折算）×15%+高考投档成绩（按满分100分折算）×85%。考生综合成绩相同时，排序依据依次为：与报考专业相对应科目的高考成绩、我校综合评价考核成绩、高考投档成绩。</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五、决策与监督机制</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1.学校成立由校长任组长，分管副校长和纪委书记任副组长，监察、教务、招生办等部门主要负责人为成员的本科招生工作领导小组。招生办法、录取程序、录取结果等招生过程中的所有重要事宜均由本科招生工作领导小组集体研究决定。</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2.学校纪检监察部门负责本科生招生工作的全过程监督，受理举报或投诉，监督举报电话（不受理招生咨询）：0532-66782733，E-mail：</w:t>
      </w:r>
      <w:r>
        <w:rPr>
          <w:rFonts w:ascii="Calibri" w:hAnsi="Calibri" w:eastAsia="微软雅黑" w:cs="Calibri"/>
          <w:color w:val="333333"/>
          <w:kern w:val="0"/>
          <w:sz w:val="24"/>
          <w:szCs w:val="24"/>
        </w:rPr>
        <w:t>jiancha@ouc.edu.cn</w:t>
      </w:r>
      <w:r>
        <w:rPr>
          <w:rFonts w:hint="eastAsia" w:ascii="仿宋" w:hAnsi="仿宋" w:eastAsia="仿宋" w:cs="宋体"/>
          <w:color w:val="333333"/>
          <w:kern w:val="0"/>
          <w:sz w:val="29"/>
          <w:szCs w:val="29"/>
        </w:rPr>
        <w:t>。</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3.对提供虚假信息、材料的考生，一经查实，学校将认定为在国家教育考试中作弊，取消其山东省综合评价招生资格，并通报省级招生考试机构或教育行政部门做进一步处理。</w:t>
      </w:r>
    </w:p>
    <w:p>
      <w:pPr>
        <w:widowControl/>
        <w:shd w:val="clear" w:color="auto" w:fill="FFFFFF"/>
        <w:spacing w:line="420" w:lineRule="atLeast"/>
        <w:ind w:firstLine="58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六、其它</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有关未尽事宜，按照教育部和山东省有关文件精神执行。</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本科生招生办公室联系方式：</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联系电话：0532—66782426/66781723/66782478（传真）；</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网址：http://bkzs.ouc.edu.cn/；</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E-mail：ouczsb@ouc.edu.cn</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p>
    <w:p>
      <w:pPr>
        <w:widowControl/>
        <w:shd w:val="clear" w:color="auto" w:fill="FFFFFF"/>
        <w:spacing w:line="420" w:lineRule="atLeast"/>
        <w:ind w:firstLine="555"/>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附件：</w:t>
      </w:r>
      <w:r>
        <w:fldChar w:fldCharType="begin"/>
      </w:r>
      <w:r>
        <w:instrText xml:space="preserve"> HYPERLINK "http://bkzs.ouc.edu.cn/_upload/article/files/9f/59/b428c3a4454dad690908d0efbc54/8357b71b-2cd0-4a03-8802-d4caff97e021.docx" </w:instrText>
      </w:r>
      <w:r>
        <w:fldChar w:fldCharType="separate"/>
      </w:r>
      <w:r>
        <w:rPr>
          <w:rFonts w:hint="eastAsia" w:ascii="仿宋" w:hAnsi="仿宋" w:eastAsia="仿宋" w:cs="宋体"/>
          <w:color w:val="333333"/>
          <w:kern w:val="0"/>
          <w:sz w:val="29"/>
          <w:szCs w:val="29"/>
          <w:u w:val="single"/>
        </w:rPr>
        <w:t>2020年山东省综合评价招生报考材料真实性承诺书.docx</w:t>
      </w:r>
      <w:r>
        <w:rPr>
          <w:rFonts w:ascii="仿宋" w:hAnsi="仿宋" w:eastAsia="仿宋" w:cs="宋体"/>
          <w:color w:val="333333"/>
          <w:kern w:val="0"/>
          <w:sz w:val="29"/>
          <w:szCs w:val="29"/>
          <w:u w:val="single"/>
        </w:rPr>
        <w:fldChar w:fldCharType="end"/>
      </w:r>
    </w:p>
    <w:p>
      <w:pPr>
        <w:widowControl/>
        <w:shd w:val="clear" w:color="auto" w:fill="FFFFFF"/>
        <w:ind w:firstLine="555"/>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p>
    <w:p>
      <w:pPr>
        <w:widowControl/>
        <w:shd w:val="clear" w:color="auto" w:fill="FFFFFF"/>
        <w:ind w:firstLine="555"/>
        <w:jc w:val="right"/>
        <w:rPr>
          <w:rFonts w:ascii="微软雅黑" w:hAnsi="微软雅黑" w:eastAsia="微软雅黑" w:cs="宋体"/>
          <w:color w:val="333333"/>
          <w:kern w:val="0"/>
          <w:sz w:val="24"/>
          <w:szCs w:val="24"/>
        </w:rPr>
      </w:pPr>
      <w:r>
        <w:rPr>
          <w:rFonts w:hint="eastAsia" w:ascii="仿宋" w:hAnsi="仿宋" w:eastAsia="仿宋" w:cs="宋体"/>
          <w:color w:val="333333"/>
          <w:kern w:val="0"/>
          <w:sz w:val="29"/>
          <w:szCs w:val="29"/>
        </w:rPr>
        <w:t>中国海洋大学本科生招生办公室</w:t>
      </w:r>
    </w:p>
    <w:p>
      <w:pPr>
        <w:widowControl/>
        <w:shd w:val="clear" w:color="auto" w:fill="FFFFFF"/>
        <w:ind w:right="580" w:firstLine="555"/>
        <w:jc w:val="right"/>
        <w:rPr>
          <w:rFonts w:hint="eastAsia" w:ascii="宋体" w:hAnsi="宋体" w:eastAsia="宋体" w:cs="宋体"/>
          <w:color w:val="333333"/>
          <w:kern w:val="0"/>
          <w:sz w:val="29"/>
          <w:szCs w:val="29"/>
        </w:rPr>
      </w:pPr>
      <w:r>
        <w:rPr>
          <w:rFonts w:hint="eastAsia" w:ascii="仿宋" w:hAnsi="仿宋" w:eastAsia="仿宋" w:cs="宋体"/>
          <w:color w:val="333333"/>
          <w:kern w:val="0"/>
          <w:sz w:val="29"/>
          <w:szCs w:val="29"/>
        </w:rPr>
        <w:t>2020年6月11日</w:t>
      </w:r>
      <w:r>
        <w:rPr>
          <w:rFonts w:hint="eastAsia" w:ascii="宋体" w:hAnsi="宋体" w:eastAsia="宋体" w:cs="宋体"/>
          <w:color w:val="333333"/>
          <w:kern w:val="0"/>
          <w:sz w:val="29"/>
          <w:szCs w:val="29"/>
        </w:rPr>
        <w:t> </w:t>
      </w:r>
    </w:p>
    <w:p>
      <w:pPr>
        <w:spacing w:line="560" w:lineRule="exact"/>
        <w:rPr>
          <w:rFonts w:ascii="黑体" w:hAnsi="黑体" w:eastAsia="黑体" w:cs="黑体"/>
          <w:bCs/>
          <w:sz w:val="32"/>
          <w:szCs w:val="32"/>
        </w:rPr>
      </w:pPr>
      <w:r>
        <w:rPr>
          <w:rFonts w:hint="eastAsia" w:ascii="宋体" w:hAnsi="宋体" w:eastAsia="宋体" w:cs="宋体"/>
          <w:b/>
          <w:sz w:val="32"/>
          <w:szCs w:val="32"/>
        </w:rPr>
        <w:t> </w:t>
      </w:r>
      <w:r>
        <w:rPr>
          <w:rFonts w:hint="eastAsia" w:ascii="黑体" w:hAnsi="黑体" w:eastAsia="黑体" w:cs="黑体"/>
          <w:bCs/>
          <w:sz w:val="32"/>
          <w:szCs w:val="32"/>
        </w:rPr>
        <w:t>附件</w:t>
      </w:r>
    </w:p>
    <w:p>
      <w:pPr>
        <w:spacing w:line="560" w:lineRule="exact"/>
        <w:rPr>
          <w:rFonts w:ascii="方正小标宋简体" w:hAnsi="黑体" w:eastAsia="方正小标宋简体"/>
          <w:b/>
          <w:sz w:val="44"/>
          <w:szCs w:val="44"/>
        </w:rPr>
      </w:pPr>
    </w:p>
    <w:p>
      <w:pPr>
        <w:spacing w:line="560" w:lineRule="exact"/>
        <w:jc w:val="center"/>
        <w:rPr>
          <w:rFonts w:ascii="方正小标宋简体" w:hAnsi="黑体" w:eastAsia="方正小标宋简体"/>
          <w:bCs/>
          <w:sz w:val="44"/>
          <w:szCs w:val="44"/>
        </w:rPr>
      </w:pPr>
      <w:r>
        <w:rPr>
          <w:rFonts w:ascii="方正小标宋简体" w:hAnsi="黑体" w:eastAsia="方正小标宋简体"/>
          <w:bCs/>
          <w:sz w:val="44"/>
          <w:szCs w:val="44"/>
        </w:rPr>
        <w:t>2020年山东省综合评价招生</w:t>
      </w:r>
    </w:p>
    <w:p>
      <w:pPr>
        <w:spacing w:line="560" w:lineRule="exact"/>
        <w:jc w:val="center"/>
        <w:rPr>
          <w:rFonts w:ascii="方正小标宋简体" w:hAnsi="黑体" w:eastAsia="方正小标宋简体"/>
          <w:b/>
          <w:sz w:val="44"/>
          <w:szCs w:val="44"/>
        </w:rPr>
      </w:pPr>
      <w:r>
        <w:rPr>
          <w:rFonts w:hint="eastAsia" w:ascii="方正小标宋简体" w:hAnsi="黑体" w:eastAsia="方正小标宋简体"/>
          <w:bCs/>
          <w:sz w:val="44"/>
          <w:szCs w:val="44"/>
        </w:rPr>
        <w:t>报考材料真实性承诺书</w:t>
      </w:r>
    </w:p>
    <w:p>
      <w:pPr>
        <w:jc w:val="center"/>
        <w:rPr>
          <w:rFonts w:ascii="黑体" w:hAnsi="黑体" w:eastAsia="黑体"/>
          <w:b/>
          <w:sz w:val="32"/>
          <w:szCs w:val="32"/>
        </w:rPr>
      </w:pPr>
    </w:p>
    <w:p>
      <w:pPr>
        <w:spacing w:line="560" w:lineRule="exact"/>
        <w:rPr>
          <w:rFonts w:ascii="仿宋_GB2312" w:eastAsia="仿宋_GB2312"/>
          <w:sz w:val="32"/>
          <w:szCs w:val="32"/>
        </w:rPr>
      </w:pPr>
      <w:r>
        <w:rPr>
          <w:rFonts w:hint="eastAsia" w:ascii="仿宋_GB2312" w:eastAsia="仿宋_GB2312"/>
          <w:sz w:val="32"/>
          <w:szCs w:val="32"/>
        </w:rPr>
        <w:t>中国海洋大学：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自愿参加中国海洋大学2020年综合评价招生考试，已认真阅读《中国海洋大学2020年综合评价招生简章》，并按照相应报考条件进行申报，同时知晓《国家教育考试违规处理办法》（教育部令第33号）和《普通高等学校招生违规行为处理暂行办法》（教育部令第36号）的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我保证报名所提供的全部材料和信息真实、准确、完整，无弄虚作假，无伪造证明、证书。如提供虚假信息或证明材料，造成的一切后果，由本人无条件承担。</w:t>
      </w:r>
    </w:p>
    <w:p>
      <w:pPr>
        <w:spacing w:line="560" w:lineRule="exact"/>
        <w:ind w:right="560"/>
        <w:rPr>
          <w:rFonts w:ascii="仿宋_GB2312" w:eastAsia="仿宋_GB2312"/>
          <w:sz w:val="32"/>
          <w:szCs w:val="32"/>
        </w:rPr>
      </w:pPr>
    </w:p>
    <w:p>
      <w:pPr>
        <w:spacing w:line="560" w:lineRule="exact"/>
        <w:ind w:right="560" w:firstLine="4320" w:firstLineChars="1350"/>
        <w:rPr>
          <w:rFonts w:ascii="仿宋_GB2312" w:eastAsia="仿宋_GB2312"/>
          <w:sz w:val="32"/>
          <w:szCs w:val="32"/>
        </w:rPr>
      </w:pPr>
      <w:r>
        <w:rPr>
          <w:rFonts w:hint="eastAsia" w:ascii="仿宋_GB2312" w:eastAsia="仿宋_GB2312"/>
          <w:sz w:val="32"/>
          <w:szCs w:val="32"/>
        </w:rPr>
        <w:t>承诺人（签字）：</w:t>
      </w:r>
    </w:p>
    <w:p>
      <w:pPr>
        <w:spacing w:line="560" w:lineRule="exact"/>
        <w:ind w:right="560" w:firstLine="4320" w:firstLineChars="1350"/>
        <w:rPr>
          <w:rFonts w:ascii="仿宋_GB2312" w:eastAsia="仿宋_GB2312"/>
          <w:sz w:val="32"/>
          <w:szCs w:val="32"/>
        </w:rPr>
      </w:pPr>
      <w:r>
        <w:rPr>
          <w:rFonts w:hint="eastAsia" w:ascii="仿宋_GB2312" w:eastAsia="仿宋_GB2312"/>
          <w:sz w:val="32"/>
          <w:szCs w:val="32"/>
        </w:rPr>
        <w:t>日期：</w:t>
      </w:r>
    </w:p>
    <w:p>
      <w:pPr>
        <w:jc w:val="center"/>
      </w:pPr>
    </w:p>
    <w:p/>
    <w:p>
      <w:pPr>
        <w:widowControl/>
        <w:shd w:val="clear" w:color="auto" w:fill="FFFFFF"/>
        <w:ind w:right="580" w:firstLine="555"/>
        <w:jc w:val="center"/>
        <w:rPr>
          <w:rFonts w:ascii="仿宋" w:hAnsi="仿宋" w:eastAsia="仿宋" w:cs="宋体"/>
          <w:color w:val="333333"/>
          <w:kern w:val="0"/>
          <w:sz w:val="29"/>
          <w:szCs w:val="29"/>
        </w:rPr>
      </w:pPr>
    </w:p>
    <w:p/>
    <w:p/>
    <w:p>
      <w:pPr>
        <w:widowControl/>
        <w:shd w:val="clear" w:color="auto" w:fill="FFFFFF"/>
        <w:ind w:right="700" w:firstLine="555"/>
        <w:jc w:val="left"/>
        <w:rPr>
          <w:rFonts w:ascii="微软雅黑" w:hAnsi="微软雅黑" w:eastAsia="微软雅黑" w:cs="宋体"/>
          <w:color w:val="333333"/>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C6"/>
    <w:rsid w:val="00006A58"/>
    <w:rsid w:val="005C5678"/>
    <w:rsid w:val="006149CB"/>
    <w:rsid w:val="007A47CE"/>
    <w:rsid w:val="00924F87"/>
    <w:rsid w:val="009320C6"/>
    <w:rsid w:val="00A45C94"/>
    <w:rsid w:val="00A51C21"/>
    <w:rsid w:val="00C06782"/>
    <w:rsid w:val="00C9408A"/>
    <w:rsid w:val="37E53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8"/>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uiPriority w:val="99"/>
    <w:rPr>
      <w:sz w:val="18"/>
      <w:szCs w:val="18"/>
    </w:rPr>
  </w:style>
  <w:style w:type="character" w:customStyle="1" w:styleId="9">
    <w:name w:val="页眉 Char"/>
    <w:basedOn w:val="7"/>
    <w:link w:val="5"/>
    <w:qFormat/>
    <w:uiPriority w:val="99"/>
    <w:rPr>
      <w:sz w:val="18"/>
      <w:szCs w:val="18"/>
    </w:rPr>
  </w:style>
  <w:style w:type="character" w:customStyle="1" w:styleId="10">
    <w:name w:val="页脚 Char"/>
    <w:basedOn w:val="7"/>
    <w:link w:val="4"/>
    <w:uiPriority w:val="99"/>
    <w:rPr>
      <w:sz w:val="18"/>
      <w:szCs w:val="18"/>
    </w:rPr>
  </w:style>
  <w:style w:type="character" w:customStyle="1" w:styleId="11">
    <w:name w:val="日期 Char"/>
    <w:basedOn w:val="7"/>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438</Words>
  <Characters>2502</Characters>
  <Lines>20</Lines>
  <Paragraphs>5</Paragraphs>
  <TotalTime>0</TotalTime>
  <ScaleCrop>false</ScaleCrop>
  <LinksUpToDate>false</LinksUpToDate>
  <CharactersWithSpaces>2935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2020-06-11T03:34:00Z</dcterms:created>
  <dc:creator>微软用户</dc:creator>
  <cp:lastModifiedBy>lenovo</cp:lastModifiedBy>
  <dcterms:modified xsi:type="dcterms:W3CDTF">2020-06-11T09:13:44Z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