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ind w:firstLine="480"/>
        <w:jc w:val="center"/>
        <w:textAlignment w:val="baseline"/>
        <w:rPr>
          <w:b/>
          <w:bCs/>
          <w:color w:val="333333"/>
        </w:rPr>
      </w:pPr>
      <w:r>
        <w:rPr>
          <w:rStyle w:val="9"/>
          <w:rFonts w:hint="eastAsia"/>
          <w:color w:val="333333"/>
        </w:rPr>
        <w:t>青岛科技大学2018年普通高等教育专升本招生章程</w:t>
      </w:r>
    </w:p>
    <w:p>
      <w:pPr>
        <w:pStyle w:val="7"/>
        <w:shd w:val="clear" w:color="auto" w:fill="FFFFFF"/>
        <w:spacing w:before="0" w:beforeAutospacing="0" w:after="0" w:afterAutospacing="0"/>
        <w:ind w:firstLine="480"/>
        <w:jc w:val="center"/>
        <w:textAlignment w:val="baseline"/>
        <w:rPr>
          <w:color w:val="333333"/>
        </w:rPr>
      </w:pPr>
    </w:p>
    <w:p>
      <w:pPr>
        <w:pStyle w:val="7"/>
        <w:shd w:val="clear" w:color="auto" w:fill="FFFFFF"/>
        <w:spacing w:before="150" w:beforeAutospacing="0" w:after="150" w:afterAutospacing="0"/>
        <w:ind w:firstLine="480"/>
        <w:jc w:val="center"/>
        <w:textAlignment w:val="baseline"/>
        <w:rPr>
          <w:b/>
          <w:color w:val="333333"/>
        </w:rPr>
      </w:pPr>
      <w:r>
        <w:rPr>
          <w:rFonts w:hint="eastAsia"/>
          <w:b/>
          <w:color w:val="333333"/>
        </w:rPr>
        <w:t>第一章　总则</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为了保证青岛科技大学201</w:t>
      </w:r>
      <w:r>
        <w:rPr>
          <w:color w:val="333333"/>
        </w:rPr>
        <w:t>9</w:t>
      </w:r>
      <w:r>
        <w:rPr>
          <w:rFonts w:hint="eastAsia"/>
          <w:color w:val="333333"/>
        </w:rPr>
        <w:t>年普通高等教育专科升本科招生工作的顺利进行，规范招生行为，提高生源质量，维护考生合法权益，依据《中华人民共和国教育法》《中华人民共和国高等教育法》和教育部、山东省教育厅等有关文件精神，结合学校招生工作的具体情况，制定本章程。</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第一条 本章程适用于青岛科技大学专升本招生工作。</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第二条 学校招生工作遵循“公平竞争、公正选拔、公开程序，德智体美全面考核、综合评价、择优录取”的原则。</w:t>
      </w:r>
    </w:p>
    <w:p>
      <w:pPr>
        <w:pStyle w:val="7"/>
        <w:shd w:val="clear" w:color="auto" w:fill="FFFFFF"/>
        <w:spacing w:before="150" w:beforeAutospacing="0" w:after="150" w:afterAutospacing="0" w:line="555" w:lineRule="atLeast"/>
        <w:ind w:firstLine="480"/>
        <w:jc w:val="center"/>
        <w:textAlignment w:val="baseline"/>
        <w:rPr>
          <w:b/>
          <w:color w:val="333333"/>
        </w:rPr>
      </w:pPr>
      <w:r>
        <w:rPr>
          <w:rFonts w:hint="eastAsia"/>
          <w:b/>
          <w:color w:val="333333"/>
        </w:rPr>
        <w:t>第二章　学校概况</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第三条 学校全称：青岛科技大学　学校代码：10426</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第四条 学校地址：</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崂山校区： 青岛市松岭路99号  邮政编码：266061</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四方校区： 青岛市郑州路53号 邮政编码：266042</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高密校区： 高密市杏坛西街1号  邮政编码：261500</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济南校区： 济南市文化东路80号 邮政编码：250014</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中德校区： 青岛市中德生态园内  邮政编码：266000</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第五条　办学性质：公办普通高等本科院校</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第六条　基本情况：</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1. 历史沿革：青岛科技大学始建于1950年，历经青岛橡胶工业学校、山东化工学院、青岛化工学院，1998年由化学工业部划转到山东省，2001年山东省青岛工艺美术学校并入，2002年更名为青岛科技大学，2009年青岛科技大学高密校区投入使用，2016年山东省化工研究院整建制并入。</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2. 办学条件：学校形成了青岛、高密、济南“三地五校区”的办学格局，校舍面积92万平方米，图书馆馆藏各类文献资料300万余册，固定资产总值29亿元。</w:t>
      </w:r>
    </w:p>
    <w:p>
      <w:pPr>
        <w:pStyle w:val="7"/>
        <w:shd w:val="clear" w:color="auto" w:fill="FFFFFF"/>
        <w:spacing w:before="150" w:beforeAutospacing="0" w:after="150" w:afterAutospacing="0" w:line="555" w:lineRule="atLeast"/>
        <w:ind w:firstLine="645"/>
        <w:jc w:val="both"/>
        <w:textAlignment w:val="baseline"/>
        <w:rPr>
          <w:color w:val="333333"/>
        </w:rPr>
      </w:pPr>
      <w:r>
        <w:rPr>
          <w:rFonts w:hint="eastAsia"/>
          <w:color w:val="333333"/>
        </w:rPr>
        <w:t>3. 师资队伍：现有教职工2600余人，其中特聘中国工程院院士2人，双</w:t>
      </w:r>
      <w:bookmarkStart w:id="0" w:name="_GoBack"/>
      <w:bookmarkEnd w:id="0"/>
      <w:r>
        <w:rPr>
          <w:rFonts w:hint="eastAsia"/>
          <w:color w:val="333333"/>
        </w:rPr>
        <w:t>聘院士11人，中科院“百人计划”人选3人，国家高层次人才特殊支持计划（万人计划）领军人才（教学名师）1人，长江学者1人，国家杰青3人，国家优青2人，国家有突出贡献的中青年专家4人，国家级教学名师奖获得者1人，国家“百千万人才工程”人选3人，全国优秀教师10人，享受国务院政府特殊津贴48人，“泰山学者优势特色学科团队领军人才”2人，“泰山学者”特聘专家（教授）、海外特聘专家和青年专家27人，省级教学名师12人，山东省学科带头人5人，山东省重点学科（实验室）“首席专家”4人，山东省高校十大优秀教师3人，山东省杰青8人，山东省有突出贡献中青年专家34人。</w:t>
      </w:r>
    </w:p>
    <w:p>
      <w:pPr>
        <w:pStyle w:val="7"/>
        <w:shd w:val="clear" w:color="auto" w:fill="FFFFFF"/>
        <w:spacing w:before="150" w:beforeAutospacing="0" w:after="150" w:afterAutospacing="0" w:line="555" w:lineRule="atLeast"/>
        <w:ind w:firstLine="645"/>
        <w:jc w:val="both"/>
        <w:textAlignment w:val="baseline"/>
        <w:rPr>
          <w:color w:val="333333"/>
        </w:rPr>
      </w:pPr>
      <w:r>
        <w:rPr>
          <w:rFonts w:hint="eastAsia"/>
          <w:color w:val="333333"/>
        </w:rPr>
        <w:t>4. 学科情况：学校学科、专业特色鲜明，现拥有5个博士后科研流动站，22个硕士学位授权一级学科，9个硕士专业学位类别，设有72个本科专业；拥有1个国家级人才培养模式创新实验区；5个国家级特色专业，1个国家级专业综合改革试点项目，7个教育部工程教育认证专业，4个国家级“卓越工程师教育培养计划”试点专业；2个国家级实验教学示范中心，1个国家级虚拟仿真实验教学中心；2个国家级教学团队；2门国家级精品资源共享课，1门国家级精品视频公开课，2门国家级精品在线开放立项课程，1门国家级双语教学示范课程；1个国家级工程实践教育中心，1个教育部大学生校外实践教育基地建设项目；1名国家级教学名师；191个国家级大学生创新创业训练计划项目；39项省级教学成果奖；1个省级人才培养模式创新实验区；5个省级高水平应用型立项建设专业（群），16个省级品牌、特色专业；3个省级实验教学示范中心；7个省级教学团队；43门省级精品课程；12名省级教学名师；顺利通过了教育部本科教学审核评估。</w:t>
      </w:r>
    </w:p>
    <w:p>
      <w:pPr>
        <w:pStyle w:val="7"/>
        <w:shd w:val="clear" w:color="auto" w:fill="FFFFFF"/>
        <w:spacing w:before="150" w:beforeAutospacing="0" w:after="150" w:afterAutospacing="0" w:line="555" w:lineRule="atLeast"/>
        <w:ind w:firstLine="480"/>
        <w:jc w:val="center"/>
        <w:textAlignment w:val="baseline"/>
        <w:rPr>
          <w:b/>
          <w:color w:val="333333"/>
        </w:rPr>
      </w:pPr>
      <w:r>
        <w:rPr>
          <w:rFonts w:hint="eastAsia"/>
          <w:b/>
          <w:color w:val="333333"/>
        </w:rPr>
        <w:t>第三章　组织机构</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第七条　成立学校招生工作领导小组，全面负责招生工作，集体研究决定招生工作中的重大问题。</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第八条　学校招生办公室是组织和实施招生工作的常设机构，在学校招生工作领导小组的领导下，贯彻执行国家招生政策和规定，具体负责学校专升本招生的日常工作。</w:t>
      </w:r>
    </w:p>
    <w:p>
      <w:pPr>
        <w:pStyle w:val="7"/>
        <w:shd w:val="clear" w:color="auto" w:fill="FFFFFF"/>
        <w:spacing w:before="150" w:beforeAutospacing="0" w:after="150" w:afterAutospacing="0" w:line="555" w:lineRule="atLeast"/>
        <w:ind w:firstLine="645"/>
        <w:textAlignment w:val="baseline"/>
        <w:rPr>
          <w:color w:val="333333"/>
        </w:rPr>
      </w:pPr>
      <w:r>
        <w:rPr>
          <w:color w:val="333333"/>
        </w:rPr>
        <w:t>第</w:t>
      </w:r>
      <w:r>
        <w:rPr>
          <w:rFonts w:hint="eastAsia"/>
          <w:color w:val="333333"/>
        </w:rPr>
        <w:t>九</w:t>
      </w:r>
      <w:r>
        <w:rPr>
          <w:color w:val="333333"/>
        </w:rPr>
        <w:t>条 </w:t>
      </w:r>
      <w:r>
        <w:rPr>
          <w:rFonts w:hint="eastAsia"/>
          <w:color w:val="333333"/>
        </w:rPr>
        <w:t>专升本</w:t>
      </w:r>
      <w:r>
        <w:rPr>
          <w:color w:val="333333"/>
        </w:rPr>
        <w:t>招生宣传、咨询、录取、信息公布等工作均由学校招生办公室负责，没有委托任何中介或个人进行</w:t>
      </w:r>
      <w:r>
        <w:rPr>
          <w:rFonts w:hint="eastAsia"/>
          <w:color w:val="333333"/>
        </w:rPr>
        <w:t>相关工作</w:t>
      </w:r>
      <w:r>
        <w:rPr>
          <w:color w:val="333333"/>
        </w:rPr>
        <w:t>。对以学校名义进行非法招生宣传等活动的机构或个人，学校保留依法追究其责任的权利。</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第十条　学校纪委对招生工作实施监督。</w:t>
      </w:r>
    </w:p>
    <w:p>
      <w:pPr>
        <w:pStyle w:val="7"/>
        <w:shd w:val="clear" w:color="auto" w:fill="FFFFFF"/>
        <w:spacing w:before="150" w:beforeAutospacing="0" w:after="150" w:afterAutospacing="0" w:line="555" w:lineRule="atLeast"/>
        <w:ind w:firstLine="480"/>
        <w:jc w:val="center"/>
        <w:textAlignment w:val="baseline"/>
        <w:rPr>
          <w:b/>
          <w:color w:val="333333"/>
        </w:rPr>
      </w:pPr>
      <w:r>
        <w:rPr>
          <w:rFonts w:hint="eastAsia"/>
          <w:b/>
          <w:color w:val="333333"/>
        </w:rPr>
        <w:t>第四章 招生计划及录取</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 xml:space="preserve">第十一条 </w:t>
      </w:r>
      <w:r>
        <w:rPr>
          <w:color w:val="333333"/>
        </w:rPr>
        <w:t xml:space="preserve"> </w:t>
      </w:r>
      <w:r>
        <w:rPr>
          <w:rFonts w:hint="eastAsia"/>
          <w:color w:val="333333"/>
        </w:rPr>
        <w:t>专升本招生对象及报名条件：按照山东省教育厅《关于做好2</w:t>
      </w:r>
      <w:r>
        <w:rPr>
          <w:color w:val="333333"/>
        </w:rPr>
        <w:t>019</w:t>
      </w:r>
      <w:r>
        <w:rPr>
          <w:rFonts w:hint="eastAsia"/>
          <w:color w:val="333333"/>
        </w:rPr>
        <w:t>年普通高等教育专科升本科招生工作的通知》（鲁教学字〔201</w:t>
      </w:r>
      <w:r>
        <w:rPr>
          <w:color w:val="333333"/>
        </w:rPr>
        <w:t>8</w:t>
      </w:r>
      <w:r>
        <w:rPr>
          <w:rFonts w:hint="eastAsia"/>
          <w:color w:val="333333"/>
        </w:rPr>
        <w:t>〕2</w:t>
      </w:r>
      <w:r>
        <w:rPr>
          <w:color w:val="333333"/>
        </w:rPr>
        <w:t>9</w:t>
      </w:r>
      <w:r>
        <w:rPr>
          <w:rFonts w:hint="eastAsia"/>
          <w:color w:val="333333"/>
        </w:rPr>
        <w:t>号）的文件精神执行。</w:t>
      </w:r>
      <w:r>
        <w:rPr>
          <w:color w:val="333333"/>
        </w:rPr>
        <w:t xml:space="preserve"> </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 xml:space="preserve">第十二条 </w:t>
      </w:r>
      <w:r>
        <w:rPr>
          <w:color w:val="333333"/>
        </w:rPr>
        <w:t xml:space="preserve"> </w:t>
      </w:r>
      <w:r>
        <w:rPr>
          <w:rFonts w:hint="eastAsia"/>
          <w:color w:val="333333"/>
        </w:rPr>
        <w:t>招生计划</w:t>
      </w:r>
    </w:p>
    <w:tbl>
      <w:tblPr>
        <w:tblStyle w:val="12"/>
        <w:tblW w:w="5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39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854" w:type="dxa"/>
            <w:vAlign w:val="center"/>
          </w:tcPr>
          <w:p>
            <w:pPr>
              <w:jc w:val="center"/>
            </w:pPr>
            <w:r>
              <w:rPr>
                <w:rFonts w:hint="eastAsia"/>
              </w:rPr>
              <w:t>序号</w:t>
            </w:r>
          </w:p>
        </w:tc>
        <w:tc>
          <w:tcPr>
            <w:tcW w:w="3394" w:type="dxa"/>
            <w:vAlign w:val="center"/>
          </w:tcPr>
          <w:p>
            <w:pPr>
              <w:jc w:val="center"/>
            </w:pPr>
            <w:r>
              <w:rPr>
                <w:rFonts w:hint="eastAsia"/>
              </w:rPr>
              <w:t>招生专业</w:t>
            </w:r>
          </w:p>
        </w:tc>
        <w:tc>
          <w:tcPr>
            <w:tcW w:w="1419" w:type="dxa"/>
            <w:vAlign w:val="center"/>
          </w:tcPr>
          <w:p>
            <w:pPr>
              <w:jc w:val="center"/>
            </w:pPr>
            <w:r>
              <w:rPr>
                <w:rFonts w:hint="eastAsia"/>
              </w:rPr>
              <w:t>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854" w:type="dxa"/>
            <w:vAlign w:val="center"/>
          </w:tcPr>
          <w:p>
            <w:pPr>
              <w:jc w:val="center"/>
            </w:pPr>
            <w:r>
              <w:rPr>
                <w:rFonts w:hint="eastAsia"/>
              </w:rPr>
              <w:t>1</w:t>
            </w:r>
          </w:p>
        </w:tc>
        <w:tc>
          <w:tcPr>
            <w:tcW w:w="3394" w:type="dxa"/>
            <w:vAlign w:val="center"/>
          </w:tcPr>
          <w:p>
            <w:pPr>
              <w:jc w:val="center"/>
            </w:pPr>
            <w:r>
              <w:rPr>
                <w:rFonts w:hint="eastAsia"/>
              </w:rPr>
              <w:t>化学工程与工艺</w:t>
            </w:r>
          </w:p>
        </w:tc>
        <w:tc>
          <w:tcPr>
            <w:tcW w:w="1419" w:type="dxa"/>
            <w:vAlign w:val="center"/>
          </w:tcPr>
          <w:p>
            <w:pPr>
              <w:jc w:val="center"/>
            </w:pPr>
            <w:r>
              <w:rPr>
                <w:rFonts w:hint="eastAsia"/>
              </w:rPr>
              <w:t>1</w:t>
            </w:r>
            <w: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854" w:type="dxa"/>
            <w:vAlign w:val="center"/>
          </w:tcPr>
          <w:p>
            <w:pPr>
              <w:jc w:val="center"/>
            </w:pPr>
            <w:r>
              <w:rPr>
                <w:rFonts w:hint="eastAsia"/>
              </w:rPr>
              <w:t>2</w:t>
            </w:r>
          </w:p>
        </w:tc>
        <w:tc>
          <w:tcPr>
            <w:tcW w:w="3394" w:type="dxa"/>
            <w:vAlign w:val="center"/>
          </w:tcPr>
          <w:p>
            <w:pPr>
              <w:jc w:val="center"/>
            </w:pPr>
            <w:r>
              <w:rPr>
                <w:rFonts w:hint="eastAsia"/>
              </w:rPr>
              <w:t>机械设计制造及其自动化</w:t>
            </w:r>
          </w:p>
        </w:tc>
        <w:tc>
          <w:tcPr>
            <w:tcW w:w="1419" w:type="dxa"/>
            <w:vAlign w:val="center"/>
          </w:tcPr>
          <w:p>
            <w:pPr>
              <w:jc w:val="center"/>
            </w:pPr>
            <w:r>
              <w:rPr>
                <w:rFonts w:hint="eastAsia"/>
              </w:rPr>
              <w:t>8</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854" w:type="dxa"/>
            <w:vAlign w:val="center"/>
          </w:tcPr>
          <w:p>
            <w:pPr>
              <w:jc w:val="center"/>
            </w:pPr>
            <w:r>
              <w:rPr>
                <w:rFonts w:hint="eastAsia"/>
              </w:rPr>
              <w:t>3</w:t>
            </w:r>
          </w:p>
        </w:tc>
        <w:tc>
          <w:tcPr>
            <w:tcW w:w="3394" w:type="dxa"/>
            <w:vAlign w:val="center"/>
          </w:tcPr>
          <w:p>
            <w:pPr>
              <w:jc w:val="center"/>
            </w:pPr>
            <w:r>
              <w:rPr>
                <w:rFonts w:hint="eastAsia"/>
              </w:rPr>
              <w:t>电气工程及其自动化</w:t>
            </w:r>
          </w:p>
        </w:tc>
        <w:tc>
          <w:tcPr>
            <w:tcW w:w="1419" w:type="dxa"/>
            <w:vAlign w:val="center"/>
          </w:tcPr>
          <w:p>
            <w:pPr>
              <w:jc w:val="center"/>
            </w:pPr>
            <w:r>
              <w:rPr>
                <w:rFonts w:hint="eastAsia"/>
              </w:rPr>
              <w:t>8</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854" w:type="dxa"/>
            <w:vAlign w:val="center"/>
          </w:tcPr>
          <w:p>
            <w:pPr>
              <w:jc w:val="center"/>
            </w:pPr>
            <w:r>
              <w:rPr>
                <w:rFonts w:hint="eastAsia"/>
              </w:rPr>
              <w:t>4</w:t>
            </w:r>
          </w:p>
        </w:tc>
        <w:tc>
          <w:tcPr>
            <w:tcW w:w="3394" w:type="dxa"/>
            <w:vAlign w:val="center"/>
          </w:tcPr>
          <w:p>
            <w:pPr>
              <w:jc w:val="center"/>
            </w:pPr>
            <w:r>
              <w:rPr>
                <w:rFonts w:hint="eastAsia"/>
              </w:rPr>
              <w:t>计算机科学与技术</w:t>
            </w:r>
          </w:p>
        </w:tc>
        <w:tc>
          <w:tcPr>
            <w:tcW w:w="1419" w:type="dxa"/>
            <w:vAlign w:val="center"/>
          </w:tcPr>
          <w:p>
            <w:pPr>
              <w:jc w:val="center"/>
            </w:pPr>
            <w:r>
              <w:rPr>
                <w:rFonts w:hint="eastAsia"/>
              </w:rPr>
              <w:t>8</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854" w:type="dxa"/>
            <w:vAlign w:val="center"/>
          </w:tcPr>
          <w:p>
            <w:pPr>
              <w:jc w:val="center"/>
            </w:pPr>
            <w:r>
              <w:rPr>
                <w:rFonts w:hint="eastAsia"/>
              </w:rPr>
              <w:t>5</w:t>
            </w:r>
          </w:p>
        </w:tc>
        <w:tc>
          <w:tcPr>
            <w:tcW w:w="3394" w:type="dxa"/>
            <w:vAlign w:val="center"/>
          </w:tcPr>
          <w:p>
            <w:pPr>
              <w:jc w:val="center"/>
            </w:pPr>
            <w:r>
              <w:rPr>
                <w:rFonts w:hint="eastAsia"/>
              </w:rPr>
              <w:t>英语</w:t>
            </w:r>
          </w:p>
        </w:tc>
        <w:tc>
          <w:tcPr>
            <w:tcW w:w="1419" w:type="dxa"/>
            <w:vAlign w:val="center"/>
          </w:tcPr>
          <w:p>
            <w:pPr>
              <w:jc w:val="center"/>
            </w:pPr>
            <w:r>
              <w:rPr>
                <w:rFonts w:hint="eastAsia"/>
              </w:rPr>
              <w:t>7</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854" w:type="dxa"/>
            <w:vAlign w:val="center"/>
          </w:tcPr>
          <w:p>
            <w:pPr>
              <w:jc w:val="center"/>
            </w:pPr>
            <w:r>
              <w:rPr>
                <w:rFonts w:hint="eastAsia"/>
              </w:rPr>
              <w:t>6</w:t>
            </w:r>
          </w:p>
        </w:tc>
        <w:tc>
          <w:tcPr>
            <w:tcW w:w="3394" w:type="dxa"/>
            <w:vAlign w:val="center"/>
          </w:tcPr>
          <w:p>
            <w:pPr>
              <w:jc w:val="center"/>
            </w:pPr>
            <w:r>
              <w:rPr>
                <w:rFonts w:hint="eastAsia"/>
              </w:rPr>
              <w:t>市场营销</w:t>
            </w:r>
          </w:p>
        </w:tc>
        <w:tc>
          <w:tcPr>
            <w:tcW w:w="1419" w:type="dxa"/>
            <w:vAlign w:val="center"/>
          </w:tcPr>
          <w:p>
            <w:pPr>
              <w:jc w:val="center"/>
            </w:pPr>
            <w:r>
              <w:rPr>
                <w:rFonts w:hint="eastAsia"/>
              </w:rPr>
              <w:t>7</w:t>
            </w:r>
            <w:r>
              <w:t>0</w:t>
            </w:r>
          </w:p>
        </w:tc>
      </w:tr>
    </w:tbl>
    <w:p/>
    <w:p>
      <w:pPr>
        <w:pStyle w:val="7"/>
        <w:shd w:val="clear" w:color="auto" w:fill="FFFFFF"/>
        <w:spacing w:before="150" w:beforeAutospacing="0" w:after="150" w:afterAutospacing="0" w:line="555" w:lineRule="atLeast"/>
        <w:ind w:firstLine="645"/>
        <w:textAlignment w:val="baseline"/>
        <w:rPr>
          <w:color w:val="333333"/>
        </w:rPr>
      </w:pPr>
      <w:r>
        <w:rPr>
          <w:color w:val="333333"/>
        </w:rPr>
        <w:t>第十</w:t>
      </w:r>
      <w:r>
        <w:rPr>
          <w:rFonts w:hint="eastAsia"/>
          <w:color w:val="333333"/>
        </w:rPr>
        <w:t>三</w:t>
      </w:r>
      <w:r>
        <w:rPr>
          <w:color w:val="333333"/>
        </w:rPr>
        <w:t xml:space="preserve">条  </w:t>
      </w:r>
      <w:r>
        <w:rPr>
          <w:rFonts w:hint="eastAsia"/>
          <w:color w:val="333333"/>
        </w:rPr>
        <w:t>对考生身体健康要求，</w:t>
      </w:r>
      <w:r>
        <w:rPr>
          <w:color w:val="333333"/>
        </w:rPr>
        <w:t>按教育部《普通高等学校招生体检工作指导意见》及其补充规定执行。新生入校后将进行体检，体检不合格者，给予取消入学资格处理。录取新生中有隐瞒既往病史或有其他舞弊行为者，一经查出将给予严肃处理，情节严重者将取消其入学资格或学籍，并按有关规定上报省教育厅。</w:t>
      </w:r>
    </w:p>
    <w:p>
      <w:pPr>
        <w:pStyle w:val="7"/>
        <w:shd w:val="clear" w:color="auto" w:fill="FFFFFF"/>
        <w:spacing w:before="150" w:beforeAutospacing="0" w:after="150" w:afterAutospacing="0" w:line="555" w:lineRule="atLeast"/>
        <w:ind w:firstLine="645"/>
        <w:textAlignment w:val="baseline"/>
        <w:rPr>
          <w:rFonts w:hint="eastAsia"/>
          <w:color w:val="333333"/>
        </w:rPr>
      </w:pPr>
      <w:r>
        <w:rPr>
          <w:rFonts w:hint="eastAsia"/>
          <w:color w:val="333333"/>
        </w:rPr>
        <w:t xml:space="preserve">第十四条 </w:t>
      </w:r>
      <w:r>
        <w:rPr>
          <w:color w:val="333333"/>
        </w:rPr>
        <w:t xml:space="preserve"> </w:t>
      </w:r>
      <w:r>
        <w:rPr>
          <w:rFonts w:hint="eastAsia"/>
          <w:color w:val="333333"/>
        </w:rPr>
        <w:t>专升本专业录取规则，依照《山东省教育厅关于做好</w:t>
      </w:r>
      <w:r>
        <w:rPr>
          <w:color w:val="333333"/>
        </w:rPr>
        <w:t>2018</w:t>
      </w:r>
      <w:r>
        <w:rPr>
          <w:rFonts w:hint="eastAsia"/>
          <w:color w:val="333333"/>
        </w:rPr>
        <w:t>年普通高等教育专科升本科招生工作的通知》（鲁教学字〔</w:t>
      </w:r>
      <w:r>
        <w:rPr>
          <w:color w:val="333333"/>
        </w:rPr>
        <w:t>2017〕26</w:t>
      </w:r>
      <w:r>
        <w:rPr>
          <w:rFonts w:hint="eastAsia"/>
          <w:color w:val="333333"/>
        </w:rPr>
        <w:t>号）规定执行。本着公平、公正、公开的原则，从过程性考核合格的投档考生中，依据考生专升本考试成绩</w:t>
      </w:r>
      <w:r>
        <w:rPr>
          <w:color w:val="333333"/>
        </w:rPr>
        <w:t>,</w:t>
      </w:r>
      <w:r>
        <w:rPr>
          <w:rFonts w:hint="eastAsia"/>
          <w:color w:val="333333"/>
        </w:rPr>
        <w:t>按照招生计划从高分到低分依次录取。对过程性考核不合格的考生不予录取。</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 xml:space="preserve">第十五条 </w:t>
      </w:r>
      <w:r>
        <w:rPr>
          <w:color w:val="333333"/>
        </w:rPr>
        <w:t xml:space="preserve"> </w:t>
      </w:r>
      <w:r>
        <w:rPr>
          <w:rFonts w:hint="eastAsia"/>
          <w:color w:val="333333"/>
        </w:rPr>
        <w:t>学校执行山东省教育厅有关免试生和退役士兵考生录取办法的政策规定。</w:t>
      </w:r>
    </w:p>
    <w:p>
      <w:pPr>
        <w:pStyle w:val="7"/>
        <w:shd w:val="clear" w:color="auto" w:fill="FFFFFF"/>
        <w:spacing w:before="150" w:beforeAutospacing="0" w:after="150" w:afterAutospacing="0" w:line="555" w:lineRule="atLeast"/>
        <w:ind w:firstLine="645"/>
        <w:textAlignment w:val="baseline"/>
        <w:rPr>
          <w:bCs/>
          <w:color w:val="333333"/>
        </w:rPr>
      </w:pPr>
      <w:r>
        <w:rPr>
          <w:rFonts w:hint="eastAsia"/>
          <w:bCs/>
          <w:color w:val="333333"/>
        </w:rPr>
        <w:t xml:space="preserve">第十六条 </w:t>
      </w:r>
      <w:r>
        <w:rPr>
          <w:bCs/>
          <w:color w:val="333333"/>
        </w:rPr>
        <w:t xml:space="preserve"> </w:t>
      </w:r>
      <w:r>
        <w:rPr>
          <w:rFonts w:hint="eastAsia"/>
          <w:bCs/>
          <w:color w:val="333333"/>
        </w:rPr>
        <w:t>男女生比例不限。</w:t>
      </w:r>
    </w:p>
    <w:p>
      <w:pPr>
        <w:pStyle w:val="7"/>
        <w:shd w:val="clear" w:color="auto" w:fill="FFFFFF"/>
        <w:spacing w:before="150" w:beforeAutospacing="0" w:after="150" w:afterAutospacing="0" w:line="555" w:lineRule="atLeast"/>
        <w:ind w:firstLine="480"/>
        <w:jc w:val="center"/>
        <w:textAlignment w:val="baseline"/>
        <w:rPr>
          <w:b/>
          <w:color w:val="333333"/>
        </w:rPr>
      </w:pPr>
      <w:r>
        <w:rPr>
          <w:rFonts w:hint="eastAsia"/>
          <w:b/>
          <w:color w:val="333333"/>
        </w:rPr>
        <w:t>第五章　收费、退费标准及资助政策</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第十七条 学校严格按照山东省物价局审批的收费标准收取学费、住宿费等费用。</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第十八条　退学学费规定：退费按照《山东省人民政府办公厅关于印发山东省高等学校收费管理办法的通知》（鲁政办字</w:t>
      </w:r>
      <w:r>
        <w:rPr>
          <w:rFonts w:hint="eastAsia"/>
          <w:color w:val="333333"/>
          <w:lang w:val="en-US" w:eastAsia="zh-CN"/>
        </w:rPr>
        <w:t>[</w:t>
      </w:r>
      <w:r>
        <w:rPr>
          <w:color w:val="333333"/>
        </w:rPr>
        <w:t>2018</w:t>
      </w:r>
      <w:r>
        <w:rPr>
          <w:rFonts w:hint="eastAsia"/>
          <w:color w:val="333333"/>
          <w:lang w:val="en-US" w:eastAsia="zh-CN"/>
        </w:rPr>
        <w:t>]</w:t>
      </w:r>
      <w:r>
        <w:rPr>
          <w:color w:val="333333"/>
        </w:rPr>
        <w:t>98号）有关规定执行。</w:t>
      </w:r>
      <w:r>
        <w:rPr>
          <w:rFonts w:hint="eastAsia"/>
          <w:color w:val="333333"/>
        </w:rPr>
        <w:t xml:space="preserve"> </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第十九条　学校设有国家奖学金，国家励志奖学金，省政府奖学金，省政府励志奖学金，综合奖学金，单项奖学金，专项奖学金以及各大企业集团提供的奖学金等多种奖项奖学金。</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第二十条　学校建有完善的资助体系，通过助学贷款、勤工助学、奖、助学金、困难补助以及社会助学等形式帮扶经济困难学生完成学业。</w:t>
      </w:r>
    </w:p>
    <w:p>
      <w:pPr>
        <w:pStyle w:val="7"/>
        <w:shd w:val="clear" w:color="auto" w:fill="FFFFFF"/>
        <w:spacing w:before="150" w:beforeAutospacing="0" w:after="150" w:afterAutospacing="0" w:line="555" w:lineRule="atLeast"/>
        <w:ind w:firstLine="480"/>
        <w:jc w:val="center"/>
        <w:textAlignment w:val="baseline"/>
        <w:rPr>
          <w:b/>
          <w:color w:val="333333"/>
        </w:rPr>
      </w:pPr>
      <w:r>
        <w:rPr>
          <w:rFonts w:hint="eastAsia"/>
          <w:b/>
          <w:color w:val="333333"/>
        </w:rPr>
        <w:t xml:space="preserve">第六章 </w:t>
      </w:r>
      <w:r>
        <w:rPr>
          <w:b/>
          <w:color w:val="333333"/>
        </w:rPr>
        <w:t xml:space="preserve"> </w:t>
      </w:r>
      <w:r>
        <w:rPr>
          <w:rFonts w:hint="eastAsia"/>
          <w:b/>
          <w:color w:val="333333"/>
        </w:rPr>
        <w:t>其他</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 xml:space="preserve">第二十一条 </w:t>
      </w:r>
      <w:r>
        <w:rPr>
          <w:color w:val="333333"/>
        </w:rPr>
        <w:t xml:space="preserve"> </w:t>
      </w:r>
      <w:r>
        <w:rPr>
          <w:rFonts w:hint="eastAsia"/>
          <w:color w:val="333333"/>
        </w:rPr>
        <w:t>通过专升本考试录取的学生，在青岛科技大学高密校区就读。按照国家规定，学生完成规定的学业，符合毕业条件者颁发青岛科技大学普通高等教育本科学历证书，符合学位授予条件本科毕业生授予学士学位。</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 xml:space="preserve">第二十二条 </w:t>
      </w:r>
      <w:r>
        <w:rPr>
          <w:color w:val="333333"/>
        </w:rPr>
        <w:t xml:space="preserve"> </w:t>
      </w:r>
      <w:r>
        <w:rPr>
          <w:rFonts w:hint="eastAsia"/>
          <w:color w:val="333333"/>
        </w:rPr>
        <w:t>被录取后，学生持录取通知书、准考证、普通专科毕业证等按规定时间到青岛科技大学大学高密校区报到，办理入学手续。报到时不能提供普通专科毕业证书的，不得报到入学，取消其入学资格。新生入校后，学校按照省教育厅相关文件要求对新生入学资格进行复查，对违反招生工作有关规定的学生依照相关规定进行处理。复查不合格者，不予学籍注册，由学校负责清退。</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 xml:space="preserve">第二十三条 </w:t>
      </w:r>
      <w:r>
        <w:rPr>
          <w:color w:val="333333"/>
        </w:rPr>
        <w:t xml:space="preserve"> </w:t>
      </w:r>
      <w:r>
        <w:rPr>
          <w:rFonts w:hint="eastAsia"/>
          <w:color w:val="333333"/>
        </w:rPr>
        <w:t>学校不以任何名义举办专升本辅导班，不编印专升本考试相关资料。</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 xml:space="preserve">第二十四条 </w:t>
      </w:r>
      <w:r>
        <w:rPr>
          <w:color w:val="333333"/>
        </w:rPr>
        <w:t xml:space="preserve"> </w:t>
      </w:r>
      <w:r>
        <w:rPr>
          <w:rFonts w:hint="eastAsia"/>
          <w:color w:val="333333"/>
        </w:rPr>
        <w:t>本章程未尽事宜或与上级政策不一致之处，按上级有关规定执行。</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 xml:space="preserve">第二十五条 </w:t>
      </w:r>
      <w:r>
        <w:rPr>
          <w:color w:val="333333"/>
        </w:rPr>
        <w:t xml:space="preserve"> </w:t>
      </w:r>
      <w:r>
        <w:rPr>
          <w:rFonts w:hint="eastAsia"/>
          <w:color w:val="333333"/>
        </w:rPr>
        <w:t>招生办咨询联系方式：</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1. 办公电话：0532-88957996</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2. 学校网址：www.qust.edu.cn</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3. 招生网址：zs.qust.edu.cn</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4. E-mail:  zsb@qust.edu.cn</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5. 通讯地址：青岛市松岭路99号青岛科技大学招生办公室 邮政编码：266061</w:t>
      </w:r>
    </w:p>
    <w:p>
      <w:pPr>
        <w:pStyle w:val="7"/>
        <w:shd w:val="clear" w:color="auto" w:fill="FFFFFF"/>
        <w:spacing w:before="150" w:beforeAutospacing="0" w:after="150" w:afterAutospacing="0" w:line="555" w:lineRule="atLeast"/>
        <w:ind w:firstLine="645"/>
        <w:textAlignment w:val="baseline"/>
        <w:rPr>
          <w:color w:val="333333"/>
        </w:rPr>
      </w:pPr>
      <w:r>
        <w:rPr>
          <w:rFonts w:hint="eastAsia"/>
          <w:color w:val="333333"/>
        </w:rPr>
        <w:t xml:space="preserve">第二十六条 </w:t>
      </w:r>
      <w:r>
        <w:rPr>
          <w:color w:val="333333"/>
        </w:rPr>
        <w:t xml:space="preserve"> </w:t>
      </w:r>
      <w:r>
        <w:rPr>
          <w:rFonts w:hint="eastAsia"/>
          <w:color w:val="333333"/>
        </w:rPr>
        <w:t>本章程由青岛科技大学负责解释。</w:t>
      </w:r>
    </w:p>
    <w:p>
      <w:pPr>
        <w:pStyle w:val="7"/>
        <w:shd w:val="clear" w:color="auto" w:fill="FFFFFF"/>
        <w:spacing w:before="150" w:beforeAutospacing="0" w:after="150" w:afterAutospacing="0" w:line="555" w:lineRule="atLeast"/>
        <w:ind w:firstLine="645"/>
        <w:textAlignment w:val="baseline"/>
        <w:rPr>
          <w:color w:val="333333"/>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0A"/>
    <w:rsid w:val="00135DF3"/>
    <w:rsid w:val="0020192E"/>
    <w:rsid w:val="002E11B4"/>
    <w:rsid w:val="00374D0A"/>
    <w:rsid w:val="003F7C90"/>
    <w:rsid w:val="00473095"/>
    <w:rsid w:val="004A4679"/>
    <w:rsid w:val="0061215A"/>
    <w:rsid w:val="0080114C"/>
    <w:rsid w:val="009C3DF3"/>
    <w:rsid w:val="00AA1215"/>
    <w:rsid w:val="00AD6297"/>
    <w:rsid w:val="00AD7FA4"/>
    <w:rsid w:val="00B34768"/>
    <w:rsid w:val="00BC153C"/>
    <w:rsid w:val="00BC4C00"/>
    <w:rsid w:val="00C65E69"/>
    <w:rsid w:val="00DA028A"/>
    <w:rsid w:val="00E55BDF"/>
    <w:rsid w:val="00F64607"/>
    <w:rsid w:val="0E6A61D1"/>
    <w:rsid w:val="1B6A1C9C"/>
    <w:rsid w:val="29FB1C2F"/>
    <w:rsid w:val="43AB5058"/>
    <w:rsid w:val="61CF2DBA"/>
    <w:rsid w:val="68184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annotation reference"/>
    <w:basedOn w:val="8"/>
    <w:semiHidden/>
    <w:unhideWhenUsed/>
    <w:qFormat/>
    <w:uiPriority w:val="99"/>
    <w:rPr>
      <w:sz w:val="21"/>
      <w:szCs w:val="21"/>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 w:type="character" w:customStyle="1" w:styleId="15">
    <w:name w:val="批注文字 字符"/>
    <w:basedOn w:val="8"/>
    <w:link w:val="3"/>
    <w:semiHidden/>
    <w:qFormat/>
    <w:uiPriority w:val="99"/>
  </w:style>
  <w:style w:type="character" w:customStyle="1" w:styleId="16">
    <w:name w:val="批注主题 字符"/>
    <w:basedOn w:val="15"/>
    <w:link w:val="2"/>
    <w:semiHidden/>
    <w:qFormat/>
    <w:uiPriority w:val="99"/>
    <w:rPr>
      <w:b/>
      <w:bCs/>
    </w:rPr>
  </w:style>
  <w:style w:type="character" w:customStyle="1" w:styleId="17">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456</Words>
  <Characters>2603</Characters>
  <Lines>21</Lines>
  <Paragraphs>6</Paragraphs>
  <TotalTime>78</TotalTime>
  <ScaleCrop>false</ScaleCrop>
  <LinksUpToDate>false</LinksUpToDate>
  <CharactersWithSpaces>3053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2019-01-04T02:57:00Z</dcterms:created>
  <dc:creator>刘 金鹏</dc:creator>
  <cp:lastModifiedBy>千佛山人</cp:lastModifiedBy>
  <dcterms:modified xsi:type="dcterms:W3CDTF">2019-01-07T10:16:14Z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