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sz w:val="32"/>
        </w:rPr>
      </w:pPr>
      <w:r>
        <w:rPr>
          <w:rFonts w:hint="eastAsia" w:ascii="黑体" w:hAnsi="黑体" w:eastAsia="黑体"/>
          <w:sz w:val="32"/>
        </w:rPr>
        <w:t>附件2</w:t>
      </w:r>
    </w:p>
    <w:p>
      <w:pPr>
        <w:jc w:val="center"/>
        <w:rPr>
          <w:rFonts w:ascii="方正小标宋简体" w:eastAsia="方正小标宋简体"/>
          <w:sz w:val="44"/>
          <w:szCs w:val="44"/>
        </w:rPr>
      </w:pPr>
      <w:r>
        <w:rPr>
          <w:rFonts w:hint="eastAsia" w:ascii="方正小标宋简体" w:eastAsia="方正小标宋简体"/>
          <w:sz w:val="44"/>
          <w:szCs w:val="44"/>
        </w:rPr>
        <w:t>山东省幼儿园分类认定评估细则（2022年版）</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1276"/>
        <w:gridCol w:w="7512"/>
        <w:gridCol w:w="2694"/>
        <w:gridCol w:w="646"/>
      </w:tblGrid>
      <w:tr>
        <w:trPr>
          <w:trHeight w:val="360" w:hRule="atLeast"/>
          <w:jc w:val="center"/>
        </w:trPr>
        <w:tc>
          <w:tcPr>
            <w:tcW w:w="2660" w:type="dxa"/>
            <w:gridSpan w:val="2"/>
            <w:vMerge w:val="restart"/>
            <w:shd w:val="clear" w:color="auto" w:fill="auto"/>
            <w:noWrap w:val="0"/>
            <w:vAlign w:val="center"/>
          </w:tcPr>
          <w:p>
            <w:pPr>
              <w:widowControl/>
              <w:spacing w:line="360" w:lineRule="exact"/>
              <w:jc w:val="center"/>
              <w:rPr>
                <w:rFonts w:ascii="黑体" w:hAnsi="黑体" w:eastAsia="黑体" w:cs="宋体"/>
                <w:color w:val="000000"/>
                <w:kern w:val="0"/>
                <w:sz w:val="20"/>
                <w:szCs w:val="20"/>
              </w:rPr>
            </w:pPr>
            <w:r>
              <w:rPr>
                <w:rFonts w:hint="eastAsia" w:ascii="黑体" w:hAnsi="黑体" w:eastAsia="黑体" w:cs="宋体"/>
                <w:color w:val="000000"/>
                <w:kern w:val="0"/>
                <w:sz w:val="20"/>
                <w:szCs w:val="20"/>
              </w:rPr>
              <w:t>项目</w:t>
            </w:r>
          </w:p>
        </w:tc>
        <w:tc>
          <w:tcPr>
            <w:tcW w:w="1276" w:type="dxa"/>
            <w:vMerge w:val="restart"/>
            <w:shd w:val="clear" w:color="auto" w:fill="auto"/>
            <w:noWrap w:val="0"/>
            <w:vAlign w:val="center"/>
          </w:tcPr>
          <w:p>
            <w:pPr>
              <w:widowControl/>
              <w:spacing w:line="36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标准分</w:t>
            </w:r>
          </w:p>
        </w:tc>
        <w:tc>
          <w:tcPr>
            <w:tcW w:w="7512" w:type="dxa"/>
            <w:vMerge w:val="restart"/>
            <w:shd w:val="clear" w:color="auto" w:fill="auto"/>
            <w:noWrap w:val="0"/>
            <w:vAlign w:val="center"/>
          </w:tcPr>
          <w:p>
            <w:pPr>
              <w:widowControl/>
              <w:spacing w:line="36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评分标准</w:t>
            </w:r>
          </w:p>
        </w:tc>
        <w:tc>
          <w:tcPr>
            <w:tcW w:w="2694" w:type="dxa"/>
            <w:vMerge w:val="restart"/>
            <w:shd w:val="clear" w:color="auto" w:fill="auto"/>
            <w:noWrap w:val="0"/>
            <w:vAlign w:val="center"/>
          </w:tcPr>
          <w:p>
            <w:pPr>
              <w:widowControl/>
              <w:spacing w:line="36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评分原则</w:t>
            </w:r>
          </w:p>
        </w:tc>
        <w:tc>
          <w:tcPr>
            <w:tcW w:w="646" w:type="dxa"/>
            <w:vMerge w:val="restart"/>
            <w:shd w:val="clear" w:color="auto" w:fill="auto"/>
            <w:noWrap w:val="0"/>
            <w:vAlign w:val="center"/>
          </w:tcPr>
          <w:p>
            <w:pPr>
              <w:widowControl/>
              <w:spacing w:line="360" w:lineRule="exact"/>
              <w:jc w:val="center"/>
              <w:rPr>
                <w:rFonts w:hint="eastAsia" w:ascii="黑体" w:hAnsi="黑体" w:eastAsia="黑体" w:cs="宋体"/>
                <w:bCs/>
                <w:color w:val="000000"/>
                <w:kern w:val="0"/>
                <w:sz w:val="20"/>
                <w:szCs w:val="20"/>
              </w:rPr>
            </w:pPr>
            <w:r>
              <w:rPr>
                <w:rFonts w:hint="eastAsia" w:ascii="黑体" w:hAnsi="黑体" w:eastAsia="黑体" w:cs="宋体"/>
                <w:bCs/>
                <w:color w:val="000000"/>
                <w:kern w:val="0"/>
                <w:sz w:val="20"/>
                <w:szCs w:val="20"/>
              </w:rPr>
              <w:t>得分</w:t>
            </w:r>
          </w:p>
        </w:tc>
      </w:tr>
      <w:tr>
        <w:trPr>
          <w:trHeight w:val="360" w:hRule="atLeast"/>
          <w:jc w:val="center"/>
        </w:trPr>
        <w:tc>
          <w:tcPr>
            <w:tcW w:w="2660" w:type="dxa"/>
            <w:gridSpan w:val="2"/>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b/>
                <w:bCs/>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b/>
                <w:bCs/>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b/>
                <w:bCs/>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b/>
                <w:bCs/>
                <w:color w:val="000000"/>
                <w:kern w:val="0"/>
                <w:sz w:val="20"/>
                <w:szCs w:val="20"/>
              </w:rPr>
            </w:pPr>
          </w:p>
        </w:tc>
      </w:tr>
      <w:tr>
        <w:trPr>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A1办园方向</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（50分）</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B1党建工作（40）</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C1（25）</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健全党组织对幼儿园工作领导的制度机制，以政治建设为统领，加强幼儿园领导班子建设，推进党的工作与保育教育工作紧密融合。落实幼儿园党的组织和党的工作全覆盖，3名以上党员的设立独立党组织，不足3人的建立联合党组织或挂靠乡镇（街道）、村（社区）党组织，没有党员的配备一名专兼职党建指导员。(25)</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C2（15）</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加强教师思想政治工作，落实党风廉政建设责任制和意识形态工作责任制，坚持党建带团建，充分发挥工会、共青团等群团组织的作用。(15)</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B2办园理念（10）</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C3（10）</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办园思想端正，全面贯彻党的教育方针，坚持社会主义办园方向，认真学习并贯彻落实法律法规和学前教育政策规定，坚持依法办园。（10分）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A2办园条件（200分）</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B3园舍建筑（95分）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园舍为独立建筑群体，坚固安全，符合国家安全、卫生、环保标准，布局合理实用。（10分）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建筑设计符合幼儿特点。（5分）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有独立院落，室外游戏场地有安全防护措施。定期检查、维护，有检查记录，有改进措施。（5分）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环境绿化、美化、儿童化、教育化、立体化、生态化。严禁种植有毒、带刺、有飞絮、病虫害多、有刺激性的植物。绿化用地（包括集中绿地、种植园地和房前屋后、道路两侧的零星绿地面积）生均不少于2㎡。绿地率不得低于30%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户外环境符合幼儿年龄特点，有利于开展各种体育、游戏等活动。（5分）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室外地面游戏场地与幼儿园规模相适宜，软硬兼有，室外大中型运动器械固定安装或存放在软质的地面上，器械之间保持足够的安全距离。（10分）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外游戏场地人均不少于4㎡，应保证一半以上面积在冬至日日照有效时间不少于2小时。其中，共用游戏场地人均不低于2㎡，分班游戏场地人均面积不应低于2㎡。有30m直跑道、沙池、玩水设施、种植园地等。（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建筑物二楼及二楼以上平台面积按1/2计算。</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生均建筑面积≧10.44平方米，幼儿活动用房生均建筑面积≧8.17平方米。各班有独立配套、宽敞明亮、通风及采光良好的班级活动单元（活动室、寝室、卫生间），面积符合要求。（10分）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班级单元使用面积：6班不低于792㎡；9班不低于1188㎡；12班不低于1584㎡。（5分）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厕所采用水冲式，沟槽式便池应设置幼儿扶手。实行男女分厕。（5分）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三室不配套的酌情扣分</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C8（15分）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应按要求配备综合活动室、服务用房（办公室、保健观察室、晨检接待厅、洗涤消毒用房）、附属用房（配电室、安保室、储藏室、教职工卫生间、教师值班室），特殊教育资源教室（随园保教儿童5人以上）。各功能室要使用规范，有记录。（7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少一室扣5分，扣完15分为止。</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综合活动室使用面积：6班不低于126㎡；9班不低于162㎡；12班不低于180㎡。服务用房使用面积：6班不低于178㎡；9班不低于227㎡；12班不低于248㎡。附属用房使用面积：6班不低于220㎡；9班不低于310㎡；12班不低于390㎡。（8分）</w:t>
            </w: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1"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C9（10分）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幼儿厨房安全、卫生，实行明厨亮灶。面积不低于国家标准要求，厨房使用面积：6班不低于126㎡；9班不低于186㎡；12班不低于245㎡。（5分）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二类园和三类园不设餐的此项不得分。</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设计合理，有更衣间、原料储存间、粗加工间、主食加工间、副食加工间、烹调间、餐具洗刷消毒间、食具存放间、备餐间等。操作间瓷砖到顶，吊顶使用防脱落、防腐材料。（5分）</w:t>
            </w: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B4设施设备（80分）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C10（15分）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班级生活及教育设施齐全，符合幼儿特点，满足幼儿生活和学习需要。幼儿床、桌、椅、玩具橱、图书架等配置符合省定标准要求。尽可能减少幼儿使用电子设备，幼儿连续使用电子设备时间不超过15分钟。(10分)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有暖气、空调等防暑降温防寒取暖设施，能正常使用。冬季室内温度不低于18度。（3分）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有饮水设备。采用保温桶的，应具备锁定装置，采用直饮机的，设备应合格、安全。（2分）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C11（20分）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各类设施设备安全、环保，符合幼儿的年龄特点，方便幼儿使用和取放，满足幼儿逐步增长的独立活动需要。提供必要的遮阳遮雨设施设备，确保特殊天气条件下幼儿必要的户外活动能正常开展。禁止使用全封闭滑梯和通道。（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玩具材料种类丰富，数量充足，以低结构材料为主，能够保证多名幼儿同时游戏的需要。(5分)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户外运动器械种类齐全，数量能够满足全园1/2以上幼儿同时活动的需求。（5分）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室内教玩具能够充分满足本班幼儿区域活动或其他教育活动的需要。（5分）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C12（15分）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配备现代化教育设施及办公设备，有照相机、摄像机、打印机、复印机、多媒体等，满足需要。（3分）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每班配备一体机、钢琴等设备。（3分）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园长、教师、财务人员、卫生保健人员每人一台电脑。（3分）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能有效运用现代化教育设施进行管理和保教活动。（3分）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有微信公众号等宣传载体，内容及时更新。（3分）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3"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C13（10分）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配备适合教师的教学参考书、图书资料，订阅幼教刊物，音像资料满足保教工作需要。教学参考书人均不少于10种，图书资料人均不少于20册（不含复本），幼教刊物不少于10种。（5分）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配备适合幼儿阅读的图画书等读物，符合幼儿年龄特点和认知水平，注重体现中华优秀传统文化和现代生活特色，富有教育意义。人均不少于20册，复本不超过5册，并定期更换。（5分）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二类园和三类园人均不少于15册，复本不超过5册，并定期更换。                   </w:t>
            </w: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C14（10分）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保健观察室按照《托儿所幼儿园卫生保健工作规范》（卫妇社发〔20</w:t>
            </w:r>
            <w:r>
              <w:rPr>
                <w:rFonts w:ascii="宋体" w:hAnsi="宋体" w:cs="宋体"/>
                <w:color w:val="000000"/>
                <w:kern w:val="0"/>
                <w:sz w:val="20"/>
                <w:szCs w:val="20"/>
              </w:rPr>
              <w:t>1</w:t>
            </w:r>
            <w:r>
              <w:rPr>
                <w:rFonts w:hint="eastAsia" w:ascii="宋体" w:hAnsi="宋体" w:cs="宋体"/>
                <w:color w:val="000000"/>
                <w:kern w:val="0"/>
                <w:sz w:val="20"/>
                <w:szCs w:val="20"/>
              </w:rPr>
              <w:t>2〕35号）和《山东省幼儿园办园条件标准》，配齐配全常用设备、器械、药品。根据疫情防控常态化要求，配足配齐相应防疫物资。（5分）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班级的卫生保健和消毒设备安全、卫生、齐备，按规定使用。（5分）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C15（10分）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按照《山东省幼儿园办园条件标准》，配足配齐厨房设备设施。（10分）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                                        二类园和三类园不设餐的此项不得分。</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B5规模班额（25分）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C16（10分）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办园规模适宜，年龄结构合理。（5分）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省示范园和一类园办园规模为6个班及以上，原则上不宜超出12个班，农村幼儿园办园规模可以为3个班及以上。二类园办园规模为3个班及以上；三类园办园规模为1-2个班及以上。（5分）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C17（15分）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严格执行招生政策，招生简章或广告内容符合相关政策，除进行健康检查外不进行任何形式的考试或者测查。每年秋季招生，如有缺额，可随时补招。（5分）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严格按照国家规定编班，没有大班额现象。大班35人，中班30人，小班25人，混龄班30人。（10分）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每班人数超过1名扣1分；超过10名以上不得分。</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8"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A3内部管理（100分）</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B6体制机制（45分）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C18（15分）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严格执行各项规章制度，有措施、有记录。（5分）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实行园长负责制，岗位责任制，教师聘任制，结构工资制，最大限度调动教职工积极性和主动性。（5分）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组织机构健全，领导班子结构合理，分工明确，管理规范高效。按照标准要求配备园长。（5分）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10个班以上的幼儿园配设园长1名、副园长2名；6—9个班的幼儿园配设园长1名、副园长1名；6个班以下的幼儿园配园长1名。</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C19（15分）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建立园务委员会和教职工代表大会制度，落实园务公开制度，充分发挥民主监督与决策功能，民主管理效果良好。（10分）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有近期（5年以内）、中长期（5年以上）发展规划和年度计划，体现科学性、发展性、前瞻性，能促进幼儿园可持续发展。（5分）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9"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C20（15分）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各部门分工明确，工作计划、检查、总结详实，改进措施得当。各岗位人员职责明确，有科学合理的考核评价细则，措施到位，反馈及时，奖惩分明。（8分）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各项规章制度健全，科学规范、操作性强。各项制度责任到人，分工明确，执行严格，有记录。（7分）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72"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9"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B7后勤管理（35分）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C21（5分）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各类档案齐全，管理规范，内容详实、准确，体现工作或活动过程。专橱存放，分类科学，查找方便。（5分）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3"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C22（10分）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固定资产、账簿设置规范，有关手续完备，产权明晰、账物相符。资产登记与管理执行到位，财产保管责任到人。（10分）</w:t>
            </w: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C23（10分）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有稳定充足的经费来源渠道，满足正常运转及发展需要。幼儿园财务独立，专款专用，制度严格，账目清楚，支出合理，有一定比例用于改善办园条件和教职工培训。（10分）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C24（10分）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将幼儿园类别园牌悬挂于大门明显处，严格按规定项目和标准收费，实行公示制度，接受社会监督，没有乱收费现象。（10分）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B8弱势群体（20分）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C25（20分）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支持弱势群体子女入学，不断提高针对特殊需求儿童的教育服务水平。按规定为孤儿、残疾儿童、建档立卡贫困家庭儿童、城乡低保家庭儿童等减免保教费等相关费用。（10分）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积极推进残疾儿童随园保教工作，完善相关制度，根据实际需要建设资源教室，配备资源教师，为残疾幼儿提供有针对性的教育与康复，提升随园保教质量。（10分）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A4队伍建设</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（150）</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B9配足配齐（30分）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C26（30分）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严格按照国家和省有关规定配足配齐教职工。（20分）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公办幼儿园按标准核定教职工编制（人员控制总量），在编教师比例逐年提升。（10分）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人员配备不足的酌情扣分。</w:t>
            </w: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B10资格准入（40分）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C27（10分）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严格实行资格准入制度，各类工作人员均应持证上岗。（10分）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C28（10分）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园长（含副园长）具备大专及以上学历，具有教师资格，有4年以上幼儿园工作经历和较强的组织管理能力，获得市级及以上教育行政部门颁发的园长岗位培训合格证。（10分）</w:t>
            </w:r>
          </w:p>
        </w:tc>
        <w:tc>
          <w:tcPr>
            <w:tcW w:w="2694" w:type="dxa"/>
            <w:shd w:val="clear" w:color="auto" w:fill="auto"/>
            <w:noWrap w:val="0"/>
            <w:vAlign w:val="center"/>
          </w:tcPr>
          <w:p>
            <w:pPr>
              <w:kinsoku w:val="0"/>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二类园和三类园园长具备大专及以上学历，具有教师资格，有3年以上幼儿园工作经历和一定的组织管理能力，获得县级及以上教育行政部门颁发的园长岗位培训合格证或参加一定学时的园长岗位培训。</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4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C29（10分）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专任教师取得教师资格证比例适宜。（10分）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省示范园、一类园、二类园、三类园专任教师取得教师资格证比例均达到100%，专科及以上学历比例分别为100%、90%、80%、70%。（10分）</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21"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C30（10分）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保育员具备高中毕业以上学历，并受过幼儿保育职业培训。医师取得卫生行政部门颁发的《医师执业证书》，护士应当取得《护士执业证书》，保健员具有大专毕业以上学历，并经过当地妇幼保健机构组织的卫生保健专业知识培训。炊事人员上岗前取得《食品从业人员健康证》，并受过幼儿膳食营养知识培训。（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B11培养培训</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（50分）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C31（10分）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教师队伍稳定，结构合理。有切实可行的教师专业发展规划并付诸实施。（10分）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C32（15分）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教师培养培训形式多样，有计划、有层次、有落实。（5分）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培训、学习、研讨、实践、反思等过程性资料详实。教师专业成长档案资料丰富。（5分）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教师每年参加专业发展培训不少于72学时。（5分）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C33（25分）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重视师德师风建设，广泛开展做有理想信念、有道德情操、有扎实学识、有仁爱之心的“四有”好老师主题教育活动。（5分）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强化师德师风教育，对新入职教师进行岗前职业道德培训。（5分）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园长与教师签订承诺书。（5分）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将师德作为教师考核、聘任和评价的首要内容。（10分）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B12工资待遇（30分）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C34（15分）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幼儿园严格按照有关法律法规的规定，与教职工签订聘用合同或劳动合同。（15分）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C35（15分）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逐步实现公办园非在编教师与在编教师同工同酬，纳入机构编制管理的公办园非在编教师工资至少要达到在编教师工资的75%。非在编教师、民办幼儿园教师平均工资分别不低于本地区最低工资标准，并足额缴纳“五险一金”。（15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省示范园、一类园非在编教师、民办幼儿园教师平均工资分别不低于本地区最低工资标准的2倍，并足额缴纳“五险一金”；二类园、三类园非在编教师、民办幼儿园教师平均工资分别不低于本地区最低工资标准的2倍，并足额缴纳“五险一金”。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A5安全卫生（220分）</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B13安全管理（75分）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C36（15分）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认真贯彻落实国家和省有关规定，严格执行各项安全工作制度。（5分）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安全预警机制健全，有各类突发事件的应急预案，出现重大事故能妥善处理并及时上报。（5分）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每年为在园幼儿投保校方责任险。（5分）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C37（10分）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构建安全防范网络体系，有安全工作领导小组，分工明确，责任到人，层层签订安全目标责任书，落实“一岗双责”安全工作要求。（5分）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安全工作有计划、有检查、有记录、有总结、有改进措施。安全工作档案内容齐全，有专人管理。（5分）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C38（5分）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师生人数少于100人的至少配备1名专职保安员，100—500人的至少配备2名专职保安员，500-1000人的至少配备3名专职保安员。保安员取得保安证，年龄不超过55周岁。（5分）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保安人员配备不足的，按比例扣分。</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C39（10分）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坚持校园安防建设“四个100%”：专职保安员配备、一键式报警和视频监控与公安联网、校园封闭化管理、“护学岗”设置达到100%。（5分）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重点部位监控内容保存三个月以上。（5分）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C40（10分）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园内场地、所用材料、设施设备、玩教具、器械等无毒、无安全隐患。有专人负责，定期检修维护，有记录。（5分）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室内设施坚固、耐用、安全，无棱角，地面防滑，装饰装修符合卫生安全和环保要求。（5分）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C41（10分）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一般不使用车辆集中接送儿童，因特殊情况需要使用车辆集中接送的，按照国家标准设计和制造的幼儿专用校车，遵守校车安全规定。校车取得使用许可和标牌，驾驶人取得校车驾驶资格，配备规定的安全设备。（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指派随车照管人员全程照管乘车幼儿，载人不超过核定人数。（5分）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没有使用校车的，不扣分。</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C42（15分）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在一日活动的各个环节，教师能够密切关注幼儿，保证幼儿在教师视线范围内活动，并能及时消除安全隐患，确保幼儿安全。（5分）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认真做好接送、交接班等工作，并有记录。（5分）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管理人员严格按照“三清”制度（清场地、清人数、清器械）要求巡检，发现问题及时妥善处理，消除安全隐患。（5分）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B14安全教育（20分）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C43（10分）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定期对教职工进行安全教育培训，提高安全意识和救护能力，掌握幼儿常见突发事故（烫伤、惊厥、食物倒流、异物入体、摔伤、鼻出血、脱臼等）和突发疾病的处理办法及避险、逃生、自救等基本方法。（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C44（10分）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1530”安全教育警示长效机制（利用每天离园时1分钟、每周五离园时5分钟、每学期结束时30分钟开展安全教育）。有安全教育计划并纳入课程内容，以多种方式对幼儿进行安全教育，引导幼儿掌握必要的自我保护常识与方法，能进行简单的自护和自救。（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制定防火、防震、防溺水、防触电、防踩踏、防暴力入侵及幼儿园大型集体活动应急疏散方案。定期开展应急疏散演练活动，符合幼儿年龄特点和能力水平，方法科学，富有实效。（5分）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B15健康检查（30分）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C45（20分）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教职工持《托幼机构工作人员健康合格证》上岗，合格率100%。教职工患传染病期间暂停幼儿园工作。有犯罪、吸毒记录和精神病史者以及有虐童不良记录的、严重违反师德行为的不得在幼儿园工作。（7分）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幼儿园内禁止吸烟、饮酒。（2分）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教职工每年进行1次健康检查，炊事人员每半年查体1次，查体率100%。（6分）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建立幼儿健康档案，新入园幼儿应当经医疗卫生机构进行健康检查，合格后方可入园。（5分）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1859"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C46（10分）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在园幼儿每年健康检查不少于1次，查体率达100%；每半年测身高、视力不少于1次，每季度测体重不少于1次。及时进行分析、评价，并向家长反馈检查结果。（5分）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对特殊幼儿（肥胖、偏食、体弱、残疾、偏异行为等）予以特殊照顾，进行有效干预。尽可能创造条件让幼儿参与班级的各项活动，并根据需要及时与家长沟通，帮助幼儿获得专业的康复指导与治疗。（5分）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新生入园及在园幼儿查体率不足100%，此项不得分。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B16疾病预防（40分）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C47（10分）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严格执行晨午检及全日观察等各项制度，发现问题及时处理并有记录。（5分）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对患病幼儿用药的委托交接进行严格管理，未经家长委托或者同意，不得给幼儿用药。做好家长签字、幼儿服药记录，保证幼儿用药安全。（5分）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C48（10分）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配合卫生部门做好计划免疫工作。督促家长按要求完成幼儿预防接种，完成率达100%。（5分）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定期对教职工和家长进行卫生保健知识宣传和培训，有工作记录。（5分）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C49（10分）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定时通风，保持室内空气新鲜流通。活动室、寝室、室内外玩教具、餐具、被褥等卫生、清洁，并有记录。（5分）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消毒设施设备齐全，工作人员熟知各项消毒制度，能采用紫外线、消毒液、暴晒、高温等相应方式进行消毒。消毒流程规范，责任到人，有记录。（5分）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C50（10分）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幼儿个人卫生用品符合要求，生活用品及设施齐全，每人一巾一杯（水杯无毒、不易碎、耐高温）、一床位一被褥，有明显标识，并能及时清洗、消毒，摆放合理，避免交叉感染。（3分）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流水洗手设施齐全，数量充足。饮用水符合国家标准，保证按需用水。（4分）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教职工仪表整洁，炊事人员及分餐人员工作期间穿工作服、戴餐帽和口罩。（3分）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B17膳食管理（55分）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C51（10分）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厨房卫生清洁，布局合理，生进熟出，避免交叉。（3分）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食品采购票证齐全，杜绝“三无”食品流入，月盘点记录、食品存放、出入库管理等科学规范。（4分）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炊事人员熟知各种食品的制作流程，并能规范操作。（3分）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二类园和三类园不设餐的此项不得分。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C52（20分）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严格按照带量食谱配餐，为幼儿提供低脂、低糖、低盐饮食。食谱每周更换并及时公示，荤素、干湿、蔬果、营养等搭配科学合理，花样丰富，正餐至少一荤一素一汤。幼儿正餐间隔时间为3.5—4小时。（10分）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每季度对幼儿进行营养评价，方法科学，营养评价资料与食堂原始资料相符。（10分）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C53（15分）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实行色标管理，各种用具按标识定位存放并按要求消毒，生熟分开。（5分）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库存食品分类存放，无过期食品。做好留样记录，食品不少于150克、48小时留样，留样柜上双锁，并在监控范围内。（10分）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C54（10分）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成立膳食委员会，每学期至少召开一次会议并做好记录。伙食费严格管理，专款专用，每月收支盈余不超过3%；并每月向家长公示，有存档。（4分）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规范食堂财务管理，单独建账，独立核算，严控成本开支范围，保证食堂收支平衡。（3分）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建立陪餐制度。成人用餐与幼儿用餐严格分开，不得侵占幼儿伙食费。（3分）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A6保育教育</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（280）</w:t>
            </w: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B18教育理念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（15分）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C55（10分）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树立正确的儿童观、教育观，遵循幼儿的发展规律和学习特点，关注幼儿发展的整体性、连续性，坚持以游戏为基本活动，珍视生活和游戏的独特教育价值。（5分）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关注幼儿身心全面和谐发展，不开展任何违背幼儿身心发展规律的活动。注重健康、语言、社会、科学、艺术等各领域有机整合，促进幼儿智力和非智力因素协调发展，寓教育于生活和游戏中。（5分）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C56（5分）</w:t>
            </w:r>
          </w:p>
        </w:tc>
        <w:tc>
          <w:tcPr>
            <w:tcW w:w="7512"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建立幼儿成长档案，及时观察、记录分析幼儿的行为和发展水平。（5分）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B19师幼互动（35分）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C57（15分）</w:t>
            </w:r>
          </w:p>
        </w:tc>
        <w:tc>
          <w:tcPr>
            <w:tcW w:w="7512"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教师保持积极乐观愉快的情绪状态，以亲切和蔼、支持性的态度和行为与幼儿互动，平等对待每一名幼儿。尊重并回应幼儿的想法与问题，通过开放性提问、推测、讨论等方式，支持和拓展每一个幼儿的学习。（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幼儿在一日活动中自信、从容，能放心大胆地表达真实情绪和不同观点。（5分）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支持幼儿自主选择游戏材料、同伴和玩法，支持幼儿参与一日生活中与自己有关的决策。（5分）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C58（20分）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认真观察幼儿在各类活动中的行为表现并做必要记录，根据一段时间的持续观察，对幼儿的发展情况和需要做出客观全面的分析，提供有针对性地支持。不急于介入或干扰幼儿的活动。（5分）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重视幼儿通过绘画、讲述等方式对自己经历过的游戏、阅读图画书、观察等活动进行表达表征。（5分）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善于发现各种偶发的教育契机，能抓住活动中幼儿感兴趣或有意义的问题和情境，能识别幼儿以新的方式主动学习，及时给予有效支持。（5分）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理解幼儿在健康、语言、社会、科学、艺术等各领域的学习方式，尊重幼儿发展的个体差异，发现每个幼儿的优势和长处，促进幼儿在原有水平上的发展。不片面追求某一领域、某一方面的学习和发展。（5分）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B20活动组织（30分）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C59（20分）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认真按照《幼儿园教育指导纲要》《3—6岁儿童学习与发展指南》要求，结合本园、班实际，每学期、每周制定科学合理的班级保教计划。（10分）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一日活动安排相对稳定合理，并能根据幼儿的年龄特点、个体差异和活动需要做出灵活调整，避免活动安排频繁转换、幼儿消极等待。（10分）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C60（10分）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以游戏为基本活动，发现和支持幼儿有意义的学习，采用小组或集体的形式讨论幼儿感兴趣的话题，鼓励幼儿表达自己的观点，提出问题、分析解决问题，拓展提升幼儿日常生活和游戏中的经验。（5分）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关注幼儿发展的连续性，注重幼小科学衔接。大班下学期采取多种形式，有针对性地帮助幼儿做好身心、生活、社会和学习等多方面的准备，建立对小学的积极期待和向往，促进幼儿顺利过渡。（5分）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9"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B21教育环境（20分）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C61（5分）</w:t>
            </w:r>
          </w:p>
        </w:tc>
        <w:tc>
          <w:tcPr>
            <w:tcW w:w="7512" w:type="dxa"/>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师幼关系平等，教师尊重、理解、接纳幼儿，为幼儿创设安全、温馨的心理环境，使幼儿感受到亲情与关爱。班级气氛宽松、和谐，幼儿乐于与同伴交往。（5分）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C62（10分）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班级环境温馨美观，展示作品内容丰富、高度适宜。展示内容符合幼儿年龄特点，与近期课程主题相关，能够体现幼儿成长发展轨迹。（3分）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因地制宜为幼儿创设室内外游戏环境，提供丰富适宜的游戏材料。每班创设5个以上幼儿活动区域，区域环境创设合理，操作材料种类丰富、数量充足，具有较强的可变性、操作性和层次性，符合本班幼儿年龄特点和发展水平。（7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C63（5分）</w:t>
            </w:r>
          </w:p>
        </w:tc>
        <w:tc>
          <w:tcPr>
            <w:tcW w:w="7512" w:type="dxa"/>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科学利用公共环境为幼儿提供活动、游戏及作品展示空间，空间划分合理，设施设备及材料投放安全。（5分）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B22课程管理（40分）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C64（5分）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使用山东省中小学教材审定委员会审查通过的教师指导用书。不得使用幼儿教材和小学教材。（5分）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C65（15分）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制定符合本园实际的课程实施计划（学期计划、主题计划、周计划），有落实、有检查、有指导、有记录。（10分）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教育内容符合幼儿年龄特点和身心发展规律，把幼小衔接纳入教育活动中，不提前教授小学教学内容，无“小学化”教育倾向。（5分）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xml:space="preserve">示范园要有2个以上优质园本课程，并在一定区域内推广；一类园要有1个以上优质园本课程，并在一定区域内推广。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C66（10分）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园长主动参与课程管理，承担教育教学任务每月不少于4个半日活动或累计12小时以上；副园长承担教育教学任务每月不少于8个半日活动或累计24小时以上。（5分）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园长每学期进班观察与指导累计不少于10个完整的半日活动，副园长每学期进班观察与指导不少于16个完整的半日活动。（5分）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C67（10分）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幼儿园作息时间与一日活动安排科学合理，符合各幼儿身心发展规律及季节特点。（4分）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游戏活动时间充足，每天至少有1个小时的自主游戏时间。幼儿自主选择游戏活动的空间、材料和同伴，自主发展游戏活动的情节。至少有1次机会可以连续进行45分钟以上的自主游戏，同时提供5种以上选择，教师能够科学观察、正确解读幼儿，并提供有效支持。（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每日集体教学活动时间小班不超过30分钟，中班、大班不超过1小时；每日户外活动时间不少于2小时（含体育活动1小时）。（3分）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B23教研活动（30分）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C68（20分）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教研制度健全，教研计划具体明确，积极开展园本教研，按时参加区域教研，切实促进教师专业发展。（8分）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教研活动时间每周不少于1次，每次不少于1小时，注重实效；专任教师备课时间每周不少于3次，每次不少于1.5小时。（7分）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园长、业务园长积极参与教研活动，园长每月不少于2次，业务园长每周不少于1次。（5分）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C69（10分）</w:t>
            </w:r>
          </w:p>
        </w:tc>
        <w:tc>
          <w:tcPr>
            <w:tcW w:w="7512" w:type="dxa"/>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有县级及以上课题，结合本园实际开展教育教学研究，取得的成果能有效解决保育教育工作中重点和难点问题，促进教师专业成长和幼儿健康发展。有一定数量文章在报刊、杂志上发表，或有质量较高的经验总结在县级及以上会议交流并在一定范围内推广应用。（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二类园和三类园有园级及以上课题。</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B24帮扶结对（10分）</w:t>
            </w:r>
          </w:p>
        </w:tc>
        <w:tc>
          <w:tcPr>
            <w:tcW w:w="127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C70（10分）</w:t>
            </w:r>
          </w:p>
        </w:tc>
        <w:tc>
          <w:tcPr>
            <w:tcW w:w="7512" w:type="dxa"/>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发挥示范带动作用，省示范园与3处以上幼儿园结对，定期开展帮扶活动；省一类园与2处以上幼儿园结对，定期开展帮扶活动。做好帮扶结对工作，效果显著。主动承担本区域示范性、研究性教育观摩活动，每学期不少于1次。乡镇中心幼儿园要发挥在镇村一体化机制建设中的关键作用，辐射带动辖区内幼儿园整体提高办园水平。（10分）</w:t>
            </w:r>
          </w:p>
        </w:tc>
        <w:tc>
          <w:tcPr>
            <w:tcW w:w="2694"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二类园和三类园主动与示范园、一类园结对，定期跟岗学习，观摩交流。</w:t>
            </w:r>
          </w:p>
        </w:tc>
        <w:tc>
          <w:tcPr>
            <w:tcW w:w="646" w:type="dxa"/>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B25家庭社区（20分）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C71（10分）</w:t>
            </w:r>
          </w:p>
        </w:tc>
        <w:tc>
          <w:tcPr>
            <w:tcW w:w="7512" w:type="dxa"/>
            <w:vMerge w:val="restart"/>
            <w:shd w:val="clear" w:color="auto" w:fill="auto"/>
            <w:noWrap w:val="0"/>
            <w:vAlign w:val="center"/>
          </w:tcPr>
          <w:p>
            <w:pPr>
              <w:widowControl/>
              <w:spacing w:line="340" w:lineRule="exact"/>
              <w:jc w:val="left"/>
              <w:rPr>
                <w:rFonts w:ascii="宋体" w:hAnsi="宋体" w:cs="宋体"/>
                <w:color w:val="000000"/>
                <w:kern w:val="0"/>
                <w:sz w:val="20"/>
                <w:szCs w:val="20"/>
              </w:rPr>
            </w:pPr>
            <w:r>
              <w:rPr>
                <w:rFonts w:hint="eastAsia" w:ascii="宋体" w:hAnsi="宋体" w:cs="宋体"/>
                <w:color w:val="000000"/>
                <w:kern w:val="0"/>
                <w:sz w:val="20"/>
                <w:szCs w:val="20"/>
              </w:rPr>
              <w:t>建立家园共育机制，有符合幼儿园实际的家园共育工作方案，每学期与所有家长进行多次个别形式和集体形式沟通，建立平等互信的家园关系。（4分）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成立家长委员会，有效参与幼儿园管理和发展。每学期能为家长提供不少于2次参与幼儿园活动的机会，包括班级开放活动、幼儿园环境创设活动、家长志愿者活动等。（3分）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重视家长学校建设，构建符合教育规律、具有学段特征的家园共育课程。每学期至少召开2次面向全体幼儿家长的家长会，至少开展1次家长开放日活动，加强家庭教育指导，提高家庭育人能力。（3分）</w:t>
            </w:r>
          </w:p>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省示范园家长满意度达到95%以上，省一类园、省二类园、省三类园家长满意度达到90%以上。</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省示范园家长满意度达到95%以上，省一类园、省二类园、省三类园家长满意度达到90%以上。</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C72（10分）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积极构建协同育人机制，充分利用自然、社会和文化资源，形成教育资源库，共同创设良好的育人环境。（2分）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每学期至少组织一次“请进来、走出去”活动，通过带领幼儿走进动物园、植物园、图书馆、科技馆等场所，邀请家庭和社区等不同行业模范走进幼儿园，丰富幼儿园课程资源。（4分）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为家庭、社区开展科学育儿宣传活动，提供教育和文化服务，形成良好的家园社协同育人氛围。（4分）</w:t>
            </w:r>
          </w:p>
        </w:tc>
        <w:tc>
          <w:tcPr>
            <w:tcW w:w="2694"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B26品德良好（20分）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C73（20分）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爱父母长辈、爱老师同伴、爱集体、爱家乡，萌发爱党爱国的情感。（8分）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具有文明礼貌、诚实勇敢、团结友爱、爱护公物、保护环境等良好品德，形成初步的是非观念和道德意识。（6分）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与同伴友好相处，愿意与人交往，关心尊重他人，有基本的归属感。（6分）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B27身心健康（20分）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C74（20分）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幼儿身体发育各项指标达到健康体态标准，视力不良儿童、肥胖儿童、营养不良、脊柱侧弯、龋齿儿童等发生率低。（8分）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幼儿身体素质良好，喜欢参加体育活动。走、跑、跳、投掷、平衡、钻爬等基本动作协调。有一定的力量、耐力和适应能力。（6分）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幼儿心理健康，性格活泼开朗，个性健康发展。喜欢幼儿园生活，大胆自信，日常生活情绪稳定、愉悦、轻松、满足。喜欢和信任教师，接纳和亲近同伴，适应集体活动。（6分）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B28习惯养成（20分）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C75（20分）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有初步的自我保护能力和一定的规则意识、任务意识，养成良好的行为习惯和文明的语言习惯。（8分）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有良好的进餐、盥洗、睡眠、入厕等生活卫生习惯。有一定的生活自理能力，能做力所能及的事情。（6分）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有良好的倾听、思考、阅读、探索、表达等学习习惯。（6分）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4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shd w:val="clear" w:color="auto" w:fill="auto"/>
            <w:noWrap w:val="0"/>
            <w:vAlign w:val="center"/>
          </w:tcPr>
          <w:p>
            <w:pPr>
              <w:widowControl/>
              <w:spacing w:line="360" w:lineRule="exact"/>
              <w:jc w:val="left"/>
              <w:rPr>
                <w:rFonts w:ascii="宋体" w:hAnsi="宋体" w:cs="宋体"/>
                <w:color w:val="000000"/>
                <w:kern w:val="0"/>
                <w:sz w:val="20"/>
                <w:szCs w:val="20"/>
              </w:rPr>
            </w:pPr>
          </w:p>
        </w:tc>
        <w:tc>
          <w:tcPr>
            <w:tcW w:w="1418"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B29能力发展（20分）</w:t>
            </w:r>
          </w:p>
        </w:tc>
        <w:tc>
          <w:tcPr>
            <w:tcW w:w="1276"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C76（20分）</w:t>
            </w:r>
          </w:p>
        </w:tc>
        <w:tc>
          <w:tcPr>
            <w:tcW w:w="7512" w:type="dxa"/>
            <w:vMerge w:val="restart"/>
            <w:shd w:val="clear" w:color="auto" w:fill="auto"/>
            <w:noWrap w:val="0"/>
            <w:vAlign w:val="center"/>
          </w:tcPr>
          <w:p>
            <w:pPr>
              <w:widowControl/>
              <w:spacing w:line="34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能注意倾听别人讲话，清楚表达自己的思想。喜欢听故事、看图书，具有初步的阅读理解能力，具有书面表达的愿望和初步技能。（8分）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有强烈的好奇心和求知欲望，亲近自然，喜欢探究。能感知数、量及数量关系，感知形状与空间关系，初步感知生活中数学的有用和有趣。（6分）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喜欢、发现、欣赏自然美和艺术美，用自己喜欢的方式进行艺术活动，大胆表现，有初步的想象力与创造力。（6分）</w:t>
            </w:r>
          </w:p>
        </w:tc>
        <w:tc>
          <w:tcPr>
            <w:tcW w:w="2694" w:type="dxa"/>
            <w:vMerge w:val="restart"/>
            <w:shd w:val="clear" w:color="auto" w:fill="auto"/>
            <w:noWrap w:val="0"/>
            <w:vAlign w:val="center"/>
          </w:tcPr>
          <w:p>
            <w:pPr>
              <w:widowControl/>
              <w:spacing w:line="360" w:lineRule="exact"/>
              <w:jc w:val="left"/>
              <w:rPr>
                <w:rFonts w:hint="eastAsia" w:ascii="宋体" w:hAnsi="宋体" w:cs="宋体"/>
                <w:color w:val="000000"/>
                <w:kern w:val="0"/>
                <w:sz w:val="20"/>
                <w:szCs w:val="20"/>
              </w:rPr>
            </w:pPr>
            <w:r>
              <w:rPr>
                <w:rFonts w:hint="eastAsia" w:ascii="宋体" w:hAnsi="宋体" w:cs="宋体"/>
                <w:color w:val="000000"/>
                <w:kern w:val="0"/>
                <w:sz w:val="20"/>
                <w:szCs w:val="20"/>
              </w:rPr>
              <w:t>　</w:t>
            </w:r>
          </w:p>
        </w:tc>
        <w:tc>
          <w:tcPr>
            <w:tcW w:w="646" w:type="dxa"/>
            <w:vMerge w:val="restart"/>
            <w:shd w:val="clear" w:color="auto" w:fill="auto"/>
            <w:noWrap w:val="0"/>
            <w:vAlign w:val="center"/>
          </w:tcPr>
          <w:p>
            <w:pPr>
              <w:widowControl/>
              <w:spacing w:line="360" w:lineRule="exact"/>
              <w:jc w:val="center"/>
              <w:rPr>
                <w:rFonts w:hint="eastAsia" w:ascii="宋体" w:hAnsi="宋体" w:cs="宋体"/>
                <w:color w:val="000000"/>
                <w:kern w:val="0"/>
                <w:sz w:val="20"/>
                <w:szCs w:val="20"/>
              </w:rPr>
            </w:pPr>
            <w:r>
              <w:rPr>
                <w:rFonts w:hint="eastAsia" w:ascii="宋体" w:hAnsi="宋体" w:cs="宋体"/>
                <w:color w:val="000000"/>
                <w:kern w:val="0"/>
                <w:sz w:val="20"/>
                <w:szCs w:val="20"/>
              </w:rPr>
              <w:t>　</w:t>
            </w: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r>
        <w:trPr>
          <w:trHeight w:val="360" w:hRule="atLeast"/>
          <w:jc w:val="center"/>
        </w:trPr>
        <w:tc>
          <w:tcPr>
            <w:tcW w:w="1242" w:type="dxa"/>
            <w:vMerge w:val="continue"/>
            <w:noWrap w:val="0"/>
            <w:vAlign w:val="center"/>
          </w:tcPr>
          <w:p>
            <w:pPr>
              <w:widowControl/>
              <w:spacing w:line="360" w:lineRule="exact"/>
              <w:jc w:val="left"/>
              <w:rPr>
                <w:rFonts w:ascii="宋体" w:hAnsi="宋体" w:cs="宋体"/>
                <w:color w:val="000000"/>
                <w:kern w:val="0"/>
                <w:sz w:val="20"/>
                <w:szCs w:val="20"/>
              </w:rPr>
            </w:pPr>
          </w:p>
        </w:tc>
        <w:tc>
          <w:tcPr>
            <w:tcW w:w="1418" w:type="dxa"/>
            <w:vMerge w:val="continue"/>
            <w:noWrap w:val="0"/>
            <w:vAlign w:val="center"/>
          </w:tcPr>
          <w:p>
            <w:pPr>
              <w:widowControl/>
              <w:spacing w:line="360" w:lineRule="exact"/>
              <w:jc w:val="left"/>
              <w:rPr>
                <w:rFonts w:ascii="宋体" w:hAnsi="宋体" w:cs="宋体"/>
                <w:color w:val="000000"/>
                <w:kern w:val="0"/>
                <w:sz w:val="20"/>
                <w:szCs w:val="20"/>
              </w:rPr>
            </w:pPr>
          </w:p>
        </w:tc>
        <w:tc>
          <w:tcPr>
            <w:tcW w:w="1276" w:type="dxa"/>
            <w:vMerge w:val="continue"/>
            <w:noWrap w:val="0"/>
            <w:vAlign w:val="center"/>
          </w:tcPr>
          <w:p>
            <w:pPr>
              <w:widowControl/>
              <w:spacing w:line="360" w:lineRule="exact"/>
              <w:jc w:val="left"/>
              <w:rPr>
                <w:rFonts w:ascii="宋体" w:hAnsi="宋体" w:cs="宋体"/>
                <w:color w:val="000000"/>
                <w:kern w:val="0"/>
                <w:sz w:val="20"/>
                <w:szCs w:val="20"/>
              </w:rPr>
            </w:pPr>
          </w:p>
        </w:tc>
        <w:tc>
          <w:tcPr>
            <w:tcW w:w="7512" w:type="dxa"/>
            <w:vMerge w:val="continue"/>
            <w:noWrap w:val="0"/>
            <w:vAlign w:val="center"/>
          </w:tcPr>
          <w:p>
            <w:pPr>
              <w:widowControl/>
              <w:spacing w:line="360" w:lineRule="exact"/>
              <w:jc w:val="left"/>
              <w:rPr>
                <w:rFonts w:ascii="宋体" w:hAnsi="宋体" w:cs="宋体"/>
                <w:color w:val="000000"/>
                <w:kern w:val="0"/>
                <w:sz w:val="20"/>
                <w:szCs w:val="20"/>
              </w:rPr>
            </w:pPr>
          </w:p>
        </w:tc>
        <w:tc>
          <w:tcPr>
            <w:tcW w:w="2694" w:type="dxa"/>
            <w:vMerge w:val="continue"/>
            <w:noWrap w:val="0"/>
            <w:vAlign w:val="center"/>
          </w:tcPr>
          <w:p>
            <w:pPr>
              <w:widowControl/>
              <w:spacing w:line="360" w:lineRule="exact"/>
              <w:jc w:val="left"/>
              <w:rPr>
                <w:rFonts w:ascii="宋体" w:hAnsi="宋体" w:cs="宋体"/>
                <w:color w:val="000000"/>
                <w:kern w:val="0"/>
                <w:sz w:val="20"/>
                <w:szCs w:val="20"/>
              </w:rPr>
            </w:pPr>
          </w:p>
        </w:tc>
        <w:tc>
          <w:tcPr>
            <w:tcW w:w="646" w:type="dxa"/>
            <w:vMerge w:val="continue"/>
            <w:noWrap w:val="0"/>
            <w:vAlign w:val="center"/>
          </w:tcPr>
          <w:p>
            <w:pPr>
              <w:widowControl/>
              <w:spacing w:line="360" w:lineRule="exact"/>
              <w:jc w:val="left"/>
              <w:rPr>
                <w:rFonts w:ascii="宋体" w:hAnsi="宋体" w:cs="宋体"/>
                <w:color w:val="000000"/>
                <w:kern w:val="0"/>
                <w:sz w:val="20"/>
                <w:szCs w:val="20"/>
              </w:rPr>
            </w:pPr>
          </w:p>
        </w:tc>
      </w:tr>
    </w:tbl>
    <w:p>
      <w:pPr>
        <w:sectPr>
          <w:footerReference r:id="rId3" w:type="default"/>
          <w:pgSz w:w="16840" w:h="11907" w:orient="landscape"/>
          <w:pgMar w:top="1531" w:right="1134" w:bottom="1531" w:left="1134" w:header="851" w:footer="1418" w:gutter="0"/>
          <w:cols w:space="425" w:num="1"/>
          <w:docGrid w:type="lines" w:linePitch="435" w:charSpace="-6554"/>
        </w:sect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方正小标宋_GBK"/>
    <w:panose1 w:val="02010601030101010101"/>
    <w:charset w:val="00"/>
    <w:family w:val="script"/>
    <w:pitch w:val="default"/>
    <w:sig w:usb0="00000000" w:usb1="00000000" w:usb2="00000010" w:usb3="00000000" w:csb0="00040000" w:csb1="00000000"/>
  </w:font>
  <w:font w:name="汉仪中黑KW">
    <w:panose1 w:val="00020600040101010101"/>
    <w:charset w:val="86"/>
    <w:family w:val="auto"/>
    <w:pitch w:val="default"/>
    <w:sig w:usb0="00000000" w:usb1="00000000" w:usb2="00000000" w:usb3="00000000" w:csb0="00160000" w:csb1="00000000"/>
  </w:font>
  <w:font w:name="方正小标宋_GBK">
    <w:panose1 w:val="03000509000000000000"/>
    <w:charset w:val="86"/>
    <w:family w:val="auto"/>
    <w:pitch w:val="default"/>
    <w:sig w:usb0="00000000" w:usb1="00000000" w:usb2="00000000" w:usb3="00000000" w:csb0="0016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ind w:left="210" w:leftChars="100" w:right="210" w:rightChars="100"/>
      <w:rPr>
        <w:rStyle w:val="5"/>
        <w:sz w:val="28"/>
        <w:szCs w:val="28"/>
      </w:rPr>
    </w:pPr>
    <w:r>
      <w:rPr>
        <w:rStyle w:val="5"/>
        <w:sz w:val="28"/>
        <w:szCs w:val="28"/>
      </w:rPr>
      <w:t xml:space="preserve">— </w:t>
    </w:r>
    <w:r>
      <w:rPr>
        <w:rStyle w:val="5"/>
        <w:sz w:val="28"/>
        <w:szCs w:val="28"/>
      </w:rPr>
      <w:fldChar w:fldCharType="begin"/>
    </w:r>
    <w:r>
      <w:rPr>
        <w:rStyle w:val="5"/>
        <w:sz w:val="28"/>
        <w:szCs w:val="28"/>
      </w:rPr>
      <w:instrText xml:space="preserve">PAGE  </w:instrText>
    </w:r>
    <w:r>
      <w:rPr>
        <w:rStyle w:val="5"/>
        <w:sz w:val="28"/>
        <w:szCs w:val="28"/>
      </w:rPr>
      <w:fldChar w:fldCharType="separate"/>
    </w:r>
    <w:r>
      <w:rPr>
        <w:rStyle w:val="5"/>
        <w:sz w:val="28"/>
        <w:szCs w:val="28"/>
      </w:rPr>
      <w:t>25</w:t>
    </w:r>
    <w:r>
      <w:rPr>
        <w:rStyle w:val="5"/>
        <w:sz w:val="28"/>
        <w:szCs w:val="28"/>
      </w:rPr>
      <w:fldChar w:fldCharType="end"/>
    </w:r>
    <w:r>
      <w:rPr>
        <w:rStyle w:val="5"/>
        <w:sz w:val="28"/>
        <w:szCs w:val="28"/>
      </w:rPr>
      <w:t xml:space="preserve"> —</w:t>
    </w:r>
  </w:p>
  <w:p>
    <w:pPr>
      <w:pStyle w:val="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E676E26"/>
    <w:rsid w:val="BE676E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2022-12-21T16:18:00Z</dcterms:created>
  <dc:creator>blue</dc:creator>
  <cp:lastModifiedBy>blue</cp:lastModifiedBy>
  <dcterms:modified xsi:type="dcterms:W3CDTF">2022-12-21T16:19:58Z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45EA2DCCF3E1BDFC69C1A2630D3F19A0</vt:lpwstr>
  </property>
</Properties>
</file>