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黑体" w:eastAsia="方正小标宋简体" w:cs="方正小标宋简体"/>
          <w:bCs/>
          <w:color w:val="000000"/>
          <w:spacing w:val="20"/>
          <w:sz w:val="40"/>
          <w:szCs w:val="40"/>
        </w:rPr>
      </w:pPr>
    </w:p>
    <w:p>
      <w:pPr>
        <w:spacing w:line="620" w:lineRule="exact"/>
        <w:jc w:val="center"/>
        <w:rPr>
          <w:rFonts w:ascii="方正小标宋简体" w:hAnsi="黑体" w:eastAsia="方正小标宋简体" w:cs="方正小标宋简体"/>
          <w:bCs/>
          <w:color w:val="000000"/>
          <w:spacing w:val="20"/>
          <w:sz w:val="40"/>
          <w:szCs w:val="40"/>
        </w:rPr>
      </w:pPr>
    </w:p>
    <w:p>
      <w:pPr>
        <w:spacing w:line="620" w:lineRule="exact"/>
        <w:jc w:val="center"/>
        <w:rPr>
          <w:rFonts w:ascii="方正小标宋简体" w:hAnsi="黑体" w:eastAsia="方正小标宋简体" w:cs="方正小标宋简体"/>
          <w:bCs/>
          <w:color w:val="000000"/>
          <w:spacing w:val="20"/>
          <w:sz w:val="40"/>
          <w:szCs w:val="40"/>
        </w:rPr>
      </w:pPr>
      <w:r>
        <w:rPr>
          <w:rFonts w:hint="eastAsia" w:ascii="方正小标宋简体" w:hAnsi="黑体" w:eastAsia="方正小标宋简体" w:cs="方正小标宋简体"/>
          <w:bCs/>
          <w:color w:val="000000"/>
          <w:spacing w:val="20"/>
          <w:sz w:val="40"/>
          <w:szCs w:val="40"/>
        </w:rPr>
        <w:t>山东师范大学20</w:t>
      </w:r>
      <w:r>
        <w:rPr>
          <w:rFonts w:ascii="方正小标宋简体" w:hAnsi="黑体" w:eastAsia="方正小标宋简体" w:cs="方正小标宋简体"/>
          <w:bCs/>
          <w:color w:val="000000"/>
          <w:spacing w:val="20"/>
          <w:sz w:val="40"/>
          <w:szCs w:val="40"/>
        </w:rPr>
        <w:t>20</w:t>
      </w:r>
      <w:r>
        <w:rPr>
          <w:rFonts w:hint="eastAsia" w:ascii="方正小标宋简体" w:hAnsi="黑体" w:eastAsia="方正小标宋简体" w:cs="方正小标宋简体"/>
          <w:bCs/>
          <w:color w:val="000000"/>
          <w:spacing w:val="20"/>
          <w:sz w:val="40"/>
          <w:szCs w:val="40"/>
        </w:rPr>
        <w:t>年综合评价招生章程</w:t>
      </w:r>
    </w:p>
    <w:p>
      <w:pPr>
        <w:spacing w:line="620" w:lineRule="exact"/>
        <w:jc w:val="center"/>
        <w:rPr>
          <w:rFonts w:ascii="方正小标宋简体" w:hAnsi="黑体" w:eastAsia="方正小标宋简体" w:cs="方正小标宋简体"/>
          <w:bCs/>
          <w:color w:val="000000"/>
          <w:spacing w:val="20"/>
          <w:sz w:val="40"/>
          <w:szCs w:val="40"/>
        </w:rPr>
      </w:pPr>
    </w:p>
    <w:p>
      <w:pPr>
        <w:spacing w:line="620" w:lineRule="exact"/>
        <w:jc w:val="center"/>
        <w:rPr>
          <w:rFonts w:ascii="方正小标宋简体" w:hAnsi="黑体" w:eastAsia="方正小标宋简体" w:cs="方正小标宋简体"/>
          <w:bCs/>
          <w:color w:val="000000"/>
          <w:spacing w:val="20"/>
          <w:sz w:val="40"/>
          <w:szCs w:val="40"/>
        </w:rPr>
      </w:pPr>
      <w:r>
        <w:rPr>
          <w:rFonts w:hint="eastAsia" w:ascii="黑体" w:hAnsi="黑体" w:eastAsia="黑体" w:cs="仿宋_GB2312"/>
          <w:color w:val="000000"/>
          <w:spacing w:val="10"/>
          <w:sz w:val="32"/>
          <w:szCs w:val="32"/>
        </w:rPr>
        <w:t>第一章</w:t>
      </w:r>
      <w:r>
        <w:rPr>
          <w:rFonts w:hint="eastAsia" w:ascii="Calibri" w:hAnsi="Calibri" w:eastAsia="黑体" w:cs="Calibri"/>
          <w:color w:val="000000"/>
          <w:spacing w:val="10"/>
          <w:sz w:val="32"/>
          <w:szCs w:val="32"/>
        </w:rPr>
        <w:t xml:space="preserve">  </w:t>
      </w:r>
      <w:r>
        <w:rPr>
          <w:rFonts w:hint="eastAsia" w:ascii="黑体" w:hAnsi="黑体" w:eastAsia="黑体" w:cs="仿宋_GB2312"/>
          <w:color w:val="000000"/>
          <w:spacing w:val="10"/>
          <w:sz w:val="32"/>
          <w:szCs w:val="32"/>
        </w:rPr>
        <w:t>总则</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第一条</w:t>
      </w:r>
      <w:r>
        <w:rPr>
          <w:rFonts w:hint="eastAsia" w:ascii="仿宋_GB2312" w:hAnsi="仿宋_GB2312" w:eastAsia="仿宋_GB2312" w:cs="仿宋_GB2312"/>
          <w:color w:val="000000"/>
          <w:spacing w:val="10"/>
          <w:sz w:val="32"/>
          <w:szCs w:val="32"/>
        </w:rPr>
        <w:t xml:space="preserve">  根据《中华人民共和国教育法》《中华人民共和国高等教育法》和山东省教育厅有关政策规定，结合山东师范大学招生工作实际，特制定本章程。</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第二条  </w:t>
      </w:r>
      <w:r>
        <w:rPr>
          <w:rFonts w:hint="eastAsia" w:ascii="仿宋_GB2312" w:hAnsi="仿宋_GB2312" w:eastAsia="仿宋_GB2312" w:cs="仿宋_GB2312"/>
          <w:color w:val="000000"/>
          <w:spacing w:val="10"/>
          <w:sz w:val="32"/>
          <w:szCs w:val="32"/>
        </w:rPr>
        <w:t>本章程适用于2</w:t>
      </w:r>
      <w:r>
        <w:rPr>
          <w:rFonts w:ascii="仿宋_GB2312" w:hAnsi="仿宋_GB2312" w:eastAsia="仿宋_GB2312" w:cs="仿宋_GB2312"/>
          <w:color w:val="000000"/>
          <w:spacing w:val="10"/>
          <w:sz w:val="32"/>
          <w:szCs w:val="32"/>
        </w:rPr>
        <w:t>020</w:t>
      </w:r>
      <w:r>
        <w:rPr>
          <w:rFonts w:hint="eastAsia" w:ascii="仿宋_GB2312" w:hAnsi="仿宋_GB2312" w:eastAsia="仿宋_GB2312" w:cs="仿宋_GB2312"/>
          <w:color w:val="000000"/>
          <w:spacing w:val="10"/>
          <w:sz w:val="32"/>
          <w:szCs w:val="32"/>
        </w:rPr>
        <w:t>年山东师范大学综合评价招生工作。</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第三条</w:t>
      </w:r>
      <w:r>
        <w:rPr>
          <w:rFonts w:hint="eastAsia" w:ascii="仿宋_GB2312" w:hAnsi="仿宋_GB2312" w:eastAsia="仿宋_GB2312" w:cs="仿宋_GB2312"/>
          <w:color w:val="000000"/>
          <w:spacing w:val="10"/>
          <w:sz w:val="32"/>
          <w:szCs w:val="32"/>
        </w:rPr>
        <w:t xml:space="preserve">  学校招生工作严格执行教育部和省级招生主管部门的有关政策规定，贯彻公平、公正、公开原则，全面考核、综合评价、择优录取。</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第四条</w:t>
      </w:r>
      <w:r>
        <w:rPr>
          <w:rFonts w:hint="eastAsia" w:ascii="仿宋_GB2312" w:hAnsi="仿宋_GB2312" w:eastAsia="仿宋_GB2312" w:cs="仿宋_GB2312"/>
          <w:color w:val="000000"/>
          <w:spacing w:val="10"/>
          <w:sz w:val="32"/>
          <w:szCs w:val="32"/>
        </w:rPr>
        <w:t xml:space="preserve">  学校招生工作实施“阳光工程”，接受广大考生、家长和社会各界的监督。</w:t>
      </w:r>
    </w:p>
    <w:p>
      <w:pPr>
        <w:spacing w:line="620" w:lineRule="exact"/>
        <w:jc w:val="center"/>
        <w:rPr>
          <w:rFonts w:ascii="黑体" w:hAnsi="黑体" w:eastAsia="黑体" w:cs="仿宋_GB2312"/>
          <w:color w:val="000000"/>
          <w:spacing w:val="10"/>
          <w:sz w:val="32"/>
          <w:szCs w:val="32"/>
        </w:rPr>
      </w:pPr>
      <w:r>
        <w:rPr>
          <w:rFonts w:hint="eastAsia" w:ascii="黑体" w:hAnsi="黑体" w:eastAsia="黑体" w:cs="仿宋_GB2312"/>
          <w:color w:val="000000"/>
          <w:spacing w:val="10"/>
          <w:sz w:val="32"/>
          <w:szCs w:val="32"/>
        </w:rPr>
        <w:t>第二章</w:t>
      </w:r>
      <w:r>
        <w:rPr>
          <w:rFonts w:hint="eastAsia" w:ascii="Calibri" w:hAnsi="Calibri" w:eastAsia="黑体" w:cs="Calibri"/>
          <w:color w:val="000000"/>
          <w:spacing w:val="10"/>
          <w:sz w:val="32"/>
          <w:szCs w:val="32"/>
        </w:rPr>
        <w:t xml:space="preserve">  </w:t>
      </w:r>
      <w:r>
        <w:rPr>
          <w:rFonts w:hint="eastAsia" w:ascii="黑体" w:hAnsi="黑体" w:eastAsia="黑体" w:cs="仿宋_GB2312"/>
          <w:color w:val="000000"/>
          <w:spacing w:val="10"/>
          <w:sz w:val="32"/>
          <w:szCs w:val="32"/>
        </w:rPr>
        <w:t>学校概况</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第五条</w:t>
      </w:r>
      <w:r>
        <w:rPr>
          <w:rFonts w:hint="eastAsia" w:ascii="黑体" w:hAnsi="黑体" w:eastAsia="黑体" w:cs="仿宋_GB2312"/>
          <w:b/>
          <w:color w:val="000000"/>
          <w:spacing w:val="10"/>
          <w:sz w:val="32"/>
          <w:szCs w:val="32"/>
        </w:rPr>
        <w:t xml:space="preserve">  </w:t>
      </w:r>
      <w:r>
        <w:rPr>
          <w:rFonts w:hint="eastAsia" w:ascii="仿宋_GB2312" w:hAnsi="仿宋_GB2312" w:eastAsia="仿宋_GB2312" w:cs="仿宋_GB2312"/>
          <w:color w:val="000000"/>
          <w:spacing w:val="10"/>
          <w:sz w:val="32"/>
          <w:szCs w:val="32"/>
        </w:rPr>
        <w:t>学校名称：山东师范大学。</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第六条</w:t>
      </w:r>
      <w:r>
        <w:rPr>
          <w:rFonts w:hint="eastAsia" w:ascii="仿宋_GB2312" w:hAnsi="仿宋_GB2312" w:eastAsia="仿宋_GB2312" w:cs="仿宋_GB2312"/>
          <w:b/>
          <w:color w:val="000000"/>
          <w:spacing w:val="10"/>
          <w:sz w:val="32"/>
          <w:szCs w:val="32"/>
        </w:rPr>
        <w:t xml:space="preserve">  </w:t>
      </w:r>
      <w:r>
        <w:rPr>
          <w:rFonts w:hint="eastAsia" w:ascii="仿宋_GB2312" w:hAnsi="仿宋_GB2312" w:eastAsia="仿宋_GB2312" w:cs="仿宋_GB2312"/>
          <w:color w:val="000000"/>
          <w:spacing w:val="10"/>
          <w:sz w:val="32"/>
          <w:szCs w:val="32"/>
        </w:rPr>
        <w:t>学校代码：10445。</w:t>
      </w:r>
    </w:p>
    <w:p>
      <w:pPr>
        <w:adjustRightInd w:val="0"/>
        <w:snapToGrid w:val="0"/>
        <w:spacing w:line="570" w:lineRule="exact"/>
        <w:ind w:firstLine="680" w:firstLineChars="200"/>
        <w:rPr>
          <w:rFonts w:ascii="仿宋_GB2312" w:hAnsi="仿宋_GB2312" w:eastAsia="仿宋_GB2312" w:cs="仿宋_GB2312"/>
          <w:b/>
          <w:color w:val="000000"/>
          <w:spacing w:val="10"/>
          <w:sz w:val="32"/>
          <w:szCs w:val="32"/>
        </w:rPr>
      </w:pPr>
      <w:r>
        <w:rPr>
          <w:rFonts w:hint="eastAsia" w:ascii="黑体" w:hAnsi="黑体" w:eastAsia="黑体" w:cs="仿宋_GB2312"/>
          <w:color w:val="000000"/>
          <w:spacing w:val="10"/>
          <w:sz w:val="32"/>
          <w:szCs w:val="32"/>
        </w:rPr>
        <w:t>第七条</w:t>
      </w:r>
      <w:r>
        <w:rPr>
          <w:rFonts w:hint="eastAsia" w:ascii="仿宋_GB2312" w:hAnsi="仿宋_GB2312" w:eastAsia="仿宋_GB2312" w:cs="仿宋_GB2312"/>
          <w:b/>
          <w:color w:val="000000"/>
          <w:spacing w:val="10"/>
          <w:sz w:val="32"/>
          <w:szCs w:val="32"/>
        </w:rPr>
        <w:t xml:space="preserve">  </w:t>
      </w:r>
      <w:r>
        <w:rPr>
          <w:rFonts w:hint="eastAsia" w:ascii="仿宋_GB2312" w:hAnsi="仿宋_GB2312" w:eastAsia="仿宋_GB2312" w:cs="仿宋_GB2312"/>
          <w:color w:val="000000"/>
          <w:spacing w:val="10"/>
          <w:sz w:val="32"/>
          <w:szCs w:val="32"/>
        </w:rPr>
        <w:t>办学类型：公办普通高等学校。</w:t>
      </w:r>
    </w:p>
    <w:p>
      <w:pPr>
        <w:adjustRightInd w:val="0"/>
        <w:snapToGrid w:val="0"/>
        <w:spacing w:line="570" w:lineRule="exact"/>
        <w:ind w:firstLine="680" w:firstLineChars="200"/>
        <w:rPr>
          <w:rFonts w:ascii="仿宋_GB2312" w:hAnsi="仿宋_GB2312" w:eastAsia="仿宋_GB2312" w:cs="仿宋_GB2312"/>
          <w:b/>
          <w:color w:val="000000"/>
          <w:spacing w:val="10"/>
          <w:sz w:val="32"/>
          <w:szCs w:val="32"/>
        </w:rPr>
      </w:pPr>
      <w:r>
        <w:rPr>
          <w:rFonts w:hint="eastAsia" w:ascii="黑体" w:hAnsi="黑体" w:eastAsia="黑体" w:cs="仿宋_GB2312"/>
          <w:color w:val="000000"/>
          <w:spacing w:val="10"/>
          <w:sz w:val="32"/>
          <w:szCs w:val="32"/>
        </w:rPr>
        <w:t>第八条</w:t>
      </w:r>
      <w:r>
        <w:rPr>
          <w:rFonts w:ascii="仿宋_GB2312" w:hAnsi="仿宋_GB2312" w:eastAsia="仿宋_GB2312" w:cs="仿宋_GB2312"/>
          <w:b/>
          <w:color w:val="000000"/>
          <w:spacing w:val="10"/>
          <w:sz w:val="32"/>
          <w:szCs w:val="32"/>
        </w:rPr>
        <w:t xml:space="preserve">  </w:t>
      </w:r>
      <w:r>
        <w:rPr>
          <w:rFonts w:hint="eastAsia" w:ascii="仿宋_GB2312" w:hAnsi="仿宋_GB2312" w:eastAsia="仿宋_GB2312" w:cs="仿宋_GB2312"/>
          <w:color w:val="000000"/>
          <w:spacing w:val="10"/>
          <w:sz w:val="32"/>
          <w:szCs w:val="32"/>
        </w:rPr>
        <w:t>办学层次：本科、研究生教育。</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第九条</w:t>
      </w:r>
      <w:r>
        <w:rPr>
          <w:rFonts w:ascii="仿宋_GB2312" w:hAnsi="仿宋_GB2312" w:eastAsia="仿宋_GB2312" w:cs="仿宋_GB2312"/>
          <w:b/>
          <w:color w:val="000000"/>
          <w:spacing w:val="10"/>
          <w:sz w:val="32"/>
          <w:szCs w:val="32"/>
        </w:rPr>
        <w:t xml:space="preserve">  </w:t>
      </w:r>
      <w:r>
        <w:rPr>
          <w:rFonts w:hint="eastAsia" w:ascii="仿宋_GB2312" w:hAnsi="仿宋_GB2312" w:eastAsia="仿宋_GB2312" w:cs="仿宋_GB2312"/>
          <w:color w:val="000000"/>
          <w:spacing w:val="10"/>
          <w:sz w:val="32"/>
          <w:szCs w:val="32"/>
        </w:rPr>
        <w:t>颁发毕业证书及学位证书学校名称：山东师范大学。</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第十条</w:t>
      </w:r>
      <w:r>
        <w:rPr>
          <w:rFonts w:ascii="黑体" w:hAnsi="黑体" w:eastAsia="黑体" w:cs="仿宋_GB2312"/>
          <w:color w:val="000000"/>
          <w:spacing w:val="10"/>
          <w:sz w:val="32"/>
          <w:szCs w:val="32"/>
        </w:rPr>
        <w:t xml:space="preserve">  </w:t>
      </w:r>
      <w:r>
        <w:rPr>
          <w:rFonts w:hint="eastAsia" w:ascii="仿宋_GB2312" w:hAnsi="仿宋_GB2312" w:eastAsia="仿宋_GB2312" w:cs="仿宋_GB2312"/>
          <w:color w:val="000000"/>
          <w:spacing w:val="10"/>
          <w:sz w:val="32"/>
          <w:szCs w:val="32"/>
        </w:rPr>
        <w:t>办学地点：山东省济南市长清区大学科技园大学路1号（长清湖校区）；山东省济南市历下区文化东路88号（千佛山校区）。</w:t>
      </w:r>
    </w:p>
    <w:p>
      <w:pPr>
        <w:spacing w:line="620" w:lineRule="exact"/>
        <w:jc w:val="center"/>
        <w:rPr>
          <w:rFonts w:ascii="黑体" w:hAnsi="黑体" w:eastAsia="黑体" w:cs="仿宋_GB2312"/>
          <w:color w:val="000000"/>
          <w:spacing w:val="10"/>
          <w:sz w:val="32"/>
          <w:szCs w:val="32"/>
        </w:rPr>
      </w:pPr>
      <w:r>
        <w:rPr>
          <w:rFonts w:hint="eastAsia" w:ascii="黑体" w:hAnsi="黑体" w:eastAsia="黑体" w:cs="仿宋_GB2312"/>
          <w:color w:val="000000"/>
          <w:spacing w:val="10"/>
          <w:sz w:val="32"/>
          <w:szCs w:val="32"/>
        </w:rPr>
        <w:t>第三章  组织机构</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第十一条 </w:t>
      </w:r>
      <w:r>
        <w:rPr>
          <w:rFonts w:hint="eastAsia" w:ascii="黑体" w:hAnsi="黑体" w:eastAsia="黑体" w:cs="仿宋_GB2312"/>
          <w:color w:val="000000" w:themeColor="text1"/>
          <w:spacing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10"/>
          <w:sz w:val="32"/>
          <w:szCs w:val="32"/>
          <w14:textFill>
            <w14:solidFill>
              <w14:schemeClr w14:val="tx1"/>
            </w14:solidFill>
          </w14:textFill>
        </w:rPr>
        <w:t>学校成立20</w:t>
      </w:r>
      <w:r>
        <w:rPr>
          <w:rFonts w:ascii="仿宋_GB2312" w:hAnsi="仿宋_GB2312" w:eastAsia="仿宋_GB2312" w:cs="仿宋_GB2312"/>
          <w:color w:val="000000" w:themeColor="text1"/>
          <w:spacing w:val="10"/>
          <w:sz w:val="32"/>
          <w:szCs w:val="32"/>
          <w14:textFill>
            <w14:solidFill>
              <w14:schemeClr w14:val="tx1"/>
            </w14:solidFill>
          </w14:textFill>
        </w:rPr>
        <w:t>20</w:t>
      </w:r>
      <w:r>
        <w:rPr>
          <w:rFonts w:hint="eastAsia" w:ascii="仿宋_GB2312" w:hAnsi="仿宋_GB2312" w:eastAsia="仿宋_GB2312" w:cs="仿宋_GB2312"/>
          <w:color w:val="000000" w:themeColor="text1"/>
          <w:spacing w:val="10"/>
          <w:sz w:val="32"/>
          <w:szCs w:val="32"/>
          <w14:textFill>
            <w14:solidFill>
              <w14:schemeClr w14:val="tx1"/>
            </w14:solidFill>
          </w14:textFill>
        </w:rPr>
        <w:t>年综合评价招生工作小组，在学校考试招生工作领导小组领导下开展工作，负</w:t>
      </w:r>
      <w:r>
        <w:rPr>
          <w:rFonts w:hint="eastAsia" w:ascii="仿宋_GB2312" w:hAnsi="仿宋_GB2312" w:eastAsia="仿宋_GB2312" w:cs="仿宋_GB2312"/>
          <w:color w:val="000000"/>
          <w:spacing w:val="10"/>
          <w:sz w:val="32"/>
          <w:szCs w:val="32"/>
        </w:rPr>
        <w:t>责综合评价招生工作的组织、协调与监督，并对重大事宜做出决策。</w:t>
      </w:r>
    </w:p>
    <w:p>
      <w:pPr>
        <w:adjustRightInd w:val="0"/>
        <w:snapToGrid w:val="0"/>
        <w:spacing w:line="570" w:lineRule="exact"/>
        <w:ind w:firstLine="680" w:firstLineChars="200"/>
        <w:rPr>
          <w:rFonts w:ascii="仿宋_GB2312" w:hAnsi="仿宋_GB2312" w:eastAsia="仿宋_GB2312" w:cs="仿宋_GB2312"/>
          <w:b/>
          <w:color w:val="000000"/>
          <w:spacing w:val="10"/>
          <w:sz w:val="32"/>
          <w:szCs w:val="32"/>
        </w:rPr>
      </w:pPr>
      <w:r>
        <w:rPr>
          <w:rFonts w:hint="eastAsia" w:ascii="黑体" w:hAnsi="黑体" w:eastAsia="黑体" w:cs="仿宋_GB2312"/>
          <w:color w:val="000000"/>
          <w:spacing w:val="10"/>
          <w:sz w:val="32"/>
          <w:szCs w:val="32"/>
        </w:rPr>
        <w:t xml:space="preserve">第十二条  </w:t>
      </w:r>
      <w:r>
        <w:rPr>
          <w:rFonts w:hint="eastAsia" w:ascii="仿宋_GB2312" w:hAnsi="仿宋_GB2312" w:eastAsia="仿宋_GB2312" w:cs="仿宋_GB2312"/>
          <w:color w:val="000000"/>
          <w:spacing w:val="10"/>
          <w:sz w:val="32"/>
          <w:szCs w:val="32"/>
        </w:rPr>
        <w:t>学校招生就业处是组织和实施招生工作的常设机构，具体负责综合评价招生日常工作。</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第十三条  </w:t>
      </w:r>
      <w:r>
        <w:rPr>
          <w:rFonts w:hint="eastAsia" w:ascii="仿宋_GB2312" w:hAnsi="仿宋_GB2312" w:eastAsia="仿宋_GB2312" w:cs="仿宋_GB2312"/>
          <w:color w:val="000000"/>
          <w:spacing w:val="10"/>
          <w:sz w:val="32"/>
          <w:szCs w:val="32"/>
        </w:rPr>
        <w:t>学校</w:t>
      </w:r>
      <w:bookmarkStart w:id="0" w:name="_Hlk42020086"/>
      <w:r>
        <w:rPr>
          <w:rFonts w:hint="eastAsia" w:ascii="仿宋_GB2312" w:hAnsi="仿宋_GB2312" w:eastAsia="仿宋_GB2312" w:cs="仿宋_GB2312"/>
          <w:color w:val="000000"/>
          <w:spacing w:val="10"/>
          <w:sz w:val="32"/>
          <w:szCs w:val="32"/>
        </w:rPr>
        <w:t>纪委（监察专员办公室）</w:t>
      </w:r>
      <w:bookmarkEnd w:id="0"/>
      <w:r>
        <w:rPr>
          <w:rFonts w:hint="eastAsia" w:ascii="仿宋_GB2312" w:hAnsi="仿宋_GB2312" w:eastAsia="仿宋_GB2312" w:cs="仿宋_GB2312"/>
          <w:color w:val="000000"/>
          <w:spacing w:val="10"/>
          <w:sz w:val="32"/>
          <w:szCs w:val="32"/>
        </w:rPr>
        <w:t>对综合评价招生工作进行全程监督，确保招生工作的公平、公正、公开。</w:t>
      </w:r>
    </w:p>
    <w:p>
      <w:pPr>
        <w:spacing w:line="620" w:lineRule="exact"/>
        <w:jc w:val="center"/>
        <w:rPr>
          <w:rFonts w:ascii="黑体" w:hAnsi="黑体" w:eastAsia="黑体" w:cs="仿宋_GB2312"/>
          <w:color w:val="000000"/>
          <w:spacing w:val="10"/>
          <w:sz w:val="32"/>
          <w:szCs w:val="32"/>
        </w:rPr>
      </w:pPr>
      <w:r>
        <w:rPr>
          <w:rFonts w:hint="eastAsia" w:ascii="黑体" w:hAnsi="黑体" w:eastAsia="黑体" w:cs="仿宋_GB2312"/>
          <w:color w:val="000000"/>
          <w:spacing w:val="10"/>
          <w:sz w:val="32"/>
          <w:szCs w:val="32"/>
        </w:rPr>
        <w:t>第四章  招生计划</w:t>
      </w:r>
    </w:p>
    <w:p>
      <w:pPr>
        <w:spacing w:line="620" w:lineRule="exact"/>
        <w:ind w:firstLine="680" w:firstLineChars="200"/>
        <w:jc w:val="left"/>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第十四条  </w:t>
      </w:r>
      <w:r>
        <w:rPr>
          <w:rFonts w:hint="eastAsia" w:ascii="仿宋_GB2312" w:hAnsi="仿宋_GB2312" w:eastAsia="仿宋_GB2312" w:cs="仿宋_GB2312"/>
          <w:color w:val="000000"/>
          <w:spacing w:val="10"/>
          <w:sz w:val="32"/>
          <w:szCs w:val="32"/>
        </w:rPr>
        <w:t>学校20</w:t>
      </w:r>
      <w:r>
        <w:rPr>
          <w:rFonts w:ascii="仿宋_GB2312" w:hAnsi="仿宋_GB2312" w:eastAsia="仿宋_GB2312" w:cs="仿宋_GB2312"/>
          <w:color w:val="000000"/>
          <w:spacing w:val="10"/>
          <w:sz w:val="32"/>
          <w:szCs w:val="32"/>
        </w:rPr>
        <w:t>20</w:t>
      </w:r>
      <w:r>
        <w:rPr>
          <w:rFonts w:hint="eastAsia" w:ascii="仿宋_GB2312" w:hAnsi="仿宋_GB2312" w:eastAsia="仿宋_GB2312" w:cs="仿宋_GB2312"/>
          <w:color w:val="000000"/>
          <w:spacing w:val="10"/>
          <w:sz w:val="32"/>
          <w:szCs w:val="32"/>
        </w:rPr>
        <w:t>年面向山东省设置综合评价招生计划3</w:t>
      </w:r>
      <w:r>
        <w:rPr>
          <w:rFonts w:ascii="仿宋_GB2312" w:hAnsi="仿宋_GB2312" w:eastAsia="仿宋_GB2312" w:cs="仿宋_GB2312"/>
          <w:color w:val="000000"/>
          <w:spacing w:val="10"/>
          <w:sz w:val="32"/>
          <w:szCs w:val="32"/>
        </w:rPr>
        <w:t>30</w:t>
      </w:r>
      <w:r>
        <w:rPr>
          <w:rFonts w:hint="eastAsia" w:ascii="仿宋_GB2312" w:hAnsi="仿宋_GB2312" w:eastAsia="仿宋_GB2312" w:cs="仿宋_GB2312"/>
          <w:color w:val="000000"/>
          <w:spacing w:val="10"/>
          <w:sz w:val="32"/>
          <w:szCs w:val="32"/>
        </w:rPr>
        <w:t>人，分专业计划如下：</w:t>
      </w:r>
    </w:p>
    <w:tbl>
      <w:tblPr>
        <w:tblStyle w:val="7"/>
        <w:tblW w:w="50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570"/>
        <w:gridCol w:w="2614"/>
        <w:gridCol w:w="798"/>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Align w:val="center"/>
          </w:tcPr>
          <w:p>
            <w:pPr>
              <w:snapToGrid w:val="0"/>
              <w:jc w:val="center"/>
              <w:rPr>
                <w:rFonts w:ascii="宋体" w:hAnsi="宋体" w:eastAsia="宋体" w:cs="仿宋_GB2312"/>
                <w:b/>
                <w:color w:val="000000"/>
                <w:spacing w:val="10"/>
                <w:sz w:val="24"/>
                <w:szCs w:val="24"/>
              </w:rPr>
            </w:pPr>
            <w:r>
              <w:rPr>
                <w:rFonts w:hint="eastAsia" w:ascii="宋体" w:hAnsi="宋体" w:eastAsia="宋体" w:cs="仿宋_GB2312"/>
                <w:b/>
                <w:color w:val="000000"/>
                <w:spacing w:val="10"/>
                <w:sz w:val="24"/>
                <w:szCs w:val="24"/>
              </w:rPr>
              <w:t>计划类型</w:t>
            </w:r>
          </w:p>
        </w:tc>
        <w:tc>
          <w:tcPr>
            <w:tcW w:w="919" w:type="pct"/>
            <w:vAlign w:val="center"/>
          </w:tcPr>
          <w:p>
            <w:pPr>
              <w:snapToGrid w:val="0"/>
              <w:jc w:val="center"/>
              <w:rPr>
                <w:rFonts w:ascii="宋体" w:hAnsi="宋体" w:eastAsia="宋体" w:cs="仿宋_GB2312"/>
                <w:b/>
                <w:color w:val="000000"/>
                <w:spacing w:val="10"/>
                <w:sz w:val="24"/>
                <w:szCs w:val="24"/>
              </w:rPr>
            </w:pPr>
            <w:r>
              <w:rPr>
                <w:rFonts w:hint="eastAsia" w:ascii="宋体" w:hAnsi="宋体" w:eastAsia="宋体" w:cs="仿宋_GB2312"/>
                <w:b/>
                <w:color w:val="000000"/>
                <w:spacing w:val="10"/>
                <w:sz w:val="24"/>
                <w:szCs w:val="24"/>
              </w:rPr>
              <w:t>学院</w:t>
            </w:r>
          </w:p>
        </w:tc>
        <w:tc>
          <w:tcPr>
            <w:tcW w:w="1530" w:type="pct"/>
            <w:vAlign w:val="center"/>
          </w:tcPr>
          <w:p>
            <w:pPr>
              <w:snapToGrid w:val="0"/>
              <w:jc w:val="center"/>
              <w:rPr>
                <w:rFonts w:ascii="宋体" w:hAnsi="宋体" w:eastAsia="宋体" w:cs="仿宋_GB2312"/>
                <w:b/>
                <w:color w:val="000000"/>
                <w:spacing w:val="10"/>
                <w:sz w:val="24"/>
                <w:szCs w:val="24"/>
              </w:rPr>
            </w:pPr>
            <w:r>
              <w:rPr>
                <w:rFonts w:hint="eastAsia" w:ascii="宋体" w:hAnsi="宋体" w:eastAsia="宋体" w:cs="仿宋_GB2312"/>
                <w:b/>
                <w:color w:val="000000"/>
                <w:spacing w:val="10"/>
                <w:sz w:val="24"/>
                <w:szCs w:val="24"/>
              </w:rPr>
              <w:t>招生专业</w:t>
            </w:r>
          </w:p>
        </w:tc>
        <w:tc>
          <w:tcPr>
            <w:tcW w:w="467" w:type="pct"/>
            <w:vAlign w:val="center"/>
          </w:tcPr>
          <w:p>
            <w:pPr>
              <w:snapToGrid w:val="0"/>
              <w:jc w:val="center"/>
              <w:rPr>
                <w:rFonts w:ascii="宋体" w:hAnsi="宋体" w:eastAsia="宋体" w:cs="仿宋_GB2312"/>
                <w:b/>
                <w:color w:val="000000"/>
                <w:spacing w:val="10"/>
                <w:sz w:val="24"/>
                <w:szCs w:val="24"/>
              </w:rPr>
            </w:pPr>
            <w:r>
              <w:rPr>
                <w:rFonts w:hint="eastAsia" w:ascii="宋体" w:hAnsi="宋体" w:eastAsia="宋体" w:cs="仿宋_GB2312"/>
                <w:b/>
                <w:color w:val="000000"/>
                <w:spacing w:val="10"/>
                <w:sz w:val="24"/>
                <w:szCs w:val="24"/>
              </w:rPr>
              <w:t>招生计划</w:t>
            </w:r>
          </w:p>
        </w:tc>
        <w:tc>
          <w:tcPr>
            <w:tcW w:w="1158" w:type="pct"/>
            <w:vAlign w:val="center"/>
          </w:tcPr>
          <w:p>
            <w:pPr>
              <w:snapToGrid w:val="0"/>
              <w:jc w:val="center"/>
              <w:rPr>
                <w:rFonts w:ascii="宋体" w:hAnsi="宋体" w:eastAsia="宋体" w:cs="仿宋_GB2312"/>
                <w:b/>
                <w:color w:val="000000"/>
                <w:spacing w:val="10"/>
                <w:sz w:val="24"/>
                <w:szCs w:val="24"/>
              </w:rPr>
            </w:pPr>
            <w:r>
              <w:rPr>
                <w:rFonts w:hint="eastAsia" w:ascii="宋体" w:hAnsi="宋体" w:eastAsia="宋体" w:cs="仿宋_GB2312"/>
                <w:b/>
                <w:color w:val="000000"/>
                <w:spacing w:val="10"/>
                <w:sz w:val="24"/>
                <w:szCs w:val="24"/>
              </w:rPr>
              <w:t>选考科目</w:t>
            </w:r>
          </w:p>
          <w:p>
            <w:pPr>
              <w:snapToGrid w:val="0"/>
              <w:jc w:val="center"/>
              <w:rPr>
                <w:rFonts w:ascii="宋体" w:hAnsi="宋体" w:eastAsia="宋体" w:cs="仿宋_GB2312"/>
                <w:b/>
                <w:color w:val="000000"/>
                <w:spacing w:val="10"/>
                <w:sz w:val="24"/>
                <w:szCs w:val="24"/>
              </w:rPr>
            </w:pPr>
            <w:r>
              <w:rPr>
                <w:rFonts w:hint="eastAsia" w:ascii="宋体" w:hAnsi="宋体" w:eastAsia="宋体" w:cs="仿宋_GB2312"/>
                <w:b/>
                <w:color w:val="000000"/>
                <w:spacing w:val="1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restar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卓越教师星辰计划</w:t>
            </w:r>
          </w:p>
        </w:tc>
        <w:tc>
          <w:tcPr>
            <w:tcW w:w="919" w:type="pct"/>
            <w:vMerge w:val="restar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教育学部</w:t>
            </w:r>
          </w:p>
        </w:tc>
        <w:tc>
          <w:tcPr>
            <w:tcW w:w="1530"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小学教育</w:t>
            </w:r>
          </w:p>
        </w:tc>
        <w:tc>
          <w:tcPr>
            <w:tcW w:w="467"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30</w:t>
            </w:r>
          </w:p>
        </w:tc>
        <w:tc>
          <w:tcPr>
            <w:tcW w:w="1158"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不提科目要求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vAlign w:val="center"/>
          </w:tcPr>
          <w:p>
            <w:pPr>
              <w:snapToGrid w:val="0"/>
              <w:jc w:val="center"/>
              <w:rPr>
                <w:rFonts w:ascii="宋体" w:hAnsi="宋体" w:eastAsia="宋体" w:cs="仿宋_GB2312"/>
                <w:color w:val="000000"/>
                <w:spacing w:val="10"/>
                <w:sz w:val="24"/>
                <w:szCs w:val="24"/>
              </w:rPr>
            </w:pPr>
          </w:p>
        </w:tc>
        <w:tc>
          <w:tcPr>
            <w:tcW w:w="919" w:type="pct"/>
            <w:vMerge w:val="continue"/>
            <w:vAlign w:val="center"/>
          </w:tcPr>
          <w:p>
            <w:pPr>
              <w:snapToGrid w:val="0"/>
              <w:jc w:val="center"/>
              <w:rPr>
                <w:rFonts w:ascii="宋体" w:hAnsi="宋体" w:eastAsia="宋体" w:cs="仿宋_GB2312"/>
                <w:color w:val="000000"/>
                <w:spacing w:val="10"/>
                <w:sz w:val="24"/>
                <w:szCs w:val="24"/>
              </w:rPr>
            </w:pPr>
          </w:p>
        </w:tc>
        <w:tc>
          <w:tcPr>
            <w:tcW w:w="1530"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学前教育</w:t>
            </w:r>
          </w:p>
        </w:tc>
        <w:tc>
          <w:tcPr>
            <w:tcW w:w="467"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30</w:t>
            </w:r>
          </w:p>
        </w:tc>
        <w:tc>
          <w:tcPr>
            <w:tcW w:w="1158"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不提科目要求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vAlign w:val="center"/>
          </w:tcPr>
          <w:p>
            <w:pPr>
              <w:snapToGrid w:val="0"/>
              <w:jc w:val="center"/>
              <w:rPr>
                <w:rFonts w:ascii="宋体" w:hAnsi="宋体" w:eastAsia="宋体" w:cs="仿宋_GB2312"/>
                <w:color w:val="000000"/>
                <w:spacing w:val="10"/>
                <w:sz w:val="24"/>
                <w:szCs w:val="24"/>
              </w:rPr>
            </w:pPr>
          </w:p>
        </w:tc>
        <w:tc>
          <w:tcPr>
            <w:tcW w:w="919" w:type="pct"/>
            <w:vMerge w:val="continue"/>
            <w:vAlign w:val="center"/>
          </w:tcPr>
          <w:p>
            <w:pPr>
              <w:snapToGrid w:val="0"/>
              <w:jc w:val="center"/>
              <w:rPr>
                <w:rFonts w:ascii="宋体" w:hAnsi="宋体" w:eastAsia="宋体" w:cs="仿宋_GB2312"/>
                <w:color w:val="000000"/>
                <w:spacing w:val="10"/>
                <w:sz w:val="24"/>
                <w:szCs w:val="24"/>
              </w:rPr>
            </w:pPr>
          </w:p>
        </w:tc>
        <w:tc>
          <w:tcPr>
            <w:tcW w:w="1530"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教育技术学</w:t>
            </w:r>
          </w:p>
        </w:tc>
        <w:tc>
          <w:tcPr>
            <w:tcW w:w="467"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30</w:t>
            </w:r>
          </w:p>
        </w:tc>
        <w:tc>
          <w:tcPr>
            <w:tcW w:w="1158"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物理</w:t>
            </w:r>
            <w:r>
              <w:rPr>
                <w:rFonts w:ascii="宋体" w:hAnsi="宋体" w:eastAsia="宋体" w:cs="仿宋_GB2312"/>
                <w:color w:val="000000"/>
                <w:spacing w:val="10"/>
                <w:sz w:val="24"/>
                <w:szCs w:val="24"/>
              </w:rPr>
              <w:t>(1门科目考生必须选考方可报考)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restar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东岳学堂计划</w:t>
            </w:r>
          </w:p>
        </w:tc>
        <w:tc>
          <w:tcPr>
            <w:tcW w:w="919"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文学院</w:t>
            </w:r>
          </w:p>
        </w:tc>
        <w:tc>
          <w:tcPr>
            <w:tcW w:w="1530"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汉语言文学（文化创意产业人才卓越班）</w:t>
            </w:r>
          </w:p>
        </w:tc>
        <w:tc>
          <w:tcPr>
            <w:tcW w:w="467"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30</w:t>
            </w:r>
          </w:p>
        </w:tc>
        <w:tc>
          <w:tcPr>
            <w:tcW w:w="1158"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不提科目要求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vAlign w:val="center"/>
          </w:tcPr>
          <w:p>
            <w:pPr>
              <w:snapToGrid w:val="0"/>
              <w:jc w:val="center"/>
              <w:rPr>
                <w:rFonts w:ascii="宋体" w:hAnsi="宋体" w:eastAsia="宋体" w:cs="仿宋_GB2312"/>
                <w:color w:val="000000"/>
                <w:spacing w:val="10"/>
                <w:sz w:val="24"/>
                <w:szCs w:val="24"/>
              </w:rPr>
            </w:pPr>
          </w:p>
        </w:tc>
        <w:tc>
          <w:tcPr>
            <w:tcW w:w="919"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外国语学院</w:t>
            </w:r>
          </w:p>
        </w:tc>
        <w:tc>
          <w:tcPr>
            <w:tcW w:w="1530"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英语（英法复语国际人才卓越班）</w:t>
            </w:r>
          </w:p>
        </w:tc>
        <w:tc>
          <w:tcPr>
            <w:tcW w:w="467"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3</w:t>
            </w:r>
            <w:r>
              <w:rPr>
                <w:rFonts w:ascii="宋体" w:hAnsi="宋体" w:eastAsia="宋体" w:cs="仿宋_GB2312"/>
                <w:color w:val="000000"/>
                <w:spacing w:val="10"/>
                <w:sz w:val="24"/>
                <w:szCs w:val="24"/>
              </w:rPr>
              <w:t>0</w:t>
            </w:r>
          </w:p>
        </w:tc>
        <w:tc>
          <w:tcPr>
            <w:tcW w:w="1158"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不提科目要求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restar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国际联合培养计划</w:t>
            </w:r>
          </w:p>
        </w:tc>
        <w:tc>
          <w:tcPr>
            <w:tcW w:w="919"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经济学院</w:t>
            </w:r>
          </w:p>
        </w:tc>
        <w:tc>
          <w:tcPr>
            <w:tcW w:w="1530"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金融学（与英国阿伯丁大学联合培养）</w:t>
            </w:r>
          </w:p>
        </w:tc>
        <w:tc>
          <w:tcPr>
            <w:tcW w:w="467"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3</w:t>
            </w:r>
            <w:r>
              <w:rPr>
                <w:rFonts w:ascii="宋体" w:hAnsi="宋体" w:eastAsia="宋体" w:cs="仿宋_GB2312"/>
                <w:color w:val="000000"/>
                <w:spacing w:val="10"/>
                <w:sz w:val="24"/>
                <w:szCs w:val="24"/>
              </w:rPr>
              <w:t>0</w:t>
            </w:r>
          </w:p>
        </w:tc>
        <w:tc>
          <w:tcPr>
            <w:tcW w:w="1158"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不提科目要求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vAlign w:val="center"/>
          </w:tcPr>
          <w:p>
            <w:pPr>
              <w:snapToGrid w:val="0"/>
              <w:jc w:val="left"/>
              <w:rPr>
                <w:rFonts w:ascii="宋体" w:hAnsi="宋体" w:eastAsia="宋体" w:cs="仿宋_GB2312"/>
                <w:color w:val="000000"/>
                <w:spacing w:val="10"/>
                <w:sz w:val="24"/>
                <w:szCs w:val="24"/>
              </w:rPr>
            </w:pPr>
          </w:p>
        </w:tc>
        <w:tc>
          <w:tcPr>
            <w:tcW w:w="919"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化学化工与材料科学学院</w:t>
            </w:r>
          </w:p>
        </w:tc>
        <w:tc>
          <w:tcPr>
            <w:tcW w:w="1530"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化学（与加拿大滑铁卢大学联合培养）</w:t>
            </w:r>
          </w:p>
        </w:tc>
        <w:tc>
          <w:tcPr>
            <w:tcW w:w="467"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3</w:t>
            </w:r>
            <w:r>
              <w:rPr>
                <w:rFonts w:ascii="宋体" w:hAnsi="宋体" w:eastAsia="宋体" w:cs="仿宋_GB2312"/>
                <w:color w:val="000000"/>
                <w:spacing w:val="10"/>
                <w:sz w:val="24"/>
                <w:szCs w:val="24"/>
              </w:rPr>
              <w:t>0</w:t>
            </w:r>
          </w:p>
        </w:tc>
        <w:tc>
          <w:tcPr>
            <w:tcW w:w="1158"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化学(</w:t>
            </w:r>
            <w:r>
              <w:rPr>
                <w:rFonts w:ascii="宋体" w:hAnsi="宋体" w:eastAsia="宋体" w:cs="仿宋_GB2312"/>
                <w:color w:val="000000"/>
                <w:spacing w:val="10"/>
                <w:sz w:val="24"/>
                <w:szCs w:val="24"/>
              </w:rPr>
              <w:t>1</w:t>
            </w:r>
            <w:r>
              <w:rPr>
                <w:rFonts w:hint="eastAsia" w:ascii="宋体" w:hAnsi="宋体" w:eastAsia="宋体" w:cs="仿宋_GB2312"/>
                <w:color w:val="000000"/>
                <w:spacing w:val="10"/>
                <w:sz w:val="24"/>
                <w:szCs w:val="24"/>
              </w:rPr>
              <w:t>门科目考生必须选考方可报考</w:t>
            </w:r>
            <w:r>
              <w:rPr>
                <w:rFonts w:ascii="宋体" w:hAnsi="宋体" w:eastAsia="宋体" w:cs="仿宋_GB2312"/>
                <w:color w:val="000000"/>
                <w:spacing w:val="1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vAlign w:val="center"/>
          </w:tcPr>
          <w:p>
            <w:pPr>
              <w:snapToGrid w:val="0"/>
              <w:jc w:val="left"/>
              <w:rPr>
                <w:rFonts w:ascii="宋体" w:hAnsi="宋体" w:eastAsia="宋体" w:cs="仿宋_GB2312"/>
                <w:color w:val="000000"/>
                <w:spacing w:val="10"/>
                <w:sz w:val="24"/>
                <w:szCs w:val="24"/>
              </w:rPr>
            </w:pPr>
          </w:p>
        </w:tc>
        <w:tc>
          <w:tcPr>
            <w:tcW w:w="919"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物理与电子科学学院</w:t>
            </w:r>
          </w:p>
        </w:tc>
        <w:tc>
          <w:tcPr>
            <w:tcW w:w="1530"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物理学（与加拿大滑铁卢大学联合培养）</w:t>
            </w:r>
          </w:p>
        </w:tc>
        <w:tc>
          <w:tcPr>
            <w:tcW w:w="467"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3</w:t>
            </w:r>
            <w:r>
              <w:rPr>
                <w:rFonts w:ascii="宋体" w:hAnsi="宋体" w:eastAsia="宋体" w:cs="仿宋_GB2312"/>
                <w:color w:val="000000"/>
                <w:spacing w:val="10"/>
                <w:sz w:val="24"/>
                <w:szCs w:val="24"/>
              </w:rPr>
              <w:t>0</w:t>
            </w:r>
          </w:p>
        </w:tc>
        <w:tc>
          <w:tcPr>
            <w:tcW w:w="1158"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物理</w:t>
            </w:r>
            <w:r>
              <w:rPr>
                <w:rFonts w:ascii="宋体" w:hAnsi="宋体" w:eastAsia="宋体" w:cs="仿宋_GB2312"/>
                <w:color w:val="000000"/>
                <w:spacing w:val="10"/>
                <w:sz w:val="24"/>
                <w:szCs w:val="24"/>
              </w:rPr>
              <w:t>(1门科目考生必须选考方可报考)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vAlign w:val="center"/>
          </w:tcPr>
          <w:p>
            <w:pPr>
              <w:snapToGrid w:val="0"/>
              <w:jc w:val="left"/>
              <w:rPr>
                <w:rFonts w:ascii="宋体" w:hAnsi="宋体" w:eastAsia="宋体" w:cs="仿宋_GB2312"/>
                <w:color w:val="000000"/>
                <w:spacing w:val="10"/>
                <w:sz w:val="24"/>
                <w:szCs w:val="24"/>
              </w:rPr>
            </w:pPr>
          </w:p>
        </w:tc>
        <w:tc>
          <w:tcPr>
            <w:tcW w:w="919"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生命科学学院</w:t>
            </w:r>
          </w:p>
        </w:tc>
        <w:tc>
          <w:tcPr>
            <w:tcW w:w="1530"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生物技术（与英国阿伯丁大学联合培养）</w:t>
            </w:r>
          </w:p>
        </w:tc>
        <w:tc>
          <w:tcPr>
            <w:tcW w:w="467"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3</w:t>
            </w:r>
            <w:r>
              <w:rPr>
                <w:rFonts w:ascii="宋体" w:hAnsi="宋体" w:eastAsia="宋体" w:cs="仿宋_GB2312"/>
                <w:color w:val="000000"/>
                <w:spacing w:val="10"/>
                <w:sz w:val="24"/>
                <w:szCs w:val="24"/>
              </w:rPr>
              <w:t>0</w:t>
            </w:r>
          </w:p>
        </w:tc>
        <w:tc>
          <w:tcPr>
            <w:tcW w:w="1158"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物理，化学，生物（3门科目考生选考其中1门即可报考）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vAlign w:val="center"/>
          </w:tcPr>
          <w:p>
            <w:pPr>
              <w:snapToGrid w:val="0"/>
              <w:jc w:val="left"/>
              <w:rPr>
                <w:rFonts w:ascii="宋体" w:hAnsi="宋体" w:eastAsia="宋体" w:cs="仿宋_GB2312"/>
                <w:color w:val="000000"/>
                <w:spacing w:val="10"/>
                <w:sz w:val="24"/>
                <w:szCs w:val="24"/>
              </w:rPr>
            </w:pPr>
          </w:p>
        </w:tc>
        <w:tc>
          <w:tcPr>
            <w:tcW w:w="919" w:type="pct"/>
            <w:vMerge w:val="restar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信息科学与工程学院</w:t>
            </w:r>
          </w:p>
        </w:tc>
        <w:tc>
          <w:tcPr>
            <w:tcW w:w="1530"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计算机科学与技术（与美国辛辛那提大学联合培养）</w:t>
            </w:r>
          </w:p>
        </w:tc>
        <w:tc>
          <w:tcPr>
            <w:tcW w:w="467"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3</w:t>
            </w:r>
            <w:r>
              <w:rPr>
                <w:rFonts w:ascii="宋体" w:hAnsi="宋体" w:eastAsia="宋体" w:cs="仿宋_GB2312"/>
                <w:color w:val="000000"/>
                <w:spacing w:val="10"/>
                <w:sz w:val="24"/>
                <w:szCs w:val="24"/>
              </w:rPr>
              <w:t>0</w:t>
            </w:r>
          </w:p>
        </w:tc>
        <w:tc>
          <w:tcPr>
            <w:tcW w:w="1158"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物理</w:t>
            </w:r>
            <w:r>
              <w:rPr>
                <w:rFonts w:ascii="宋体" w:hAnsi="宋体" w:eastAsia="宋体" w:cs="仿宋_GB2312"/>
                <w:color w:val="000000"/>
                <w:spacing w:val="10"/>
                <w:sz w:val="24"/>
                <w:szCs w:val="24"/>
              </w:rPr>
              <w:t>(1门科目考生必须选考方可报考)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pct"/>
            <w:vMerge w:val="continue"/>
            <w:vAlign w:val="center"/>
          </w:tcPr>
          <w:p>
            <w:pPr>
              <w:snapToGrid w:val="0"/>
              <w:jc w:val="left"/>
              <w:rPr>
                <w:rFonts w:ascii="宋体" w:hAnsi="宋体" w:eastAsia="宋体" w:cs="仿宋_GB2312"/>
                <w:color w:val="000000"/>
                <w:spacing w:val="10"/>
                <w:sz w:val="24"/>
                <w:szCs w:val="24"/>
              </w:rPr>
            </w:pPr>
          </w:p>
        </w:tc>
        <w:tc>
          <w:tcPr>
            <w:tcW w:w="919" w:type="pct"/>
            <w:vMerge w:val="continue"/>
            <w:vAlign w:val="center"/>
          </w:tcPr>
          <w:p>
            <w:pPr>
              <w:snapToGrid w:val="0"/>
              <w:jc w:val="left"/>
              <w:rPr>
                <w:rFonts w:ascii="宋体" w:hAnsi="宋体" w:eastAsia="宋体" w:cs="仿宋_GB2312"/>
                <w:color w:val="000000"/>
                <w:spacing w:val="10"/>
                <w:sz w:val="24"/>
                <w:szCs w:val="24"/>
              </w:rPr>
            </w:pPr>
          </w:p>
        </w:tc>
        <w:tc>
          <w:tcPr>
            <w:tcW w:w="1530"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通信工程（与美国肯塔基大学联合培养）</w:t>
            </w:r>
          </w:p>
        </w:tc>
        <w:tc>
          <w:tcPr>
            <w:tcW w:w="467"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3</w:t>
            </w:r>
            <w:r>
              <w:rPr>
                <w:rFonts w:ascii="宋体" w:hAnsi="宋体" w:eastAsia="宋体" w:cs="仿宋_GB2312"/>
                <w:color w:val="000000"/>
                <w:spacing w:val="10"/>
                <w:sz w:val="24"/>
                <w:szCs w:val="24"/>
              </w:rPr>
              <w:t>0</w:t>
            </w:r>
          </w:p>
        </w:tc>
        <w:tc>
          <w:tcPr>
            <w:tcW w:w="1158" w:type="pct"/>
            <w:vAlign w:val="center"/>
          </w:tcPr>
          <w:p>
            <w:pPr>
              <w:snapToGrid w:val="0"/>
              <w:jc w:val="center"/>
              <w:rPr>
                <w:rFonts w:ascii="宋体" w:hAnsi="宋体" w:eastAsia="宋体" w:cs="仿宋_GB2312"/>
                <w:color w:val="000000"/>
                <w:spacing w:val="10"/>
                <w:sz w:val="24"/>
                <w:szCs w:val="24"/>
              </w:rPr>
            </w:pPr>
            <w:r>
              <w:rPr>
                <w:rFonts w:hint="eastAsia" w:ascii="宋体" w:hAnsi="宋体" w:eastAsia="宋体" w:cs="仿宋_GB2312"/>
                <w:color w:val="000000"/>
                <w:spacing w:val="10"/>
                <w:sz w:val="24"/>
                <w:szCs w:val="24"/>
              </w:rPr>
              <w:t>物理</w:t>
            </w:r>
            <w:r>
              <w:rPr>
                <w:rFonts w:ascii="宋体" w:hAnsi="宋体" w:eastAsia="宋体" w:cs="仿宋_GB2312"/>
                <w:color w:val="000000"/>
                <w:spacing w:val="10"/>
                <w:sz w:val="24"/>
                <w:szCs w:val="24"/>
              </w:rPr>
              <w:t>(1门科目考生必须选考方可报考)</w:t>
            </w:r>
          </w:p>
        </w:tc>
      </w:tr>
    </w:tbl>
    <w:p>
      <w:pPr>
        <w:widowControl/>
        <w:shd w:val="clear" w:color="auto" w:fill="FFFFFF"/>
        <w:spacing w:before="360" w:after="360" w:line="315" w:lineRule="atLeast"/>
        <w:ind w:firstLine="240" w:firstLineChars="100"/>
        <w:rPr>
          <w:rFonts w:ascii="宋体" w:hAnsi="宋体" w:eastAsia="宋体" w:cs="宋体"/>
          <w:color w:val="333333"/>
          <w:kern w:val="0"/>
          <w:sz w:val="24"/>
          <w:szCs w:val="24"/>
        </w:rPr>
      </w:pPr>
      <w:r>
        <w:rPr>
          <w:rFonts w:hint="eastAsia" w:ascii="宋体" w:hAnsi="宋体" w:eastAsia="宋体" w:cs="宋体"/>
          <w:color w:val="333333"/>
          <w:kern w:val="0"/>
          <w:sz w:val="24"/>
          <w:szCs w:val="24"/>
        </w:rPr>
        <w:t>注：各专业招生计划以上级主管部门公布为准，可根据生源情况适当调整。</w:t>
      </w:r>
    </w:p>
    <w:p>
      <w:pPr>
        <w:spacing w:line="620" w:lineRule="exact"/>
        <w:jc w:val="center"/>
        <w:rPr>
          <w:rFonts w:ascii="黑体" w:hAnsi="黑体" w:eastAsia="黑体" w:cs="仿宋_GB2312"/>
          <w:color w:val="000000"/>
          <w:spacing w:val="10"/>
          <w:sz w:val="32"/>
          <w:szCs w:val="32"/>
        </w:rPr>
      </w:pPr>
      <w:r>
        <w:rPr>
          <w:rFonts w:hint="eastAsia" w:ascii="黑体" w:hAnsi="黑体" w:eastAsia="黑体" w:cs="仿宋_GB2312"/>
          <w:color w:val="000000"/>
          <w:spacing w:val="10"/>
          <w:sz w:val="32"/>
          <w:szCs w:val="32"/>
        </w:rPr>
        <w:t>第五章  报名办法</w:t>
      </w:r>
    </w:p>
    <w:p>
      <w:pPr>
        <w:spacing w:line="620" w:lineRule="exact"/>
        <w:ind w:firstLine="680" w:firstLineChars="200"/>
        <w:jc w:val="left"/>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第十五条  </w:t>
      </w:r>
      <w:r>
        <w:rPr>
          <w:rFonts w:hint="eastAsia" w:ascii="仿宋_GB2312" w:hAnsi="仿宋_GB2312" w:eastAsia="仿宋_GB2312" w:cs="仿宋_GB2312"/>
          <w:color w:val="000000"/>
          <w:spacing w:val="10"/>
          <w:sz w:val="32"/>
          <w:szCs w:val="32"/>
        </w:rPr>
        <w:t>选拔对象</w:t>
      </w:r>
    </w:p>
    <w:p>
      <w:pPr>
        <w:spacing w:line="620" w:lineRule="exact"/>
        <w:ind w:firstLine="680" w:firstLineChars="200"/>
        <w:jc w:val="left"/>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具有创新潜质、身心健康、品学兼优、专业意向明确、综合素质全面的优秀学生。</w:t>
      </w:r>
    </w:p>
    <w:p>
      <w:pPr>
        <w:spacing w:line="620" w:lineRule="exact"/>
        <w:ind w:firstLine="680" w:firstLineChars="200"/>
        <w:jc w:val="left"/>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第十六条  </w:t>
      </w:r>
      <w:r>
        <w:rPr>
          <w:rFonts w:hint="eastAsia" w:ascii="仿宋_GB2312" w:hAnsi="仿宋_GB2312" w:eastAsia="仿宋_GB2312" w:cs="仿宋_GB2312"/>
          <w:color w:val="000000"/>
          <w:spacing w:val="10"/>
          <w:sz w:val="32"/>
          <w:szCs w:val="32"/>
        </w:rPr>
        <w:t>报名条件</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通过山东省20</w:t>
      </w:r>
      <w:r>
        <w:rPr>
          <w:rFonts w:ascii="仿宋_GB2312" w:hAnsi="仿宋_GB2312" w:eastAsia="仿宋_GB2312" w:cs="仿宋_GB2312"/>
          <w:color w:val="000000"/>
          <w:spacing w:val="10"/>
          <w:sz w:val="32"/>
          <w:szCs w:val="32"/>
        </w:rPr>
        <w:t>20</w:t>
      </w:r>
      <w:r>
        <w:rPr>
          <w:rFonts w:hint="eastAsia" w:ascii="仿宋_GB2312" w:hAnsi="仿宋_GB2312" w:eastAsia="仿宋_GB2312" w:cs="仿宋_GB2312"/>
          <w:color w:val="000000"/>
          <w:spacing w:val="10"/>
          <w:sz w:val="32"/>
          <w:szCs w:val="32"/>
        </w:rPr>
        <w:t>年普通高等学校招生考试夏季高考报名，高中学业水平合格考试各科成绩均为合格（往届毕业生高中学业水平测试成绩为6</w:t>
      </w:r>
      <w:r>
        <w:rPr>
          <w:rFonts w:ascii="仿宋_GB2312" w:hAnsi="仿宋_GB2312" w:eastAsia="仿宋_GB2312" w:cs="仿宋_GB2312"/>
          <w:color w:val="000000"/>
          <w:spacing w:val="10"/>
          <w:sz w:val="32"/>
          <w:szCs w:val="32"/>
        </w:rPr>
        <w:t>A4B</w:t>
      </w:r>
      <w:r>
        <w:rPr>
          <w:rFonts w:hint="eastAsia" w:ascii="仿宋_GB2312" w:hAnsi="仿宋_GB2312" w:eastAsia="仿宋_GB2312" w:cs="仿宋_GB2312"/>
          <w:color w:val="000000"/>
          <w:spacing w:val="10"/>
          <w:sz w:val="32"/>
          <w:szCs w:val="32"/>
        </w:rPr>
        <w:t>及以上），考生选考科目应符合招生专业（类）规定的选考科目。高中三年参加不少于</w:t>
      </w:r>
      <w:r>
        <w:rPr>
          <w:rFonts w:ascii="仿宋_GB2312" w:hAnsi="仿宋_GB2312" w:eastAsia="仿宋_GB2312" w:cs="仿宋_GB2312"/>
          <w:color w:val="000000"/>
          <w:spacing w:val="10"/>
          <w:sz w:val="32"/>
          <w:szCs w:val="32"/>
        </w:rPr>
        <w:t>10个工作日的社区服务和1周社会实践，并完成不少于6学分的考察探究活动（研究性学习、研学旅行、野外考察</w:t>
      </w:r>
      <w:r>
        <w:rPr>
          <w:rFonts w:hint="eastAsia" w:ascii="仿宋_GB2312" w:hAnsi="仿宋_GB2312" w:eastAsia="仿宋_GB2312" w:cs="仿宋_GB2312"/>
          <w:color w:val="000000"/>
          <w:spacing w:val="10"/>
          <w:sz w:val="32"/>
          <w:szCs w:val="32"/>
        </w:rPr>
        <w:t>等</w:t>
      </w:r>
      <w:r>
        <w:rPr>
          <w:rFonts w:ascii="仿宋_GB2312" w:hAnsi="仿宋_GB2312" w:eastAsia="仿宋_GB2312" w:cs="仿宋_GB2312"/>
          <w:color w:val="000000"/>
          <w:spacing w:val="10"/>
          <w:sz w:val="32"/>
          <w:szCs w:val="32"/>
        </w:rPr>
        <w:t>）</w:t>
      </w:r>
      <w:r>
        <w:rPr>
          <w:rFonts w:hint="eastAsia" w:ascii="仿宋_GB2312" w:hAnsi="仿宋_GB2312" w:eastAsia="仿宋_GB2312" w:cs="仿宋_GB2312"/>
          <w:color w:val="000000"/>
          <w:spacing w:val="10"/>
          <w:sz w:val="32"/>
          <w:szCs w:val="32"/>
        </w:rPr>
        <w:t>，完成规定的自主选修学分学习，需满足报考专业对应的报考条件，方可参加我校综合评价招生：</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（一）学前教育专业</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高中阶段获全国中小学生艺术展演活动个人项目三等奖及以上；或高中阶段在省级教育部门举办的中学生艺术赛事中获个人项目二等奖及以上；或获得音乐类、舞蹈类专业考级6级及以上证书。</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（二）学前教育以外的其他综合评价招生专业需满足以下条件之一：</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1</w:t>
      </w:r>
      <w:r>
        <w:rPr>
          <w:rFonts w:ascii="仿宋_GB2312" w:hAnsi="仿宋_GB2312" w:eastAsia="仿宋_GB2312" w:cs="仿宋_GB2312"/>
          <w:color w:val="000000"/>
          <w:spacing w:val="10"/>
          <w:sz w:val="32"/>
          <w:szCs w:val="32"/>
        </w:rPr>
        <w:t>.</w:t>
      </w:r>
      <w:r>
        <w:rPr>
          <w:rFonts w:hint="eastAsia" w:ascii="仿宋_GB2312" w:hAnsi="仿宋_GB2312" w:eastAsia="仿宋_GB2312" w:cs="仿宋_GB2312"/>
          <w:color w:val="000000"/>
          <w:spacing w:val="10"/>
          <w:sz w:val="32"/>
          <w:szCs w:val="32"/>
        </w:rPr>
        <w:t>一类条件</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（1）学科竞赛类：高中阶段在国际科学与工程大奖赛或国际环境科研项目奥林匹克竞赛中获奖，或在全国高中数学联赛(中国数学会主办)、全国中学生物理竞赛(中国物理学会主办)、中国化学奥林匹克竞赛 (中国化学会主办)、全国青少年信息学奥林匹克联赛(中国计算机学会主办)、全国中学生生物学联赛(中国动物学会、中国植物学会主办)中获得三等奖及以上。</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2）科技创新类：高中阶段以第一作者在全国青少年科技创新大赛（含全国青少年生物和环境科学实践活动）或全国中小学电脑制作活动，或在全国“明天小小科学家”活动中获得全国三等奖及以上；或以第一发明人取得发明专利（不含外观专利、实用新型专利）。</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3）语言文学特长类：高中阶段以第一作者正式出版文学专著或在全国性作文比赛中获奖（包括“叶圣陶杯”全国中学生新作文大赛决赛三等奖及以上、全国中学生新概念作文大赛全国决赛三等奖及以上、全国中小学生创新作文大赛（北京大学中国语言文学系主办）总决赛三等奖及以上、“语文报杯”全国中学生作文大赛现场决赛国家级二等奖及以上）；或在全国创新英语大赛获二等奖及以上；或在全国中学生英语能力竞赛中获一等奖及以上；全国奥林匹克英语作文大赛高中组国家级二等奖及以上。</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2</w:t>
      </w:r>
      <w:r>
        <w:rPr>
          <w:rFonts w:ascii="仿宋_GB2312" w:hAnsi="仿宋_GB2312" w:eastAsia="仿宋_GB2312" w:cs="仿宋_GB2312"/>
          <w:color w:val="000000"/>
          <w:spacing w:val="10"/>
          <w:sz w:val="32"/>
          <w:szCs w:val="32"/>
        </w:rPr>
        <w:t>.</w:t>
      </w:r>
      <w:r>
        <w:rPr>
          <w:rFonts w:hint="eastAsia" w:ascii="仿宋_GB2312" w:hAnsi="仿宋_GB2312" w:eastAsia="仿宋_GB2312" w:cs="仿宋_GB2312"/>
          <w:color w:val="000000"/>
          <w:spacing w:val="10"/>
          <w:sz w:val="32"/>
          <w:szCs w:val="32"/>
        </w:rPr>
        <w:t>二类条件</w:t>
      </w:r>
    </w:p>
    <w:p>
      <w:pPr>
        <w:widowControl/>
        <w:spacing w:line="360" w:lineRule="auto"/>
        <w:ind w:firstLine="555"/>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（1）学科竞赛类：高中阶段在某一学科领域有特长并获得过省级三等奖及以上者。</w:t>
      </w:r>
    </w:p>
    <w:p>
      <w:pPr>
        <w:widowControl/>
        <w:spacing w:line="360" w:lineRule="auto"/>
        <w:ind w:firstLine="555"/>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（2）科技创新类：高中阶段积极参加科技创新活动并获得过省级三等奖及以上奖励者。</w:t>
      </w:r>
    </w:p>
    <w:p>
      <w:pPr>
        <w:widowControl/>
        <w:spacing w:line="360" w:lineRule="auto"/>
        <w:ind w:firstLine="555"/>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（3）语言文学特长类：高中阶段在语言、文学方面有兴趣和专长并获得过省级三等奖及以上者。</w:t>
      </w:r>
    </w:p>
    <w:p>
      <w:pPr>
        <w:widowControl/>
        <w:spacing w:line="360" w:lineRule="auto"/>
        <w:ind w:firstLine="555"/>
        <w:jc w:val="left"/>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（4）其他能证明自己特长或潜质的写实性材料，如省优秀学生干部、省三好学生等。</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第十七条  </w:t>
      </w:r>
      <w:r>
        <w:rPr>
          <w:rFonts w:hint="eastAsia" w:ascii="仿宋_GB2312" w:hAnsi="仿宋_GB2312" w:eastAsia="仿宋_GB2312" w:cs="仿宋_GB2312"/>
          <w:color w:val="000000"/>
          <w:spacing w:val="10"/>
          <w:sz w:val="32"/>
          <w:szCs w:val="32"/>
        </w:rPr>
        <w:t>报名时间</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20</w:t>
      </w:r>
      <w:r>
        <w:rPr>
          <w:rFonts w:ascii="仿宋_GB2312" w:hAnsi="仿宋_GB2312" w:eastAsia="仿宋_GB2312" w:cs="仿宋_GB2312"/>
          <w:color w:val="000000"/>
          <w:spacing w:val="10"/>
          <w:sz w:val="32"/>
          <w:szCs w:val="32"/>
        </w:rPr>
        <w:t>20</w:t>
      </w:r>
      <w:r>
        <w:rPr>
          <w:rFonts w:hint="eastAsia" w:ascii="仿宋_GB2312" w:hAnsi="仿宋_GB2312" w:eastAsia="仿宋_GB2312" w:cs="仿宋_GB2312"/>
          <w:color w:val="000000"/>
          <w:spacing w:val="10"/>
          <w:sz w:val="32"/>
          <w:szCs w:val="32"/>
        </w:rPr>
        <w:t>年</w:t>
      </w:r>
      <w:r>
        <w:rPr>
          <w:rFonts w:ascii="仿宋_GB2312" w:hAnsi="仿宋_GB2312" w:eastAsia="仿宋_GB2312" w:cs="仿宋_GB2312"/>
          <w:color w:val="000000"/>
          <w:spacing w:val="10"/>
          <w:sz w:val="32"/>
          <w:szCs w:val="32"/>
        </w:rPr>
        <w:t>6</w:t>
      </w:r>
      <w:r>
        <w:rPr>
          <w:rFonts w:hint="eastAsia" w:ascii="仿宋_GB2312" w:hAnsi="仿宋_GB2312" w:eastAsia="仿宋_GB2312" w:cs="仿宋_GB2312"/>
          <w:color w:val="000000"/>
          <w:spacing w:val="10"/>
          <w:sz w:val="32"/>
          <w:szCs w:val="32"/>
        </w:rPr>
        <w:t>月1</w:t>
      </w:r>
      <w:r>
        <w:rPr>
          <w:rFonts w:ascii="仿宋_GB2312" w:hAnsi="仿宋_GB2312" w:eastAsia="仿宋_GB2312" w:cs="仿宋_GB2312"/>
          <w:color w:val="000000"/>
          <w:spacing w:val="10"/>
          <w:sz w:val="32"/>
          <w:szCs w:val="32"/>
        </w:rPr>
        <w:t>4</w:t>
      </w:r>
      <w:r>
        <w:rPr>
          <w:rFonts w:hint="eastAsia" w:ascii="仿宋_GB2312" w:hAnsi="仿宋_GB2312" w:eastAsia="仿宋_GB2312" w:cs="仿宋_GB2312"/>
          <w:color w:val="000000"/>
          <w:spacing w:val="10"/>
          <w:sz w:val="32"/>
          <w:szCs w:val="32"/>
        </w:rPr>
        <w:t>日上午9:00至</w:t>
      </w:r>
      <w:r>
        <w:rPr>
          <w:rFonts w:ascii="仿宋_GB2312" w:hAnsi="仿宋_GB2312" w:eastAsia="仿宋_GB2312" w:cs="仿宋_GB2312"/>
          <w:color w:val="000000"/>
          <w:spacing w:val="10"/>
          <w:sz w:val="32"/>
          <w:szCs w:val="32"/>
        </w:rPr>
        <w:t>6</w:t>
      </w:r>
      <w:r>
        <w:rPr>
          <w:rFonts w:hint="eastAsia" w:ascii="仿宋_GB2312" w:hAnsi="仿宋_GB2312" w:eastAsia="仿宋_GB2312" w:cs="仿宋_GB2312"/>
          <w:color w:val="000000"/>
          <w:spacing w:val="10"/>
          <w:sz w:val="32"/>
          <w:szCs w:val="32"/>
        </w:rPr>
        <w:t>月</w:t>
      </w:r>
      <w:r>
        <w:rPr>
          <w:rFonts w:ascii="仿宋_GB2312" w:hAnsi="仿宋_GB2312" w:eastAsia="仿宋_GB2312" w:cs="仿宋_GB2312"/>
          <w:color w:val="000000"/>
          <w:spacing w:val="10"/>
          <w:sz w:val="32"/>
          <w:szCs w:val="32"/>
        </w:rPr>
        <w:t>22</w:t>
      </w:r>
      <w:r>
        <w:rPr>
          <w:rFonts w:hint="eastAsia" w:ascii="仿宋_GB2312" w:hAnsi="仿宋_GB2312" w:eastAsia="仿宋_GB2312" w:cs="仿宋_GB2312"/>
          <w:color w:val="000000"/>
          <w:spacing w:val="10"/>
          <w:sz w:val="32"/>
          <w:szCs w:val="32"/>
        </w:rPr>
        <w:t>日下午1</w:t>
      </w:r>
      <w:r>
        <w:rPr>
          <w:rFonts w:ascii="仿宋_GB2312" w:hAnsi="仿宋_GB2312" w:eastAsia="仿宋_GB2312" w:cs="仿宋_GB2312"/>
          <w:color w:val="000000"/>
          <w:spacing w:val="10"/>
          <w:sz w:val="32"/>
          <w:szCs w:val="32"/>
        </w:rPr>
        <w:t>7</w:t>
      </w:r>
      <w:r>
        <w:rPr>
          <w:rFonts w:hint="eastAsia" w:ascii="仿宋_GB2312" w:hAnsi="仿宋_GB2312" w:eastAsia="仿宋_GB2312" w:cs="仿宋_GB2312"/>
          <w:color w:val="000000"/>
          <w:spacing w:val="10"/>
          <w:sz w:val="32"/>
          <w:szCs w:val="32"/>
        </w:rPr>
        <w:t>:00。</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第十八条  </w:t>
      </w:r>
      <w:r>
        <w:rPr>
          <w:rFonts w:hint="eastAsia" w:ascii="仿宋_GB2312" w:hAnsi="仿宋_GB2312" w:eastAsia="仿宋_GB2312" w:cs="仿宋_GB2312"/>
          <w:color w:val="000000"/>
          <w:spacing w:val="10"/>
          <w:sz w:val="32"/>
          <w:szCs w:val="32"/>
        </w:rPr>
        <w:t>网上报名</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凡符合报考条件的考生均须按时通过教育部阳光高考特殊类型招生信息服务平台综合评价招生报名系统（网址：</w:t>
      </w:r>
      <w:r>
        <w:rPr>
          <w:rFonts w:ascii="仿宋_GB2312" w:hAnsi="仿宋_GB2312" w:eastAsia="仿宋_GB2312" w:cs="仿宋_GB2312"/>
          <w:color w:val="000000"/>
          <w:spacing w:val="10"/>
          <w:sz w:val="32"/>
          <w:szCs w:val="32"/>
        </w:rPr>
        <w:t>https://gaokao.chsi.com.cn/zhpjbm/</w:t>
      </w:r>
      <w:r>
        <w:rPr>
          <w:rFonts w:hint="eastAsia" w:ascii="仿宋_GB2312" w:hAnsi="仿宋_GB2312" w:eastAsia="仿宋_GB2312" w:cs="仿宋_GB2312"/>
          <w:color w:val="000000"/>
          <w:spacing w:val="10"/>
          <w:sz w:val="32"/>
          <w:szCs w:val="32"/>
        </w:rPr>
        <w:t>）或通过山东师范大学本科招生网—网上报名—</w:t>
      </w:r>
      <w:r>
        <w:rPr>
          <w:rFonts w:ascii="仿宋_GB2312" w:hAnsi="仿宋_GB2312" w:eastAsia="仿宋_GB2312" w:cs="仿宋_GB2312"/>
          <w:color w:val="000000"/>
          <w:spacing w:val="10"/>
          <w:sz w:val="32"/>
          <w:szCs w:val="32"/>
        </w:rPr>
        <w:t>“</w:t>
      </w:r>
      <w:r>
        <w:rPr>
          <w:rFonts w:hint="eastAsia" w:ascii="仿宋_GB2312" w:hAnsi="仿宋_GB2312" w:eastAsia="仿宋_GB2312" w:cs="仿宋_GB2312"/>
          <w:color w:val="000000"/>
          <w:spacing w:val="10"/>
          <w:sz w:val="32"/>
          <w:szCs w:val="32"/>
        </w:rPr>
        <w:t>综合评价</w:t>
      </w:r>
      <w:r>
        <w:rPr>
          <w:rFonts w:ascii="仿宋_GB2312" w:hAnsi="仿宋_GB2312" w:eastAsia="仿宋_GB2312" w:cs="仿宋_GB2312"/>
          <w:color w:val="000000"/>
          <w:spacing w:val="10"/>
          <w:sz w:val="32"/>
          <w:szCs w:val="32"/>
        </w:rPr>
        <w:t>”</w:t>
      </w:r>
      <w:r>
        <w:rPr>
          <w:rFonts w:hint="eastAsia" w:ascii="仿宋_GB2312" w:hAnsi="仿宋_GB2312" w:eastAsia="仿宋_GB2312" w:cs="仿宋_GB2312"/>
          <w:color w:val="000000"/>
          <w:spacing w:val="10"/>
          <w:sz w:val="32"/>
          <w:szCs w:val="32"/>
        </w:rPr>
        <w:t>进行网上报名。报名前考生登陆山东师范大学本科招生网查阅“山东师范大学20</w:t>
      </w:r>
      <w:r>
        <w:rPr>
          <w:rFonts w:ascii="仿宋_GB2312" w:hAnsi="仿宋_GB2312" w:eastAsia="仿宋_GB2312" w:cs="仿宋_GB2312"/>
          <w:color w:val="000000"/>
          <w:spacing w:val="10"/>
          <w:sz w:val="32"/>
          <w:szCs w:val="32"/>
        </w:rPr>
        <w:t>20</w:t>
      </w:r>
      <w:r>
        <w:rPr>
          <w:rFonts w:hint="eastAsia" w:ascii="仿宋_GB2312" w:hAnsi="仿宋_GB2312" w:eastAsia="仿宋_GB2312" w:cs="仿宋_GB2312"/>
          <w:color w:val="000000"/>
          <w:spacing w:val="10"/>
          <w:sz w:val="32"/>
          <w:szCs w:val="32"/>
        </w:rPr>
        <w:t>年综合评价招生报名须知”。</w:t>
      </w:r>
    </w:p>
    <w:p>
      <w:pPr>
        <w:spacing w:line="620" w:lineRule="exact"/>
        <w:jc w:val="center"/>
        <w:rPr>
          <w:rFonts w:ascii="黑体" w:hAnsi="黑体" w:eastAsia="黑体" w:cs="仿宋_GB2312"/>
          <w:color w:val="000000"/>
          <w:spacing w:val="10"/>
          <w:sz w:val="32"/>
          <w:szCs w:val="32"/>
        </w:rPr>
      </w:pPr>
      <w:r>
        <w:rPr>
          <w:rFonts w:hint="eastAsia" w:ascii="黑体" w:hAnsi="黑体" w:eastAsia="黑体" w:cs="仿宋_GB2312"/>
          <w:color w:val="000000"/>
          <w:spacing w:val="10"/>
          <w:sz w:val="32"/>
          <w:szCs w:val="32"/>
        </w:rPr>
        <w:t>第六章  选拔程序</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第十九条  </w:t>
      </w:r>
      <w:r>
        <w:rPr>
          <w:rFonts w:hint="eastAsia" w:ascii="仿宋_GB2312" w:hAnsi="仿宋_GB2312" w:eastAsia="仿宋_GB2312" w:cs="仿宋_GB2312"/>
          <w:color w:val="000000"/>
          <w:spacing w:val="10"/>
          <w:sz w:val="32"/>
          <w:szCs w:val="32"/>
        </w:rPr>
        <w:t>初审</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报名结束后，学校将组织相关学科专家以专业为单位</w:t>
      </w:r>
      <w:r>
        <w:rPr>
          <w:rFonts w:hint="eastAsia" w:ascii="仿宋_GB2312" w:hAnsi="仿宋_GB2312" w:eastAsia="仿宋_GB2312" w:cs="仿宋_GB2312"/>
          <w:color w:val="000000" w:themeColor="text1"/>
          <w:spacing w:val="10"/>
          <w:sz w:val="32"/>
          <w:szCs w:val="32"/>
          <w14:textFill>
            <w14:solidFill>
              <w14:schemeClr w14:val="tx1"/>
            </w14:solidFill>
          </w14:textFill>
        </w:rPr>
        <w:t>依据报名条件对考生的申请材料进行初审，</w:t>
      </w:r>
      <w:r>
        <w:rPr>
          <w:rStyle w:val="14"/>
          <w:rFonts w:hint="default"/>
        </w:rPr>
        <w:t>结合综合素质档案，</w:t>
      </w:r>
      <w:r>
        <w:rPr>
          <w:rFonts w:hint="eastAsia" w:ascii="仿宋_GB2312" w:hAnsi="仿宋_GB2312" w:eastAsia="仿宋_GB2312" w:cs="仿宋_GB2312"/>
          <w:color w:val="000000"/>
          <w:spacing w:val="10"/>
          <w:sz w:val="32"/>
          <w:szCs w:val="32"/>
        </w:rPr>
        <w:t>综合考察学生思想品德、学业水平成绩、身心健康、艺术素养、社会实践等情况，按照不低于专业招生计划</w:t>
      </w:r>
      <w:r>
        <w:rPr>
          <w:rFonts w:ascii="仿宋_GB2312" w:hAnsi="仿宋_GB2312" w:eastAsia="仿宋_GB2312" w:cs="仿宋_GB2312"/>
          <w:color w:val="000000"/>
          <w:spacing w:val="10"/>
          <w:sz w:val="32"/>
          <w:szCs w:val="32"/>
        </w:rPr>
        <w:t>6倍</w:t>
      </w:r>
      <w:r>
        <w:rPr>
          <w:rFonts w:hint="eastAsia" w:ascii="仿宋_GB2312" w:hAnsi="仿宋_GB2312" w:eastAsia="仿宋_GB2312" w:cs="仿宋_GB2312"/>
          <w:color w:val="000000"/>
          <w:spacing w:val="10"/>
          <w:sz w:val="32"/>
          <w:szCs w:val="32"/>
        </w:rPr>
        <w:t>，</w:t>
      </w:r>
      <w:r>
        <w:rPr>
          <w:rFonts w:ascii="仿宋_GB2312" w:hAnsi="仿宋_GB2312" w:eastAsia="仿宋_GB2312" w:cs="仿宋_GB2312"/>
          <w:color w:val="000000"/>
          <w:spacing w:val="10"/>
          <w:sz w:val="32"/>
          <w:szCs w:val="32"/>
        </w:rPr>
        <w:t>在一类条件优先的情况下择优确定入围</w:t>
      </w:r>
      <w:r>
        <w:rPr>
          <w:rFonts w:hint="eastAsia" w:ascii="仿宋_GB2312" w:hAnsi="仿宋_GB2312" w:eastAsia="仿宋_GB2312" w:cs="仿宋_GB2312"/>
          <w:color w:val="000000"/>
          <w:spacing w:val="10"/>
          <w:sz w:val="32"/>
          <w:szCs w:val="32"/>
        </w:rPr>
        <w:t>我校综合素质测试的考生</w:t>
      </w:r>
      <w:r>
        <w:rPr>
          <w:rFonts w:ascii="仿宋_GB2312" w:hAnsi="仿宋_GB2312" w:eastAsia="仿宋_GB2312" w:cs="仿宋_GB2312"/>
          <w:color w:val="000000"/>
          <w:spacing w:val="10"/>
          <w:sz w:val="32"/>
          <w:szCs w:val="32"/>
        </w:rPr>
        <w:t>名单。</w:t>
      </w:r>
      <w:r>
        <w:rPr>
          <w:rFonts w:hint="eastAsia" w:ascii="仿宋_GB2312" w:hAnsi="仿宋_GB2312" w:eastAsia="仿宋_GB2312" w:cs="仿宋_GB2312"/>
          <w:color w:val="000000"/>
          <w:spacing w:val="10"/>
          <w:sz w:val="32"/>
          <w:szCs w:val="32"/>
        </w:rPr>
        <w:t>同等条件下，学校向农村贫困家庭、建档立卡家庭学生适当倾斜。</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初审成绩不计入综合素质测试成绩。学校将在教育部阳光高考信息公开平台对获得我校综合素质测试资格的考生名单进行公示。</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第二十条  </w:t>
      </w:r>
      <w:r>
        <w:rPr>
          <w:rFonts w:hint="eastAsia" w:ascii="仿宋_GB2312" w:hAnsi="仿宋_GB2312" w:eastAsia="仿宋_GB2312" w:cs="仿宋_GB2312"/>
          <w:color w:val="000000"/>
          <w:spacing w:val="10"/>
          <w:sz w:val="32"/>
          <w:szCs w:val="32"/>
        </w:rPr>
        <w:t>综合素质测试</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（一）测试内容：学校根据综合评价招生计划，分专业进行学生创新精神、专业潜质、学科基础及综合素质考察。</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（二）测试时间：7月1</w:t>
      </w:r>
      <w:r>
        <w:rPr>
          <w:rFonts w:ascii="仿宋_GB2312" w:hAnsi="仿宋_GB2312" w:eastAsia="仿宋_GB2312" w:cs="仿宋_GB2312"/>
          <w:color w:val="000000"/>
          <w:spacing w:val="10"/>
          <w:sz w:val="32"/>
          <w:szCs w:val="32"/>
        </w:rPr>
        <w:t>8</w:t>
      </w:r>
      <w:r>
        <w:rPr>
          <w:rFonts w:hint="eastAsia" w:ascii="仿宋_GB2312" w:hAnsi="仿宋_GB2312" w:eastAsia="仿宋_GB2312" w:cs="仿宋_GB2312"/>
          <w:color w:val="000000"/>
          <w:spacing w:val="10"/>
          <w:sz w:val="32"/>
          <w:szCs w:val="32"/>
        </w:rPr>
        <w:t>日（具体以考生确认后准考证通知的考试时间为准）。</w:t>
      </w:r>
    </w:p>
    <w:p>
      <w:pPr>
        <w:adjustRightInd w:val="0"/>
        <w:snapToGrid w:val="0"/>
        <w:spacing w:line="570" w:lineRule="exact"/>
        <w:ind w:firstLine="680"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（三）成绩查询：综合素质测试结束后，学校根据考生综合素质测试成绩，按照不超过招生计划数</w:t>
      </w:r>
      <w:r>
        <w:rPr>
          <w:rFonts w:ascii="仿宋_GB2312" w:hAnsi="仿宋_GB2312" w:eastAsia="仿宋_GB2312" w:cs="仿宋_GB2312"/>
          <w:color w:val="000000"/>
          <w:spacing w:val="10"/>
          <w:sz w:val="32"/>
          <w:szCs w:val="32"/>
        </w:rPr>
        <w:t>5</w:t>
      </w:r>
      <w:r>
        <w:rPr>
          <w:rFonts w:hint="eastAsia" w:ascii="仿宋_GB2312" w:hAnsi="仿宋_GB2312" w:eastAsia="仿宋_GB2312" w:cs="仿宋_GB2312"/>
          <w:color w:val="000000"/>
          <w:spacing w:val="10"/>
          <w:sz w:val="32"/>
          <w:szCs w:val="32"/>
        </w:rPr>
        <w:t>倍的比例确定入围学生名单。考生可通过山东师范大学本科招生网进行成绩查询，并报山东省教育招生考试院备案。</w:t>
      </w:r>
    </w:p>
    <w:p>
      <w:pPr>
        <w:spacing w:line="620" w:lineRule="exact"/>
        <w:jc w:val="center"/>
        <w:rPr>
          <w:rFonts w:ascii="黑体" w:hAnsi="黑体" w:eastAsia="黑体" w:cs="仿宋_GB2312"/>
          <w:color w:val="000000"/>
          <w:spacing w:val="10"/>
          <w:sz w:val="32"/>
          <w:szCs w:val="32"/>
        </w:rPr>
      </w:pPr>
      <w:r>
        <w:rPr>
          <w:rFonts w:hint="eastAsia" w:ascii="黑体" w:hAnsi="黑体" w:eastAsia="黑体" w:cs="仿宋_GB2312"/>
          <w:color w:val="000000"/>
          <w:spacing w:val="10"/>
          <w:sz w:val="32"/>
          <w:szCs w:val="32"/>
        </w:rPr>
        <w:t>第七章  录取办法</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第二十一条  </w:t>
      </w:r>
      <w:r>
        <w:rPr>
          <w:rFonts w:hint="eastAsia" w:ascii="仿宋_GB2312" w:hAnsi="黑体" w:eastAsia="仿宋_GB2312" w:cs="仿宋_GB2312"/>
          <w:color w:val="000000"/>
          <w:spacing w:val="10"/>
          <w:sz w:val="32"/>
          <w:szCs w:val="32"/>
        </w:rPr>
        <w:t>综合成绩合成</w:t>
      </w:r>
    </w:p>
    <w:p>
      <w:pPr>
        <w:adjustRightInd w:val="0"/>
        <w:snapToGrid w:val="0"/>
        <w:spacing w:line="570" w:lineRule="exact"/>
        <w:ind w:firstLine="680" w:firstLineChars="200"/>
        <w:rPr>
          <w:rFonts w:hint="eastAsia" w:ascii="仿宋_GB2312" w:hAnsi="黑体" w:eastAsia="仿宋_GB2312" w:cs="仿宋_GB2312"/>
          <w:color w:val="000000"/>
          <w:spacing w:val="10"/>
          <w:sz w:val="32"/>
          <w:szCs w:val="32"/>
        </w:rPr>
      </w:pPr>
      <w:r>
        <w:rPr>
          <w:rFonts w:hint="eastAsia" w:ascii="仿宋_GB2312" w:hAnsi="黑体" w:eastAsia="仿宋_GB2312" w:cs="仿宋_GB2312"/>
          <w:color w:val="000000"/>
          <w:spacing w:val="10"/>
          <w:sz w:val="32"/>
          <w:szCs w:val="32"/>
        </w:rPr>
        <w:t>学校根据考生夏季高考语文、数学、外语科目考试成绩，高中学业水平等级考试成绩和高考加分</w:t>
      </w:r>
      <w:r>
        <w:rPr>
          <w:rFonts w:hint="eastAsia" w:ascii="仿宋_GB2312" w:hAnsi="黑体" w:eastAsia="仿宋_GB2312" w:cs="仿宋_GB2312"/>
          <w:color w:val="000000"/>
          <w:spacing w:val="10"/>
          <w:sz w:val="32"/>
          <w:szCs w:val="32"/>
        </w:rPr>
        <w:t>，学校考核成绩经折合换算、按</w:t>
      </w:r>
      <w:bookmarkStart w:id="1" w:name="_GoBack"/>
      <w:bookmarkEnd w:id="1"/>
      <w:r>
        <w:rPr>
          <w:rFonts w:hint="eastAsia" w:ascii="仿宋_GB2312" w:hAnsi="黑体" w:eastAsia="仿宋_GB2312" w:cs="仿宋_GB2312"/>
          <w:color w:val="000000"/>
          <w:spacing w:val="10"/>
          <w:sz w:val="32"/>
          <w:szCs w:val="32"/>
        </w:rPr>
        <w:t>比例合成综合成绩。</w:t>
      </w:r>
    </w:p>
    <w:p>
      <w:pPr>
        <w:adjustRightInd w:val="0"/>
        <w:snapToGrid w:val="0"/>
        <w:spacing w:line="570" w:lineRule="exact"/>
        <w:ind w:firstLine="680" w:firstLineChars="200"/>
        <w:rPr>
          <w:rFonts w:hint="eastAsia" w:ascii="仿宋_GB2312" w:hAnsi="黑体" w:eastAsia="仿宋_GB2312" w:cs="仿宋_GB2312"/>
          <w:color w:val="000000"/>
          <w:spacing w:val="10"/>
          <w:sz w:val="32"/>
          <w:szCs w:val="32"/>
        </w:rPr>
      </w:pPr>
      <w:r>
        <w:rPr>
          <w:rFonts w:hint="eastAsia" w:ascii="仿宋_GB2312" w:hAnsi="黑体" w:eastAsia="仿宋_GB2312" w:cs="仿宋_GB2312"/>
          <w:color w:val="000000"/>
          <w:spacing w:val="10"/>
          <w:sz w:val="32"/>
          <w:szCs w:val="32"/>
        </w:rPr>
        <w:t>综合成绩=（夏季高考语文、数学、外语科目考试成绩+高中学业水平等级考试成绩+高考加分</w:t>
      </w:r>
      <w:r>
        <w:rPr>
          <w:rFonts w:hint="eastAsia" w:ascii="仿宋_GB2312" w:hAnsi="黑体" w:eastAsia="仿宋_GB2312" w:cs="仿宋_GB2312"/>
          <w:color w:val="000000"/>
          <w:spacing w:val="10"/>
          <w:sz w:val="32"/>
          <w:szCs w:val="32"/>
        </w:rPr>
        <w:t>）÷7.5×70%+学校考核成绩×30%。</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第二十二条  </w:t>
      </w:r>
      <w:r>
        <w:rPr>
          <w:rFonts w:hint="eastAsia" w:ascii="仿宋_GB2312" w:hAnsi="黑体" w:eastAsia="仿宋_GB2312" w:cs="仿宋_GB2312"/>
          <w:color w:val="000000"/>
          <w:spacing w:val="10"/>
          <w:sz w:val="32"/>
          <w:szCs w:val="32"/>
        </w:rPr>
        <w:t>录取原则</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仿宋_GB2312" w:hAnsi="黑体" w:eastAsia="仿宋_GB2312" w:cs="仿宋_GB2312"/>
          <w:color w:val="000000"/>
          <w:spacing w:val="10"/>
          <w:sz w:val="32"/>
          <w:szCs w:val="32"/>
        </w:rPr>
        <w:t>（一）入围考生高考总成绩须达到山东省2020年普通类一段线且不低于山东省2</w:t>
      </w:r>
      <w:r>
        <w:rPr>
          <w:rFonts w:ascii="仿宋_GB2312" w:hAnsi="黑体" w:eastAsia="仿宋_GB2312" w:cs="仿宋_GB2312"/>
          <w:color w:val="000000"/>
          <w:spacing w:val="10"/>
          <w:sz w:val="32"/>
          <w:szCs w:val="32"/>
        </w:rPr>
        <w:t>020</w:t>
      </w:r>
      <w:r>
        <w:rPr>
          <w:rFonts w:hint="eastAsia" w:ascii="仿宋_GB2312" w:hAnsi="黑体" w:eastAsia="仿宋_GB2312" w:cs="仿宋_GB2312"/>
          <w:color w:val="000000"/>
          <w:spacing w:val="10"/>
          <w:sz w:val="32"/>
          <w:szCs w:val="32"/>
        </w:rPr>
        <w:t>年夏季高考特殊类型招生控制线下20分。考生在普通类提前批填报我校综合评价志愿，填报的专业志愿须在本简章公布的招生专业中选择并已入围该专业合格名单，否则视为无效。</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仿宋_GB2312" w:hAnsi="黑体" w:eastAsia="仿宋_GB2312" w:cs="仿宋_GB2312"/>
          <w:color w:val="000000"/>
          <w:spacing w:val="10"/>
          <w:sz w:val="32"/>
          <w:szCs w:val="32"/>
        </w:rPr>
        <w:t>（二）山东省教育招生考试院按规定投档，进档考生由学校分专业按照“分数优先”原则以综合成绩从高到低录取。若考生综合成绩相同，则依次按学校考核成绩、高考总成绩排序择优录取。</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仿宋_GB2312" w:hAnsi="黑体" w:eastAsia="仿宋_GB2312" w:cs="仿宋_GB2312"/>
          <w:color w:val="000000"/>
          <w:spacing w:val="10"/>
          <w:sz w:val="32"/>
          <w:szCs w:val="32"/>
        </w:rPr>
        <w:t>（三）被我校综合评价招生录取的学生，其他院校不再录取。</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仿宋_GB2312" w:hAnsi="黑体" w:eastAsia="仿宋_GB2312" w:cs="仿宋_GB2312"/>
          <w:color w:val="000000"/>
          <w:spacing w:val="10"/>
          <w:sz w:val="32"/>
          <w:szCs w:val="32"/>
        </w:rPr>
        <w:t>（四）其他要求：</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仿宋_GB2312" w:hAnsi="黑体" w:eastAsia="仿宋_GB2312" w:cs="仿宋_GB2312"/>
          <w:color w:val="000000"/>
          <w:spacing w:val="10"/>
          <w:sz w:val="32"/>
          <w:szCs w:val="32"/>
        </w:rPr>
        <w:t>1</w:t>
      </w:r>
      <w:r>
        <w:rPr>
          <w:rFonts w:ascii="仿宋_GB2312" w:hAnsi="黑体" w:eastAsia="仿宋_GB2312" w:cs="仿宋_GB2312"/>
          <w:color w:val="000000"/>
          <w:spacing w:val="10"/>
          <w:sz w:val="32"/>
          <w:szCs w:val="32"/>
        </w:rPr>
        <w:t>.</w:t>
      </w:r>
      <w:r>
        <w:rPr>
          <w:rFonts w:hint="eastAsia" w:ascii="仿宋_GB2312" w:hAnsi="黑体" w:eastAsia="仿宋_GB2312" w:cs="仿宋_GB2312"/>
          <w:color w:val="000000"/>
          <w:spacing w:val="10"/>
          <w:sz w:val="32"/>
          <w:szCs w:val="32"/>
        </w:rPr>
        <w:t>对考生弄虚作假行为按教育部令第36号严肃处理。</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仿宋_GB2312" w:hAnsi="黑体" w:eastAsia="仿宋_GB2312" w:cs="仿宋_GB2312"/>
          <w:color w:val="000000"/>
          <w:spacing w:val="10"/>
          <w:sz w:val="32"/>
          <w:szCs w:val="32"/>
        </w:rPr>
        <w:t>2</w:t>
      </w:r>
      <w:r>
        <w:rPr>
          <w:rFonts w:ascii="仿宋_GB2312" w:hAnsi="黑体" w:eastAsia="仿宋_GB2312" w:cs="仿宋_GB2312"/>
          <w:color w:val="000000"/>
          <w:spacing w:val="10"/>
          <w:sz w:val="32"/>
          <w:szCs w:val="32"/>
        </w:rPr>
        <w:t>.</w:t>
      </w:r>
      <w:r>
        <w:rPr>
          <w:rFonts w:hint="eastAsia" w:ascii="仿宋_GB2312" w:hAnsi="黑体" w:eastAsia="仿宋_GB2312" w:cs="仿宋_GB2312"/>
          <w:color w:val="000000"/>
          <w:spacing w:val="10"/>
          <w:sz w:val="32"/>
          <w:szCs w:val="32"/>
        </w:rPr>
        <w:t>对考生身体健康要求，根据教育部等部门印发的《普通高等学校招生体检工作指导意见》及有关补充规定执行。</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仿宋_GB2312" w:hAnsi="黑体" w:eastAsia="仿宋_GB2312" w:cs="仿宋_GB2312"/>
          <w:color w:val="000000"/>
          <w:spacing w:val="10"/>
          <w:sz w:val="32"/>
          <w:szCs w:val="32"/>
        </w:rPr>
        <w:t>3</w:t>
      </w:r>
      <w:r>
        <w:rPr>
          <w:rFonts w:ascii="仿宋_GB2312" w:hAnsi="黑体" w:eastAsia="仿宋_GB2312" w:cs="仿宋_GB2312"/>
          <w:color w:val="000000"/>
          <w:spacing w:val="10"/>
          <w:sz w:val="32"/>
          <w:szCs w:val="32"/>
        </w:rPr>
        <w:t>.</w:t>
      </w:r>
      <w:r>
        <w:rPr>
          <w:rFonts w:hint="eastAsia" w:ascii="仿宋_GB2312" w:hAnsi="黑体" w:eastAsia="仿宋_GB2312" w:cs="仿宋_GB2312"/>
          <w:color w:val="000000"/>
          <w:spacing w:val="10"/>
          <w:sz w:val="32"/>
          <w:szCs w:val="32"/>
        </w:rPr>
        <w:t>男女比例不限。</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仿宋_GB2312" w:hAnsi="黑体" w:eastAsia="仿宋_GB2312" w:cs="仿宋_GB2312"/>
          <w:color w:val="000000"/>
          <w:spacing w:val="10"/>
          <w:sz w:val="32"/>
          <w:szCs w:val="32"/>
        </w:rPr>
        <w:t>4</w:t>
      </w:r>
      <w:r>
        <w:rPr>
          <w:rFonts w:ascii="仿宋_GB2312" w:hAnsi="黑体" w:eastAsia="仿宋_GB2312" w:cs="仿宋_GB2312"/>
          <w:color w:val="000000"/>
          <w:spacing w:val="10"/>
          <w:sz w:val="32"/>
          <w:szCs w:val="32"/>
        </w:rPr>
        <w:t>.</w:t>
      </w:r>
      <w:r>
        <w:rPr>
          <w:rFonts w:hint="eastAsia" w:ascii="仿宋_GB2312" w:hAnsi="黑体" w:eastAsia="仿宋_GB2312" w:cs="仿宋_GB2312"/>
          <w:color w:val="000000"/>
          <w:spacing w:val="10"/>
          <w:sz w:val="32"/>
          <w:szCs w:val="32"/>
        </w:rPr>
        <w:t>英语专业高考考试语种需为英语，其他专业外语语种不限。</w:t>
      </w:r>
    </w:p>
    <w:p>
      <w:pPr>
        <w:spacing w:line="620" w:lineRule="exact"/>
        <w:jc w:val="center"/>
        <w:rPr>
          <w:rFonts w:ascii="黑体" w:hAnsi="黑体" w:eastAsia="黑体" w:cs="仿宋_GB2312"/>
          <w:color w:val="000000"/>
          <w:spacing w:val="10"/>
          <w:sz w:val="32"/>
          <w:szCs w:val="32"/>
        </w:rPr>
      </w:pPr>
      <w:r>
        <w:rPr>
          <w:rFonts w:hint="eastAsia" w:ascii="黑体" w:hAnsi="黑体" w:eastAsia="黑体" w:cs="仿宋_GB2312"/>
          <w:color w:val="000000"/>
          <w:spacing w:val="10"/>
          <w:sz w:val="32"/>
          <w:szCs w:val="32"/>
        </w:rPr>
        <w:t>第八章 学费标准及资助政策</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第二十三条  </w:t>
      </w:r>
      <w:r>
        <w:rPr>
          <w:rFonts w:hint="eastAsia" w:ascii="仿宋_GB2312" w:hAnsi="黑体" w:eastAsia="仿宋_GB2312" w:cs="仿宋_GB2312"/>
          <w:color w:val="000000"/>
          <w:spacing w:val="10"/>
          <w:sz w:val="32"/>
          <w:szCs w:val="32"/>
        </w:rPr>
        <w:t>综合评价招生专业实施学分制人才培养模式。学费标准按照山东省发展和改革委员会、山东省财政厅、山东省教育厅批准的最新标准执行。</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第二十四条  </w:t>
      </w:r>
      <w:r>
        <w:rPr>
          <w:rFonts w:hint="eastAsia" w:ascii="仿宋_GB2312" w:hAnsi="黑体" w:eastAsia="仿宋_GB2312" w:cs="仿宋_GB2312"/>
          <w:color w:val="000000"/>
          <w:spacing w:val="10"/>
          <w:sz w:val="32"/>
          <w:szCs w:val="32"/>
        </w:rPr>
        <w:t>根据国家、省出台的学生资助相关政策精神，凡遵纪守法、勤奋学习且家庭经济困难的普通全日制在校生，可通过奖、贷、助、补、减等资助措施保障学生在校期间的学习和生活。</w:t>
      </w:r>
    </w:p>
    <w:p>
      <w:pPr>
        <w:spacing w:line="620" w:lineRule="exact"/>
        <w:jc w:val="center"/>
        <w:rPr>
          <w:rFonts w:ascii="黑体" w:hAnsi="黑体" w:eastAsia="黑体" w:cs="仿宋_GB2312"/>
          <w:color w:val="000000"/>
          <w:spacing w:val="10"/>
          <w:sz w:val="32"/>
          <w:szCs w:val="32"/>
        </w:rPr>
      </w:pPr>
      <w:r>
        <w:rPr>
          <w:rFonts w:hint="eastAsia" w:ascii="黑体" w:hAnsi="黑体" w:eastAsia="黑体" w:cs="仿宋_GB2312"/>
          <w:color w:val="000000"/>
          <w:spacing w:val="10"/>
          <w:sz w:val="32"/>
          <w:szCs w:val="32"/>
        </w:rPr>
        <w:t>第九章 附则</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第二十五条  </w:t>
      </w:r>
      <w:r>
        <w:rPr>
          <w:rFonts w:hint="eastAsia" w:ascii="仿宋_GB2312" w:hAnsi="黑体" w:eastAsia="仿宋_GB2312" w:cs="仿宋_GB2312"/>
          <w:color w:val="000000"/>
          <w:spacing w:val="10"/>
          <w:sz w:val="32"/>
          <w:szCs w:val="32"/>
        </w:rPr>
        <w:t>新生录取结果将通过山东师范大学本科招生网公布。</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仿宋_GB2312" w:hAnsi="黑体" w:eastAsia="仿宋_GB2312" w:cs="仿宋_GB2312"/>
          <w:color w:val="000000"/>
          <w:spacing w:val="10"/>
          <w:sz w:val="32"/>
          <w:szCs w:val="32"/>
        </w:rPr>
        <w:t>本科招生网网址：</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ascii="仿宋_GB2312" w:hAnsi="黑体" w:eastAsia="仿宋_GB2312" w:cs="仿宋_GB2312"/>
          <w:color w:val="000000"/>
          <w:spacing w:val="10"/>
          <w:sz w:val="32"/>
          <w:szCs w:val="32"/>
        </w:rPr>
        <w:t>http://www.zsb.sdnu.edu.cn/</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仿宋_GB2312" w:hAnsi="黑体" w:eastAsia="仿宋_GB2312" w:cs="仿宋_GB2312"/>
          <w:color w:val="000000"/>
          <w:spacing w:val="10"/>
          <w:sz w:val="32"/>
          <w:szCs w:val="32"/>
        </w:rPr>
        <w:t>咨询电话：0531-86182201、86182202、86182203</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黑体" w:hAnsi="黑体" w:eastAsia="黑体" w:cs="仿宋_GB2312"/>
          <w:color w:val="000000"/>
          <w:spacing w:val="10"/>
          <w:sz w:val="32"/>
          <w:szCs w:val="32"/>
        </w:rPr>
        <w:t xml:space="preserve">第二十六条  </w:t>
      </w:r>
      <w:r>
        <w:rPr>
          <w:rFonts w:hint="eastAsia" w:ascii="仿宋_GB2312" w:hAnsi="黑体" w:eastAsia="仿宋_GB2312" w:cs="仿宋_GB2312"/>
          <w:color w:val="000000"/>
          <w:spacing w:val="10"/>
          <w:sz w:val="32"/>
          <w:szCs w:val="32"/>
        </w:rPr>
        <w:t>学校不委托任何机构和个人办理招生相关事宜。对以山东师范大学名义进行非法招生宣传等活动的机构或个人，学校将依法追究其法律责任。</w:t>
      </w:r>
    </w:p>
    <w:p>
      <w:pPr>
        <w:adjustRightInd w:val="0"/>
        <w:snapToGrid w:val="0"/>
        <w:spacing w:line="570" w:lineRule="exact"/>
        <w:ind w:firstLine="680" w:firstLineChars="200"/>
        <w:rPr>
          <w:rFonts w:ascii="仿宋_GB2312" w:hAnsi="黑体" w:eastAsia="仿宋_GB2312" w:cs="仿宋_GB2312"/>
          <w:color w:val="000000"/>
          <w:spacing w:val="10"/>
          <w:sz w:val="32"/>
          <w:szCs w:val="32"/>
        </w:rPr>
      </w:pPr>
      <w:r>
        <w:rPr>
          <w:rFonts w:hint="eastAsia" w:ascii="黑体" w:hAnsi="黑体" w:eastAsia="黑体" w:cs="仿宋_GB2312"/>
          <w:color w:val="000000"/>
          <w:spacing w:val="10"/>
          <w:sz w:val="32"/>
          <w:szCs w:val="32"/>
        </w:rPr>
        <w:t>第二十七条</w:t>
      </w:r>
      <w:r>
        <w:rPr>
          <w:rFonts w:hint="eastAsia" w:ascii="仿宋_GB2312" w:hAnsi="黑体" w:eastAsia="仿宋_GB2312" w:cs="仿宋_GB2312"/>
          <w:color w:val="000000"/>
          <w:spacing w:val="10"/>
          <w:sz w:val="32"/>
          <w:szCs w:val="32"/>
        </w:rPr>
        <w:t xml:space="preserve">  本章程自公布之日起实行，由学校招生就业处负责解释，本章程如果与国家法律、法规、规章和上级有关政策相抵触，以国家法律、法规、规章和上级有关政策为准。未尽事宜，按上级有关规定执行。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91"/>
    <w:rsid w:val="00000F59"/>
    <w:rsid w:val="0000521C"/>
    <w:rsid w:val="00030DB3"/>
    <w:rsid w:val="000617CF"/>
    <w:rsid w:val="00062636"/>
    <w:rsid w:val="00063E73"/>
    <w:rsid w:val="000A732E"/>
    <w:rsid w:val="000C31AF"/>
    <w:rsid w:val="000E1C74"/>
    <w:rsid w:val="00101443"/>
    <w:rsid w:val="0012238F"/>
    <w:rsid w:val="0012675B"/>
    <w:rsid w:val="00127738"/>
    <w:rsid w:val="00143091"/>
    <w:rsid w:val="00144643"/>
    <w:rsid w:val="0014606C"/>
    <w:rsid w:val="0015703E"/>
    <w:rsid w:val="00161173"/>
    <w:rsid w:val="00162AAC"/>
    <w:rsid w:val="00182988"/>
    <w:rsid w:val="001A1188"/>
    <w:rsid w:val="001A4185"/>
    <w:rsid w:val="001A6D31"/>
    <w:rsid w:val="001C0113"/>
    <w:rsid w:val="001D0C00"/>
    <w:rsid w:val="001E2E60"/>
    <w:rsid w:val="001F19E9"/>
    <w:rsid w:val="00205180"/>
    <w:rsid w:val="0022019E"/>
    <w:rsid w:val="00230E75"/>
    <w:rsid w:val="00244198"/>
    <w:rsid w:val="002658B9"/>
    <w:rsid w:val="0026739D"/>
    <w:rsid w:val="00267B18"/>
    <w:rsid w:val="00272DA9"/>
    <w:rsid w:val="002A5514"/>
    <w:rsid w:val="002A7B71"/>
    <w:rsid w:val="002B6C53"/>
    <w:rsid w:val="002D1DBC"/>
    <w:rsid w:val="00310195"/>
    <w:rsid w:val="00331DBF"/>
    <w:rsid w:val="00337EDC"/>
    <w:rsid w:val="00371230"/>
    <w:rsid w:val="00381527"/>
    <w:rsid w:val="003A17C3"/>
    <w:rsid w:val="003A2905"/>
    <w:rsid w:val="003B362B"/>
    <w:rsid w:val="003B7886"/>
    <w:rsid w:val="003E3E5F"/>
    <w:rsid w:val="003E7CFA"/>
    <w:rsid w:val="003F2298"/>
    <w:rsid w:val="003F6955"/>
    <w:rsid w:val="003F74D1"/>
    <w:rsid w:val="00423C02"/>
    <w:rsid w:val="00450F52"/>
    <w:rsid w:val="00456570"/>
    <w:rsid w:val="00485C11"/>
    <w:rsid w:val="004A35C6"/>
    <w:rsid w:val="004E2993"/>
    <w:rsid w:val="00542691"/>
    <w:rsid w:val="0056657F"/>
    <w:rsid w:val="00570EBA"/>
    <w:rsid w:val="00572385"/>
    <w:rsid w:val="005C5D64"/>
    <w:rsid w:val="005E338C"/>
    <w:rsid w:val="005E7960"/>
    <w:rsid w:val="005E7F1C"/>
    <w:rsid w:val="00627684"/>
    <w:rsid w:val="00633852"/>
    <w:rsid w:val="00655D95"/>
    <w:rsid w:val="00674059"/>
    <w:rsid w:val="006913E4"/>
    <w:rsid w:val="006C6FFC"/>
    <w:rsid w:val="006E644A"/>
    <w:rsid w:val="006E7364"/>
    <w:rsid w:val="006F51AE"/>
    <w:rsid w:val="00704B4A"/>
    <w:rsid w:val="00705EA3"/>
    <w:rsid w:val="00713D75"/>
    <w:rsid w:val="00717C07"/>
    <w:rsid w:val="00726552"/>
    <w:rsid w:val="00745911"/>
    <w:rsid w:val="007466AF"/>
    <w:rsid w:val="007832F3"/>
    <w:rsid w:val="00783413"/>
    <w:rsid w:val="007D6658"/>
    <w:rsid w:val="007F1696"/>
    <w:rsid w:val="00815A60"/>
    <w:rsid w:val="0082795C"/>
    <w:rsid w:val="00831787"/>
    <w:rsid w:val="00837C07"/>
    <w:rsid w:val="00843F78"/>
    <w:rsid w:val="00847617"/>
    <w:rsid w:val="00851C9E"/>
    <w:rsid w:val="00855C03"/>
    <w:rsid w:val="008571E8"/>
    <w:rsid w:val="008B03CB"/>
    <w:rsid w:val="008B0EA9"/>
    <w:rsid w:val="008C0D24"/>
    <w:rsid w:val="008C3CF4"/>
    <w:rsid w:val="008D6069"/>
    <w:rsid w:val="008D621D"/>
    <w:rsid w:val="008E2F3F"/>
    <w:rsid w:val="008E5070"/>
    <w:rsid w:val="008F2C40"/>
    <w:rsid w:val="00957673"/>
    <w:rsid w:val="009B4302"/>
    <w:rsid w:val="009E6DBF"/>
    <w:rsid w:val="00A000C0"/>
    <w:rsid w:val="00A15AC8"/>
    <w:rsid w:val="00A21712"/>
    <w:rsid w:val="00A36F61"/>
    <w:rsid w:val="00A41C64"/>
    <w:rsid w:val="00A748EE"/>
    <w:rsid w:val="00AE3C4F"/>
    <w:rsid w:val="00AF5AD2"/>
    <w:rsid w:val="00B04613"/>
    <w:rsid w:val="00B14BFB"/>
    <w:rsid w:val="00B20648"/>
    <w:rsid w:val="00B473CA"/>
    <w:rsid w:val="00B51DF2"/>
    <w:rsid w:val="00B64792"/>
    <w:rsid w:val="00B7125F"/>
    <w:rsid w:val="00B7383A"/>
    <w:rsid w:val="00B945E0"/>
    <w:rsid w:val="00BA3CAC"/>
    <w:rsid w:val="00BA585C"/>
    <w:rsid w:val="00BB125C"/>
    <w:rsid w:val="00BB7BA7"/>
    <w:rsid w:val="00C06EA2"/>
    <w:rsid w:val="00C26E68"/>
    <w:rsid w:val="00C73F0F"/>
    <w:rsid w:val="00C77027"/>
    <w:rsid w:val="00C969B6"/>
    <w:rsid w:val="00C97333"/>
    <w:rsid w:val="00C975C2"/>
    <w:rsid w:val="00CD28DC"/>
    <w:rsid w:val="00CD37C1"/>
    <w:rsid w:val="00CD77CA"/>
    <w:rsid w:val="00D0408C"/>
    <w:rsid w:val="00D459C4"/>
    <w:rsid w:val="00D47BBF"/>
    <w:rsid w:val="00D52DA9"/>
    <w:rsid w:val="00D93D49"/>
    <w:rsid w:val="00DC0ADB"/>
    <w:rsid w:val="00DE1737"/>
    <w:rsid w:val="00DF2513"/>
    <w:rsid w:val="00DF7544"/>
    <w:rsid w:val="00E13D33"/>
    <w:rsid w:val="00E32F92"/>
    <w:rsid w:val="00E55F6D"/>
    <w:rsid w:val="00E6668B"/>
    <w:rsid w:val="00F061C5"/>
    <w:rsid w:val="00F5400F"/>
    <w:rsid w:val="00FE2E46"/>
    <w:rsid w:val="00FF3247"/>
    <w:rsid w:val="1B441784"/>
    <w:rsid w:val="2DE623DF"/>
    <w:rsid w:val="348E675E"/>
    <w:rsid w:val="4E41681A"/>
    <w:rsid w:val="723E11FD"/>
    <w:rsid w:val="793E1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批注框文本 字符"/>
    <w:basedOn w:val="8"/>
    <w:link w:val="2"/>
    <w:semiHidden/>
    <w:qFormat/>
    <w:uiPriority w:val="99"/>
    <w:rPr>
      <w:kern w:val="2"/>
      <w:sz w:val="18"/>
      <w:szCs w:val="18"/>
    </w:rPr>
  </w:style>
  <w:style w:type="character" w:customStyle="1" w:styleId="13">
    <w:name w:val="未处理的提及1"/>
    <w:basedOn w:val="8"/>
    <w:semiHidden/>
    <w:unhideWhenUsed/>
    <w:qFormat/>
    <w:uiPriority w:val="99"/>
    <w:rPr>
      <w:color w:val="605E5C"/>
      <w:shd w:val="clear" w:color="auto" w:fill="E1DFDD"/>
    </w:rPr>
  </w:style>
  <w:style w:type="character" w:customStyle="1" w:styleId="14">
    <w:name w:val="fontstyle01"/>
    <w:basedOn w:val="8"/>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579</Words>
  <Characters>3303</Characters>
  <Lines>27</Lines>
  <Paragraphs>7</Paragraphs>
  <TotalTime>80</TotalTime>
  <ScaleCrop>false</ScaleCrop>
  <LinksUpToDate>false</LinksUpToDate>
  <CharactersWithSpaces>3875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2020-06-10T09:12:00Z</dcterms:created>
  <dc:creator>123</dc:creator>
  <cp:lastModifiedBy>lenovo</cp:lastModifiedBy>
  <cp:lastPrinted>2020-06-10T09:10:00Z</cp:lastPrinted>
  <dcterms:modified xsi:type="dcterms:W3CDTF">2020-06-12T06:26:50Z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