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contextualSpacing/>
        <w:rPr>
          <w:rFonts w:hint="default" w:ascii="黑体" w:hAnsi="黑体" w:eastAsia="黑体"/>
          <w:snapToGrid w:val="0"/>
          <w:sz w:val="32"/>
          <w:szCs w:val="32"/>
        </w:rPr>
      </w:pPr>
      <w:r>
        <w:rPr>
          <w:rFonts w:ascii="黑体" w:hAnsi="黑体" w:eastAsia="黑体"/>
          <w:snapToGrid w:val="0"/>
          <w:sz w:val="32"/>
          <w:szCs w:val="32"/>
        </w:rPr>
        <w:t>附件</w:t>
      </w:r>
      <w:r>
        <w:rPr>
          <w:rFonts w:hint="default" w:ascii="黑体" w:hAnsi="黑体" w:eastAsia="黑体"/>
          <w:snapToGrid w:val="0"/>
          <w:sz w:val="32"/>
          <w:szCs w:val="32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/>
          <w:sz w:val="44"/>
          <w:szCs w:val="44"/>
        </w:rPr>
        <w:t>评分指标</w:t>
      </w:r>
      <w:bookmarkEnd w:id="1"/>
    </w:p>
    <w:tbl>
      <w:tblPr>
        <w:tblStyle w:val="5"/>
        <w:tblW w:w="58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18"/>
        <w:gridCol w:w="9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6" w:hRule="atLeast"/>
          <w:tblHeader/>
          <w:jc w:val="center"/>
        </w:trPr>
        <w:tc>
          <w:tcPr>
            <w:tcW w:w="362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z w:val="24"/>
                <w:szCs w:val="28"/>
              </w:rPr>
            </w:pPr>
            <w:bookmarkStart w:id="0" w:name="_Hlk10491916"/>
            <w:r>
              <w:rPr>
                <w:rFonts w:ascii="黑体" w:hAnsi="黑体" w:eastAsia="黑体"/>
                <w:sz w:val="24"/>
                <w:szCs w:val="28"/>
              </w:rPr>
              <w:t>评价指标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分值</w:t>
            </w:r>
          </w:p>
        </w:tc>
        <w:tc>
          <w:tcPr>
            <w:tcW w:w="4347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9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班情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目标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15</w:t>
            </w:r>
          </w:p>
        </w:tc>
        <w:tc>
          <w:tcPr>
            <w:tcW w:w="4347" w:type="pct"/>
            <w:noWrap w:val="0"/>
            <w:vAlign w:val="center"/>
          </w:tcPr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1.对学生个体、班级结构等情况，班级人才培养模式、所属专业的人才培养目标、专业特点、总体教学内容、有关行业岗位要求实际等掌握清楚，学生成长变化跟踪及时。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2.班级情况分析深入，对建班育人实践中需重点关注的工作领域、学生个体以及可能面临的困难、需要重点解决的问题判断准确。参加决赛时对所抽定的班级活动主题和模拟情景领会到位，对育人元素、要求、内容把握恰当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3.班级建设目标创设科学合理、可行有效，适应新时代对高素质劳动者和技术技能人才培养的新要求，与党和国家对高中阶段学生培养的共性要求、学生终身成长和可持续发展的需要相匹配，将立德树人放在首要位置，强调培育学生的理想信念，践行社会主义核心价值观，树立正确的职业理想，坚定成才信心，激发学习兴趣，养成学习习惯，磨砺品格意志，培养精益求精的工匠精神和爱岗敬业的劳动态度。坚持因材施教，班集体整体发展、班级学生个性成长和多样成才有机统一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4.对班风学风建设高标准、严要求，有明确的工作目标。班级建设目标、班级活动目标表述清晰明确、语言规范、符合实际，重点突出、可评可测。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7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内容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策略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20</w:t>
            </w:r>
          </w:p>
        </w:tc>
        <w:tc>
          <w:tcPr>
            <w:tcW w:w="4347" w:type="pct"/>
            <w:noWrap w:val="0"/>
            <w:vAlign w:val="center"/>
          </w:tcPr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1.班级建设内容、途径和方法有效支撑班级建设目标的实现。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2.班级建设内容突出习近平新时代中国特色社会主义思想教育，党史、新中国史、改革开放史、社会主义发展史、中华民族发展史教育和爱国主义、集体主义、社会主义教育，深入开展劳动教育、中华优秀传统文化教育，加强国家安全教育、安全教育、法治教育、卫生健康教育、心理健康教育、防止拐卖诈骗、防范校园欺凌等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3.学年班级建设计划，与班级学业进度、教学计划、学校总体工作安排、不同月份的教育活动要求等相匹配，与整体班级建设方案一致性高，可操作性、实效性强，有效支撑班级建设目标的达成。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4.严格班级管理，树立优良班风学风，注重行为规范养成教育，制度规范与自我教育、自我管理、自我服务、自我约束、自我保护相结合，鼓励维护教育教学秩序和生活秩序，培养良好的职业道德、职业素养和职业行为习惯。班级活动主题明确、形式多样、安排科学合理、贴近学生实际，时代性、趣味性、针对性和实效性强。过程系统优化，资源、技术应用预想合理，方法手段设计恰当，评价考核考虑周全，鼓励、指导及时有效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5.突出学生主体、教师主导，坚持以心育心、以德育德、以人格育人格。班级建设策略选取合理、依据科学，针对性、实效性强，工作方式易于被学生接受和理解。注重调动、整合运用各方面资源、力量，形成育人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3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成效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35</w:t>
            </w:r>
          </w:p>
        </w:tc>
        <w:tc>
          <w:tcPr>
            <w:tcW w:w="4347" w:type="pct"/>
            <w:noWrap w:val="0"/>
            <w:vAlign w:val="center"/>
          </w:tcPr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1.体现先进教育思想和育人理念，遵循教育教学规律、思想政治工作规律和技术技能人才成长规律，符合中等职业学校办学实际和中职学生思想、行为特点，因材施教。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2.关注班级工作的整体推进和对学生个体的关心关爱，思想工作深入到位，班级管理规范有序，班级活动覆盖面广、参与度高，学生积极参</w:t>
            </w:r>
            <w:r>
              <w:rPr>
                <w:rFonts w:ascii="仿宋_GB2312" w:hAnsi="方正仿宋简体" w:eastAsia="仿宋_GB2312" w:cs="方正仿宋简体"/>
                <w:sz w:val="24"/>
                <w:szCs w:val="28"/>
              </w:rPr>
              <w:t>与“技能成才 强国有我”系列活动、“文明风采”活动等，班级学生发展兴趣爱好、参加竞赛竞技、参与志愿服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务、展示才艺特长的成效显著，展现积极向上的精神风貌，展示良好社会形象。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3.职业指导针对性强，符合社会需要和学生个体特点、实际，学生积极践行劳模精神、劳动精神、工匠精神，职业素养明显提升，顺利实现就业、创业或升学。与班级学生、任课教师、家长、社区、企业沟通深入有效，协同育人效果明显，在学生实习期间，与实习单位共同做好学生的教育和管理工作。突发事件应对预案周密，处理妥善、及时，合理运</w:t>
            </w:r>
            <w:r>
              <w:rPr>
                <w:rFonts w:ascii="仿宋_GB2312" w:hAnsi="方正仿宋简体" w:eastAsia="仿宋_GB2312" w:cs="方正仿宋简体"/>
                <w:sz w:val="24"/>
                <w:szCs w:val="28"/>
              </w:rPr>
              <w:t>用“三微一端”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等新媒体提高育人实效。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4.按照班级建设方案、学年工作安排扎实推进建班育人，开展育人全过程的信息采集，跟踪学生成长发展情况并细致分析，能够定期对照班级建设目标和实际达成进度，及时调整班级管理策略，积极反思改进。班级建设目标有效达成，班风学风建设取得显著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2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素养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表现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15</w:t>
            </w:r>
          </w:p>
        </w:tc>
        <w:tc>
          <w:tcPr>
            <w:tcW w:w="4347" w:type="pct"/>
            <w:noWrap w:val="0"/>
            <w:vAlign w:val="center"/>
          </w:tcPr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1.自觉践行教师职业行为十项准则，充分展现新时代中等职业学校班主任良好的师德师风、育人能力，做以德立身、以德立学、以德施教、以德育德的楷模。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2.教师育人态度认真、严谨规范、表述清晰、组织协调有条不紊、亲和力强，注重针对学生的个体差异因材施教。坚持身教大于言传，以严谨教风带动学风、优良作风促进班风学风建设。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3.班级建设方案实施情况总结客观真实反映、深刻反思建班育人的成效与不足，提出班级建设的改进设想。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4.决赛的情况介绍、现场展示和回答提问，熟悉学生情况、聚焦主题、科学准确、思路清晰、逻辑严谨、研究深入、手段得当、简洁明了、表达流畅。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6" w:hRule="atLeast"/>
          <w:jc w:val="center"/>
        </w:trPr>
        <w:tc>
          <w:tcPr>
            <w:tcW w:w="362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创新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15</w:t>
            </w:r>
          </w:p>
        </w:tc>
        <w:tc>
          <w:tcPr>
            <w:tcW w:w="4347" w:type="pct"/>
            <w:noWrap w:val="0"/>
            <w:vAlign w:val="center"/>
          </w:tcPr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1.能够引导学生树立正确的理想信念、学会正确的思维方法、培育正确的劳动观念、良好的职业素养，增强学生职业荣誉感。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2.能够坚持推进以文化人、以文育人，持续加强班风学风建设，形成体现新时代职教学生共有价值观念、群体意识、行为规范，具有一定特色的班级文化。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3.能够创新育人模式和方法，给学生深刻、美好的成长体验和更多的获得感。能够积极参与班主任工作室建设，与时俱进地提高信息技术应用能力，创新实施网络育人，推进班级建设，注重提升对立德树人工作的研究探索能力，建设积累建班育人资源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4.能够密切关注建班育人实践中出现的新情况新问题，研究应对策略和方法。善于跟踪社会舆论热点，第一时间分析挖掘可能包含的正面因素和负面影响，对学生有效正确引导。</w:t>
            </w:r>
          </w:p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sz w:val="24"/>
                <w:szCs w:val="28"/>
              </w:rPr>
            </w:pPr>
            <w:r>
              <w:rPr>
                <w:rFonts w:ascii="仿宋_GB2312" w:hAnsi="Times New Roman" w:eastAsia="仿宋_GB2312"/>
                <w:sz w:val="24"/>
                <w:szCs w:val="28"/>
              </w:rPr>
              <w:t>5.建班育人模式和方法具有较高借鉴和推广价值，特别是切实维护学生身心健康，有效帮助学生正确看待纷繁复杂的网络信息和舆情。</w:t>
            </w:r>
          </w:p>
        </w:tc>
      </w:tr>
      <w:bookmarkEnd w:id="0"/>
    </w:tbl>
    <w:p>
      <w:pPr>
        <w:overflowPunct w:val="0"/>
        <w:snapToGrid w:val="0"/>
        <w:ind w:left="480" w:hanging="480" w:hangingChars="200"/>
        <w:rPr>
          <w:rFonts w:hint="default" w:ascii="仿宋_GB2312" w:hAnsi="Times New Roman" w:eastAsia="仿宋_GB2312"/>
          <w:sz w:val="24"/>
        </w:rPr>
      </w:pPr>
      <w:r>
        <w:rPr>
          <w:rFonts w:ascii="仿宋_GB2312" w:hAnsi="Times New Roman" w:eastAsia="仿宋_GB2312"/>
          <w:sz w:val="24"/>
        </w:rPr>
        <w:t>注：</w:t>
      </w:r>
      <w:r>
        <w:rPr>
          <w:rFonts w:hint="default" w:ascii="仿宋_GB2312" w:hAnsi="Times New Roman" w:eastAsia="仿宋_GB2312"/>
          <w:sz w:val="24"/>
        </w:rPr>
        <w:t>1.评审专家根据参赛材料和参赛选手表现，考察参赛选手作为中职班主任的建班育人能力，根据评分指标进行综合评价和打分。</w:t>
      </w:r>
    </w:p>
    <w:p>
      <w:pPr>
        <w:overflowPunct w:val="0"/>
        <w:snapToGrid w:val="0"/>
        <w:ind w:left="420" w:leftChars="200"/>
        <w:rPr>
          <w:rFonts w:hint="default" w:ascii="仿宋_GB2312" w:hAnsi="Times New Roman" w:eastAsia="仿宋_GB2312"/>
          <w:sz w:val="24"/>
        </w:rPr>
      </w:pPr>
      <w:r>
        <w:rPr>
          <w:rFonts w:hint="default" w:ascii="仿宋_GB2312" w:hAnsi="Times New Roman" w:eastAsia="仿宋_GB2312"/>
          <w:sz w:val="24"/>
        </w:rPr>
        <w:t>2.网络初评阶段，班级建设方案、管理育人案例、班级活动实录视频及其对应的班级活动方案、另1个班级活动方案的评分权重分别为40%、15%、35%、10%。专业人才培养方案无需参赛选手本人撰写，仅用于班级建设方案的对照比较和印证，无需评价打分。</w:t>
      </w:r>
    </w:p>
    <w:p>
      <w:pPr>
        <w:overflowPunct w:val="0"/>
        <w:snapToGrid w:val="0"/>
        <w:ind w:left="420" w:leftChars="200"/>
        <w:rPr>
          <w:rFonts w:hint="default" w:ascii="仿宋_GB2312" w:hAnsi="Times New Roman" w:eastAsia="仿宋_GB2312"/>
          <w:sz w:val="24"/>
        </w:rPr>
      </w:pPr>
      <w:r>
        <w:rPr>
          <w:rFonts w:hint="default" w:ascii="仿宋_GB2312" w:hAnsi="Times New Roman" w:eastAsia="仿宋_GB2312"/>
          <w:sz w:val="24"/>
        </w:rPr>
        <w:t>3.决赛阶段，评审专家根据初评材料、决赛材料和选手现场表现等统筹打分，但参赛作品网络初评阶段得分不带入决赛。班级建设情况介绍、班级活动策划、模拟情景处置、答辩等环节的评分权重分别为25%、30%、30%、15%。</w:t>
      </w:r>
    </w:p>
    <w:p>
      <w:pPr>
        <w:rPr>
          <w:rFonts w:hint="eastAsia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18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B1178"/>
    <w:rsid w:val="4B4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2023-08-10T19:44:00Z</dcterms:created>
  <dc:creator>zhangjingxin</dc:creator>
  <cp:lastModifiedBy>zhangjingxin</cp:lastModifiedBy>
  <dcterms:modified xsi:type="dcterms:W3CDTF">2023-08-10T19:44:59Z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