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560" w:lineRule="exact"/>
        <w:ind w:firstLine="881" w:firstLineChars="200"/>
        <w:jc w:val="center"/>
        <w:rPr>
          <w:rFonts w:ascii="华文中宋" w:hAnsi="华文中宋" w:eastAsia="华文中宋" w:cs="Tahoma"/>
          <w:b/>
          <w:bCs/>
          <w:sz w:val="44"/>
          <w:szCs w:val="44"/>
        </w:rPr>
      </w:pPr>
      <w:r>
        <w:rPr>
          <w:rFonts w:ascii="华文中宋" w:hAnsi="华文中宋" w:eastAsia="华文中宋" w:cs="Tahoma"/>
          <w:b/>
          <w:bCs/>
          <w:sz w:val="44"/>
          <w:szCs w:val="44"/>
        </w:rPr>
        <w:t>优秀教师</w:t>
      </w:r>
      <w:r>
        <w:rPr>
          <w:rFonts w:hint="eastAsia" w:ascii="华文中宋" w:hAnsi="华文中宋" w:eastAsia="华文中宋" w:cs="Tahoma"/>
          <w:b/>
          <w:bCs/>
          <w:sz w:val="44"/>
          <w:szCs w:val="44"/>
        </w:rPr>
        <w:t>主要事迹材料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jc w:val="center"/>
        <w:rPr>
          <w:rFonts w:hint="eastAsia"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山东科技职业学院 王守顺</w:t>
      </w:r>
    </w:p>
    <w:p>
      <w:pPr>
        <w:pStyle w:val="4"/>
        <w:shd w:val="clear" w:color="auto" w:fill="FFFFFF"/>
        <w:spacing w:before="156" w:beforeLines="5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ascii="仿宋_GB2312" w:hAnsi="Tahoma" w:eastAsia="仿宋_GB2312" w:cs="Tahoma"/>
          <w:sz w:val="30"/>
          <w:szCs w:val="30"/>
        </w:rPr>
        <w:t>王守顺</w:t>
      </w:r>
      <w:r>
        <w:rPr>
          <w:rFonts w:hint="eastAsia" w:ascii="仿宋_GB2312" w:hAnsi="Tahoma" w:eastAsia="仿宋_GB2312" w:cs="Tahoma"/>
          <w:sz w:val="30"/>
          <w:szCs w:val="30"/>
        </w:rPr>
        <w:t>，山东科技职业学院机电工程系工业机器人技术专业教师，副教授职称、高级工程师，具有13年企业研发工作经历和17年高职院校教师工作经历。被评为第十一届山东省高职院校教学名师、山东省智能控制技术传承创新平台负责人，是山东省省级教学团队电气自动化教学团队带头人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一、思想工作素养高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从事高等职业教育17年以来，忠诚于党的高职教育事业，热爱本职工作，工作上兢兢业业。积极参加学校组织的各项政治学习，思想上积极要求进步。入校以来，一直担任班主任工作，以身作则，时时做到教书育人、言传身教、为人师表，以自己的人格、行为去感染学生。帮助学生树立正确的人生观，就业观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四次被评为山东科技职业学院十佳教师，2018年被评为山东科技职业学院最美教师和山东科技职业学院师德标兵。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仿宋_GB2312" w:hAnsi="Tahoma" w:eastAsia="仿宋_GB2312" w:cs="Tahoma"/>
          <w:b/>
          <w:sz w:val="32"/>
          <w:szCs w:val="32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二、教学工作业绩突出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2" w:firstLineChars="200"/>
        <w:rPr>
          <w:rFonts w:ascii="仿宋_GB2312" w:hAnsi="Tahoma" w:eastAsia="仿宋_GB2312" w:cs="Tahoma"/>
          <w:b/>
          <w:bCs/>
          <w:sz w:val="30"/>
          <w:szCs w:val="30"/>
        </w:rPr>
      </w:pPr>
      <w:r>
        <w:rPr>
          <w:rFonts w:hint="eastAsia" w:ascii="仿宋_GB2312" w:hAnsi="Tahoma" w:eastAsia="仿宋_GB2312" w:cs="Tahoma"/>
          <w:b/>
          <w:bCs/>
          <w:sz w:val="30"/>
          <w:szCs w:val="30"/>
        </w:rPr>
        <w:t>1.专业建设成效显著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作为专业带头人，负责的工业机器人技术专业入选了山东省高水平专业群建设专业，被省教育厅确定为国家“双高计划”推荐院校重点建设专业群---机械设计自动化专业群的核心专业。主持了《单片机技术及应用》、《小型电子产品设计与开发》、《电气控制与PLC》等3门核心专业课程体系的开发，所在的教学团队2018年被评为省级教学团队。依托该专业承办了山东省职业院校教师省培项目---山东省职业院校技能大赛工业机器人技术赛项指导教师培训。主持建设山东省智能制造公共实训基地的“工业机器人”实训中心、智能电子产品设计开发实训中心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2" w:firstLineChars="200"/>
        <w:rPr>
          <w:rFonts w:ascii="仿宋_GB2312" w:hAnsi="Tahoma" w:eastAsia="仿宋_GB2312" w:cs="Tahoma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  <w:lang w:val="zh-CN"/>
        </w:rPr>
        <w:t>.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课程开发与</w:t>
      </w:r>
      <w:r>
        <w:rPr>
          <w:rFonts w:hint="eastAsia" w:ascii="仿宋_GB2312" w:hAnsi="仿宋_GB2312" w:eastAsia="仿宋_GB2312" w:cs="仿宋_GB2312"/>
          <w:b/>
          <w:color w:val="000000"/>
          <w:sz w:val="30"/>
          <w:szCs w:val="30"/>
          <w:lang w:val="zh-CN"/>
        </w:rPr>
        <w:t>教学模式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改革成果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黑体" w:hAnsi="黑体" w:eastAsia="黑体" w:cs="黑体"/>
          <w:b/>
          <w:bCs/>
          <w:color w:val="C00000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教学中力争把在企业13年积累的实践经验变成学生的实践技能与创新创业能力。准确把握“以能力为本位、以学生为中心，以就业为导向”的高职教学理念，带领专业教师积极进行教学改革，推进产学研融合、教学做一体的教学模式，突出实践技能与学生创新能力的培养。开发基于工作过程，教学做一体的工学结合教材两本。参与建设省级精品课程3门，省级精品资源共享课1门。教学评价多年被评为优秀等级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2" w:firstLineChars="200"/>
        <w:rPr>
          <w:rFonts w:ascii="仿宋_GB2312" w:hAnsi="仿宋_GB2312" w:eastAsia="仿宋_GB2312" w:cs="仿宋_GB2312"/>
          <w:b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b/>
          <w:sz w:val="30"/>
          <w:szCs w:val="30"/>
          <w:lang w:val="zh-CN"/>
        </w:rPr>
        <w:t>.突出实践技能教学，指导学生参加技能大赛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教学中注重学生实践能力培养，组织本专业教学团队教师指导学生参加技能训练，培养学生的实践技能、职业素养与团队协作能力，达到以赛促练、以赛促学的目的。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参与指导学生获得全国职业院校技能大赛</w:t>
      </w:r>
      <w:r>
        <w:rPr>
          <w:rFonts w:hint="eastAsia" w:ascii="仿宋_GB2312" w:hAnsi="Tahoma" w:eastAsia="仿宋_GB2312" w:cs="Tahoma"/>
          <w:b/>
          <w:sz w:val="30"/>
          <w:szCs w:val="30"/>
        </w:rPr>
        <w:t>一等奖两项</w:t>
      </w:r>
      <w:r>
        <w:rPr>
          <w:rFonts w:hint="eastAsia" w:ascii="仿宋_GB2312" w:hAnsi="Tahoma" w:eastAsia="仿宋_GB2312" w:cs="Tahoma"/>
          <w:sz w:val="30"/>
          <w:szCs w:val="30"/>
        </w:rPr>
        <w:t>，三等奖一项；获得山东省职业院校技能大赛</w:t>
      </w:r>
      <w:r>
        <w:rPr>
          <w:rFonts w:hint="eastAsia" w:ascii="仿宋_GB2312" w:hAnsi="Tahoma" w:eastAsia="仿宋_GB2312" w:cs="Tahoma"/>
          <w:b/>
          <w:sz w:val="30"/>
          <w:szCs w:val="30"/>
        </w:rPr>
        <w:t>一等奖三项</w:t>
      </w:r>
      <w:r>
        <w:rPr>
          <w:rFonts w:hint="eastAsia" w:ascii="仿宋_GB2312" w:hAnsi="Tahoma" w:eastAsia="仿宋_GB2312" w:cs="Tahoma"/>
          <w:sz w:val="30"/>
          <w:szCs w:val="30"/>
        </w:rPr>
        <w:t>，二等奖三项。指导学生获得山东省大学生电子设计竞赛一等奖8项，二等奖14项。指导学生技能大赛主要奖项为如下：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2019年全国职业院校技能大赛工业机器人技术应用一等奖；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2018年全国职业院校技能大赛工业机器人技术应用一等奖；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2018年山东省职业院校技能大赛工业机器人技术一等奖；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2017年山东省职业院校技能大赛工业机器人技术一等奖；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2013年山东省职业院校技能大赛电子产品设计一等奖；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b/>
          <w:bCs/>
          <w:color w:val="C00000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2009、2010、2011年连续三年获山东省职业院校技能大赛电子产品设计二等奖。本人被评为全国大学生电子设计竞赛山东赛区优秀指导教师；连续两年被评为山东省职业院校技能优秀指导教师；连续两年被全国职业院校技能大赛组织委员会评为优秀指导教师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hint="eastAsia" w:ascii="仿宋_GB2312" w:hAnsi="Tahoma" w:eastAsia="仿宋_GB2312" w:cs="Tahoma"/>
          <w:b/>
          <w:sz w:val="32"/>
          <w:szCs w:val="32"/>
          <w:lang w:eastAsia="zh-CN"/>
        </w:rPr>
      </w:pPr>
      <w:r>
        <w:rPr>
          <w:rFonts w:hint="eastAsia" w:ascii="仿宋_GB2312" w:hAnsi="Tahoma" w:eastAsia="仿宋_GB2312" w:cs="Tahoma"/>
          <w:b/>
          <w:sz w:val="32"/>
          <w:szCs w:val="32"/>
        </w:rPr>
        <w:t>三、科研与社会服务</w:t>
      </w:r>
      <w:r>
        <w:rPr>
          <w:rFonts w:hint="eastAsia" w:ascii="仿宋_GB2312" w:hAnsi="Tahoma" w:eastAsia="仿宋_GB2312" w:cs="Tahoma"/>
          <w:b/>
          <w:sz w:val="32"/>
          <w:szCs w:val="32"/>
          <w:lang w:eastAsia="zh-CN"/>
        </w:rPr>
        <w:t>成绩显著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在做好学生思想工作与教学的同时，积极开展科研与社会服务工作。发表论文《新型果蔬仓储温度控制系统设计》等多篇。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2" w:firstLineChars="200"/>
        <w:rPr>
          <w:rFonts w:hint="eastAsia" w:ascii="仿宋_GB2312" w:hAnsi="Tahoma" w:eastAsia="仿宋_GB2312" w:cs="Tahoma"/>
          <w:b/>
          <w:bCs/>
          <w:sz w:val="30"/>
          <w:szCs w:val="30"/>
        </w:rPr>
      </w:pPr>
      <w:r>
        <w:rPr>
          <w:rFonts w:hint="eastAsia" w:ascii="仿宋_GB2312" w:hAnsi="Tahoma" w:eastAsia="仿宋_GB2312" w:cs="Tahoma"/>
          <w:b/>
          <w:bCs/>
          <w:sz w:val="30"/>
          <w:szCs w:val="30"/>
        </w:rPr>
        <w:t>1.积极开展科研与技术服务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带领团队与潍坊多家企业开展技术合作，完成横向科研项目“一种半导体激光脱毛仪中半导体激光器的保护方法”“大功率半导体激光脱毛仪”“智能识别多波长、多治疗头的大功率半导体激光脱毛系统”“PDT光动力治疗仪控制器的开发”“反后座装置气液检测调整设备的开发”“光子治疗仪PFC电源的开发”等6项，到位资金近70万元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2" w:firstLineChars="200"/>
        <w:rPr>
          <w:rFonts w:hint="eastAsia" w:ascii="仿宋_GB2312" w:hAnsi="Tahoma" w:eastAsia="仿宋_GB2312" w:cs="Tahoma"/>
          <w:b/>
          <w:bCs/>
          <w:sz w:val="30"/>
          <w:szCs w:val="30"/>
        </w:rPr>
      </w:pPr>
      <w:r>
        <w:rPr>
          <w:rFonts w:hint="eastAsia" w:ascii="仿宋_GB2312" w:hAnsi="Tahoma" w:eastAsia="仿宋_GB2312" w:cs="Tahoma"/>
          <w:b/>
          <w:bCs/>
          <w:sz w:val="30"/>
          <w:szCs w:val="30"/>
        </w:rPr>
        <w:t>2.申报发明专利3项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与企业合作开发产品申报发明专利三项，为企业创造了良好的经济效益，其中两项为第一发明人。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(1) 2017年授权发明专利：大功率半导体激光脱毛仪，专利号: ZL201410139285.7,本人为第一发明人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(2) 2017年授权发明专利：一种半导体激光脱毛仪中半导体激光器的保护方法</w:t>
      </w:r>
      <w:r>
        <w:rPr>
          <w:rFonts w:hint="eastAsia" w:ascii="仿宋_GB2312" w:hAnsi="Tahoma" w:eastAsia="仿宋_GB2312" w:cs="Tahoma"/>
          <w:sz w:val="30"/>
          <w:szCs w:val="30"/>
        </w:rPr>
        <w:tab/>
      </w:r>
      <w:r>
        <w:rPr>
          <w:rFonts w:hint="eastAsia" w:ascii="仿宋_GB2312" w:hAnsi="Tahoma" w:eastAsia="仿宋_GB2312" w:cs="Tahoma"/>
          <w:sz w:val="30"/>
          <w:szCs w:val="30"/>
        </w:rPr>
        <w:t xml:space="preserve"> ZL201410341573.0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(3)2019年授权发明专利：智能识别多波长、多治疗头的大功率半导体激光脱毛系统，专利号：ZL201610718281.3，本人为第一发明人。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2" w:firstLineChars="200"/>
        <w:rPr>
          <w:rFonts w:hint="eastAsia" w:ascii="仿宋_GB2312" w:hAnsi="Tahoma" w:eastAsia="仿宋_GB2312" w:cs="Tahoma"/>
          <w:b/>
          <w:bCs/>
          <w:sz w:val="30"/>
          <w:szCs w:val="30"/>
        </w:rPr>
      </w:pPr>
      <w:r>
        <w:rPr>
          <w:rFonts w:hint="eastAsia" w:ascii="仿宋_GB2312" w:hAnsi="Tahoma" w:eastAsia="仿宋_GB2312" w:cs="Tahoma"/>
          <w:b/>
          <w:bCs/>
          <w:sz w:val="30"/>
          <w:szCs w:val="30"/>
        </w:rPr>
        <w:t>3.多项科研项目获奖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00" w:firstLineChars="200"/>
        <w:rPr>
          <w:rFonts w:ascii="仿宋_GB2312" w:hAnsi="Tahoma" w:eastAsia="仿宋_GB2312" w:cs="Tahoma"/>
          <w:sz w:val="30"/>
          <w:szCs w:val="30"/>
        </w:rPr>
      </w:pPr>
      <w:r>
        <w:rPr>
          <w:rFonts w:hint="eastAsia" w:ascii="仿宋_GB2312" w:hAnsi="Tahoma" w:eastAsia="仿宋_GB2312" w:cs="Tahoma"/>
          <w:sz w:val="30"/>
          <w:szCs w:val="30"/>
        </w:rPr>
        <w:t>获得山东高等学校优秀科研成果一等奖1项、二等奖1项，获得山东省经济和信息化委员会优秀成果三等奖1项，获得潍坊市科技进步奖3项。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22C"/>
    <w:rsid w:val="00034573"/>
    <w:rsid w:val="00054F40"/>
    <w:rsid w:val="0006101A"/>
    <w:rsid w:val="000B0E2C"/>
    <w:rsid w:val="0010268F"/>
    <w:rsid w:val="00134B3D"/>
    <w:rsid w:val="00172985"/>
    <w:rsid w:val="00185E40"/>
    <w:rsid w:val="0020726F"/>
    <w:rsid w:val="00211201"/>
    <w:rsid w:val="00262512"/>
    <w:rsid w:val="002836BA"/>
    <w:rsid w:val="002E449B"/>
    <w:rsid w:val="0037202B"/>
    <w:rsid w:val="00395925"/>
    <w:rsid w:val="0044501A"/>
    <w:rsid w:val="004716EA"/>
    <w:rsid w:val="004B0435"/>
    <w:rsid w:val="004C15F2"/>
    <w:rsid w:val="004C7266"/>
    <w:rsid w:val="004E29FF"/>
    <w:rsid w:val="0050316E"/>
    <w:rsid w:val="00576775"/>
    <w:rsid w:val="0057792C"/>
    <w:rsid w:val="00617B0D"/>
    <w:rsid w:val="006A0E29"/>
    <w:rsid w:val="00730314"/>
    <w:rsid w:val="00782EE7"/>
    <w:rsid w:val="00790521"/>
    <w:rsid w:val="007B4C45"/>
    <w:rsid w:val="008121B4"/>
    <w:rsid w:val="00860471"/>
    <w:rsid w:val="0086422D"/>
    <w:rsid w:val="00873729"/>
    <w:rsid w:val="008919A4"/>
    <w:rsid w:val="008A5574"/>
    <w:rsid w:val="00927D00"/>
    <w:rsid w:val="00951C11"/>
    <w:rsid w:val="00957A23"/>
    <w:rsid w:val="00966FB6"/>
    <w:rsid w:val="009A1649"/>
    <w:rsid w:val="009A2CF2"/>
    <w:rsid w:val="00A25B76"/>
    <w:rsid w:val="00A270F4"/>
    <w:rsid w:val="00A86791"/>
    <w:rsid w:val="00AA29D3"/>
    <w:rsid w:val="00AA7859"/>
    <w:rsid w:val="00AB772C"/>
    <w:rsid w:val="00AC24D0"/>
    <w:rsid w:val="00AE31C7"/>
    <w:rsid w:val="00B844DC"/>
    <w:rsid w:val="00C441D5"/>
    <w:rsid w:val="00C84138"/>
    <w:rsid w:val="00C91635"/>
    <w:rsid w:val="00CE4732"/>
    <w:rsid w:val="00D26F33"/>
    <w:rsid w:val="00D45B28"/>
    <w:rsid w:val="00D674B0"/>
    <w:rsid w:val="00D80840"/>
    <w:rsid w:val="00E8044A"/>
    <w:rsid w:val="00E9288D"/>
    <w:rsid w:val="00EC052B"/>
    <w:rsid w:val="00ED072D"/>
    <w:rsid w:val="00F27FEA"/>
    <w:rsid w:val="00F36A9D"/>
    <w:rsid w:val="00FF222C"/>
    <w:rsid w:val="021C31D7"/>
    <w:rsid w:val="04572B08"/>
    <w:rsid w:val="09C47D8F"/>
    <w:rsid w:val="0C7E451D"/>
    <w:rsid w:val="0C88791E"/>
    <w:rsid w:val="0D74021E"/>
    <w:rsid w:val="13343251"/>
    <w:rsid w:val="14D236A0"/>
    <w:rsid w:val="1779399F"/>
    <w:rsid w:val="1A3D37AD"/>
    <w:rsid w:val="1A985939"/>
    <w:rsid w:val="1B731950"/>
    <w:rsid w:val="1E696D2C"/>
    <w:rsid w:val="212470EF"/>
    <w:rsid w:val="23145E96"/>
    <w:rsid w:val="245A351F"/>
    <w:rsid w:val="264A48C0"/>
    <w:rsid w:val="26B377AF"/>
    <w:rsid w:val="29EA0EB1"/>
    <w:rsid w:val="2E193E30"/>
    <w:rsid w:val="2F010DD3"/>
    <w:rsid w:val="2FC84DE0"/>
    <w:rsid w:val="30165489"/>
    <w:rsid w:val="31310E96"/>
    <w:rsid w:val="365B7654"/>
    <w:rsid w:val="367E22CD"/>
    <w:rsid w:val="39282B37"/>
    <w:rsid w:val="3A405D1A"/>
    <w:rsid w:val="3D3C2362"/>
    <w:rsid w:val="40E05068"/>
    <w:rsid w:val="44992645"/>
    <w:rsid w:val="4575252B"/>
    <w:rsid w:val="46B32B76"/>
    <w:rsid w:val="49361588"/>
    <w:rsid w:val="49A06354"/>
    <w:rsid w:val="4BEC1297"/>
    <w:rsid w:val="507E2B5A"/>
    <w:rsid w:val="51EC3BC3"/>
    <w:rsid w:val="52B434C9"/>
    <w:rsid w:val="5303594A"/>
    <w:rsid w:val="54B67E38"/>
    <w:rsid w:val="5B42096A"/>
    <w:rsid w:val="60EA13C2"/>
    <w:rsid w:val="60FE7607"/>
    <w:rsid w:val="61F34F17"/>
    <w:rsid w:val="621D769C"/>
    <w:rsid w:val="68842450"/>
    <w:rsid w:val="68C41A5A"/>
    <w:rsid w:val="6C646CE1"/>
    <w:rsid w:val="6CD819C1"/>
    <w:rsid w:val="6D7E17AF"/>
    <w:rsid w:val="6E72610B"/>
    <w:rsid w:val="704C74B0"/>
    <w:rsid w:val="72CB5BE8"/>
    <w:rsid w:val="738C53C3"/>
    <w:rsid w:val="740B7E38"/>
    <w:rsid w:val="775D7E1B"/>
    <w:rsid w:val="7A223EF4"/>
    <w:rsid w:val="7DFF1EAF"/>
    <w:rsid w:val="7E311F6C"/>
    <w:rsid w:val="7F63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276</Words>
  <Characters>1574</Characters>
  <Lines>13</Lines>
  <Paragraphs>3</Paragraphs>
  <TotalTime>11</TotalTime>
  <ScaleCrop>false</ScaleCrop>
  <LinksUpToDate>false</LinksUpToDate>
  <CharactersWithSpaces>1847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2019-07-14T01:25:00Z</dcterms:created>
  <dc:creator>zz</dc:creator>
  <cp:lastModifiedBy>骏马奔腾</cp:lastModifiedBy>
  <dcterms:modified xsi:type="dcterms:W3CDTF">2019-07-16T02:05:52Z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