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72C" w:rsidRPr="00215C50" w:rsidRDefault="00A12812">
      <w:pPr>
        <w:jc w:val="center"/>
        <w:rPr>
          <w:rFonts w:ascii="黑体" w:eastAsia="黑体" w:hAnsi="黑体" w:cs="宋体"/>
          <w:bCs/>
          <w:color w:val="333333"/>
          <w:sz w:val="36"/>
          <w:szCs w:val="36"/>
          <w:shd w:val="clear" w:color="auto" w:fill="FFFFFF"/>
        </w:rPr>
      </w:pPr>
      <w:r w:rsidRPr="00215C50">
        <w:rPr>
          <w:rFonts w:ascii="黑体" w:eastAsia="黑体" w:hAnsi="黑体" w:cs="宋体" w:hint="eastAsia"/>
          <w:bCs/>
          <w:sz w:val="36"/>
          <w:szCs w:val="36"/>
        </w:rPr>
        <w:t>不忘初心</w:t>
      </w:r>
      <w:r w:rsidR="00AA6C3A">
        <w:rPr>
          <w:rFonts w:ascii="黑体" w:eastAsia="黑体" w:hAnsi="黑体" w:cs="宋体" w:hint="eastAsia"/>
          <w:bCs/>
          <w:sz w:val="36"/>
          <w:szCs w:val="36"/>
        </w:rPr>
        <w:t>，牢记使命，争做新时代“</w:t>
      </w:r>
      <w:r w:rsidR="00AA6C3A">
        <w:rPr>
          <w:rFonts w:ascii="黑体" w:eastAsia="黑体" w:hAnsi="黑体" w:cs="宋体" w:hint="eastAsia"/>
          <w:bCs/>
          <w:sz w:val="36"/>
          <w:szCs w:val="36"/>
        </w:rPr>
        <w:t>四有好老师</w:t>
      </w:r>
      <w:r w:rsidR="00AA6C3A">
        <w:rPr>
          <w:rFonts w:ascii="黑体" w:eastAsia="黑体" w:hAnsi="黑体" w:cs="宋体" w:hint="eastAsia"/>
          <w:bCs/>
          <w:sz w:val="36"/>
          <w:szCs w:val="36"/>
        </w:rPr>
        <w:t>”</w:t>
      </w:r>
    </w:p>
    <w:p w:rsidR="0051172C" w:rsidRPr="00215C50" w:rsidRDefault="00215C50" w:rsidP="00215C50">
      <w:pPr>
        <w:jc w:val="right"/>
        <w:rPr>
          <w:rFonts w:ascii="仿宋" w:eastAsia="仿宋" w:hAnsi="仿宋" w:cs="宋体"/>
          <w:b/>
          <w:bCs/>
          <w:color w:val="333333"/>
          <w:sz w:val="28"/>
          <w:szCs w:val="28"/>
          <w:shd w:val="clear" w:color="auto" w:fill="FFFFFF"/>
        </w:rPr>
      </w:pPr>
      <w:r w:rsidRPr="00215C50">
        <w:rPr>
          <w:rFonts w:ascii="仿宋" w:eastAsia="仿宋" w:hAnsi="仿宋" w:cs="宋体" w:hint="eastAsia"/>
          <w:b/>
          <w:bCs/>
          <w:color w:val="333333"/>
          <w:sz w:val="28"/>
          <w:szCs w:val="28"/>
          <w:shd w:val="clear" w:color="auto" w:fill="FFFFFF"/>
        </w:rPr>
        <w:t>——</w:t>
      </w:r>
      <w:r w:rsidR="00A12812" w:rsidRPr="00215C50">
        <w:rPr>
          <w:rFonts w:ascii="仿宋" w:eastAsia="仿宋" w:hAnsi="仿宋" w:cs="宋体" w:hint="eastAsia"/>
          <w:b/>
          <w:bCs/>
          <w:color w:val="333333"/>
          <w:sz w:val="28"/>
          <w:szCs w:val="28"/>
          <w:shd w:val="clear" w:color="auto" w:fill="FFFFFF"/>
        </w:rPr>
        <w:t>聊城大学东昌学院牛雪婷主要事迹材料</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牛雪婷，女，1982年12月6日出生，2002年加入中国共产党，2004年毕业于聊城大学计算机学院，2010年取得山东科技大学工学硕士学位。2006年开始从事学生思想政治管理工作，现任聊城大学东昌学院影视传媒系党总支副书记，2017级计算机科学与技术、2017级电子信息科学与技术和2017级软件工程三个本科专业辅导员。2011年任共青团聊城市东昌府区委挂职副书记。作为教育工作者，她坚持党的教育方针，坚持把思想政治工作贯穿教育教学全过程，注重全方位育人，关爱学生，爱岗敬业；作为任课教师，她坚守教育教学一线，为人师表，切实履行教师岗位职责和义务；作为党员干部，她全心全意为师生服务，凝心聚力营造和谐氛围。</w:t>
      </w:r>
    </w:p>
    <w:p w:rsidR="0051172C" w:rsidRPr="00215C50" w:rsidRDefault="00A12812">
      <w:pPr>
        <w:adjustRightInd w:val="0"/>
        <w:snapToGrid w:val="0"/>
        <w:spacing w:line="540" w:lineRule="exact"/>
        <w:ind w:firstLineChars="200" w:firstLine="602"/>
        <w:rPr>
          <w:rFonts w:ascii="仿宋" w:eastAsia="仿宋" w:hAnsi="仿宋" w:cs="宋体"/>
          <w:b/>
          <w:bCs/>
          <w:sz w:val="30"/>
          <w:szCs w:val="30"/>
        </w:rPr>
      </w:pPr>
      <w:r w:rsidRPr="00215C50">
        <w:rPr>
          <w:rFonts w:ascii="仿宋" w:eastAsia="仿宋" w:hAnsi="仿宋" w:cs="宋体" w:hint="eastAsia"/>
          <w:b/>
          <w:bCs/>
          <w:sz w:val="30"/>
          <w:szCs w:val="30"/>
        </w:rPr>
        <w:t>一、以德育人，重视思想教育工作</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从教以来，该同志努力贯彻党的教育方针政策，坚持把思想政治工作贯穿教育教学全过程，坚持以德立身、以德育人，爱岗敬业，积极向上，树立“百年大计，教育为本”的教育理念，注重全程育人、全方位育人。</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高校思想教育者的核心是做人的工作，这份荣誉的职业需要从业人员必须是一个既能“和学生打成一片”又能赢得学生尊重的人，该同志一直把做一名“可亲又可敬的老师”作为自己的职业理想。通过不断加强理论学习，提高思想修养和理论水平；通过业务学习，汲取别人优秀的做法和经验运用到实际工作中。在工作中不断尝试，不断改进，不断总结提高，争做有理想信念、有道德情操、有扎实学识、有仁爱之心的“四有”好老师。2018年的灯塔党建在线学习中，该同志获全院唯一的学习标兵，2018年获选学院“以德立身、以德育人 争</w:t>
      </w:r>
      <w:r w:rsidRPr="00215C50">
        <w:rPr>
          <w:rFonts w:ascii="仿宋" w:eastAsia="仿宋" w:hAnsi="仿宋" w:cs="宋体" w:hint="eastAsia"/>
          <w:sz w:val="30"/>
          <w:szCs w:val="30"/>
        </w:rPr>
        <w:lastRenderedPageBreak/>
        <w:t>做‘四有’好老师”专题网络培训班学习资格，圆满完成学习任务，以优异的表现顺利通过考核，为今后更好的开展教育教学工作打下了坚实的基础。</w:t>
      </w:r>
    </w:p>
    <w:p w:rsidR="0051172C" w:rsidRPr="00215C50" w:rsidRDefault="00A12812">
      <w:pPr>
        <w:adjustRightInd w:val="0"/>
        <w:snapToGrid w:val="0"/>
        <w:spacing w:line="540" w:lineRule="exact"/>
        <w:ind w:firstLineChars="200" w:firstLine="602"/>
        <w:rPr>
          <w:rFonts w:ascii="仿宋" w:eastAsia="仿宋" w:hAnsi="仿宋" w:cs="宋体"/>
          <w:b/>
          <w:bCs/>
          <w:sz w:val="30"/>
          <w:szCs w:val="30"/>
        </w:rPr>
      </w:pPr>
      <w:r w:rsidRPr="00215C50">
        <w:rPr>
          <w:rFonts w:ascii="仿宋" w:eastAsia="仿宋" w:hAnsi="仿宋" w:cs="宋体" w:hint="eastAsia"/>
          <w:b/>
          <w:bCs/>
          <w:sz w:val="30"/>
          <w:szCs w:val="30"/>
        </w:rPr>
        <w:t>二、勇于创新，努力做好学生管理工作</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该同志曾任2004级、2006级、2009级辅导员工作，现任2017级三个本科班级辅导员。有人说“大学，是迷茫的，每个人在大学都会乱了方向，但在这里，你过的会很充实。”为了帮助学生适应大学生活，丰富校园生活，积极采用主题班会、座谈会、辩论赛等方式，增强同学们“家”的意识，在新生入校后便会组织班级同学以宿舍为单位讨论宿舍文化主题、确定宿舍个性名片，以此增进团结。每学期开学后，都会认真调查了解学生思想动态，及时发现解决问题。每年都会采用实地走访或者电话联系的方式与部分经济困难学生家长联系，帮助解决各类问题，同时鼓励经济困难学生参加校内勤工俭学，帮助有需要的同学寻找可靠兼职缓解生活压力。</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该同志2006年起开始负责系学生管理及招生就业工作，在各个工作岗位上能够认真履行岗位职责，取得了较为突出的工作成绩，连续多次获学院团学工作先进单位、红旗团总支、学生资助工作先进单位、宿舍管理工作先进单位等荣誉称号，在学院科技文化艺术节等各类活动中成绩均名列前茅。为提高学生的科技创新和实践动手能力，精心设计科技创新课外活动体系，实现学生科技创新能力培养“不断线”。所指导学生多次获一、二等奖，2010年在山东齐鲁软件设计大赛中获“一等奖”及“特等奖提名”的优异成绩，被评为“优秀指导教师”。近年来指导4项国家级大学生创新创业训练项目顺利结题，2018年、2019年连续两年申报获批3项国家级创新创业项目。该同志2015年获全省高校思想政治教育工作先进个人，连续多次获学院学生管理工</w:t>
      </w:r>
      <w:r w:rsidRPr="00215C50">
        <w:rPr>
          <w:rFonts w:ascii="仿宋" w:eastAsia="仿宋" w:hAnsi="仿宋" w:cs="宋体" w:hint="eastAsia"/>
          <w:sz w:val="30"/>
          <w:szCs w:val="30"/>
        </w:rPr>
        <w:lastRenderedPageBreak/>
        <w:t>作先进个人荣誉称号，先后多次被评为院优秀共产党员、院先进工作者，先后取得“高级职业指导师”、“ 创业咨询师” 和“心理咨询师”资格证书。</w:t>
      </w:r>
    </w:p>
    <w:p w:rsidR="0051172C" w:rsidRPr="00215C50" w:rsidRDefault="00A12812">
      <w:pPr>
        <w:adjustRightInd w:val="0"/>
        <w:snapToGrid w:val="0"/>
        <w:spacing w:line="540" w:lineRule="exact"/>
        <w:ind w:firstLineChars="200" w:firstLine="602"/>
        <w:rPr>
          <w:rFonts w:ascii="仿宋" w:eastAsia="仿宋" w:hAnsi="仿宋" w:cs="宋体"/>
          <w:b/>
          <w:bCs/>
          <w:sz w:val="30"/>
          <w:szCs w:val="30"/>
        </w:rPr>
      </w:pPr>
      <w:r w:rsidRPr="00215C50">
        <w:rPr>
          <w:rFonts w:ascii="仿宋" w:eastAsia="仿宋" w:hAnsi="仿宋" w:cs="宋体" w:hint="eastAsia"/>
          <w:b/>
          <w:bCs/>
          <w:sz w:val="30"/>
          <w:szCs w:val="30"/>
        </w:rPr>
        <w:t>三、以人为本，坚守教育教学一线</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2010年该同志加入山东省教育科学规划课题《优秀教师成长的个案研究和规律探索》的研究工作，发表论文《由优秀教师成长考量师德建设》，并一直以一名优秀教师的标准要求自己。</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从教以来，坚持从教学上严格要求，每节课前都认真备课，教学过程中注重因材施教，从课程导入、内容安排、板书设计、作业布置到课堂管理，都全身心投入、一丝不苟，课后仔细批改作业，认真听取分析学生思路，严谨的学风，渊博的知识，引人入胜的讲课，深深感染了学生，赢得学生们的赞赏，课堂到课率几乎全部达到100%，取得了很好的教学效果，每年都超额完成教学工作量，学生评教连续多次达100分。先后教授了《数据结构》、《VB程序设计》、《</w:t>
      </w:r>
      <w:proofErr w:type="spellStart"/>
      <w:r w:rsidRPr="00215C50">
        <w:rPr>
          <w:rFonts w:ascii="仿宋" w:eastAsia="仿宋" w:hAnsi="仿宋" w:cs="宋体" w:hint="eastAsia"/>
          <w:sz w:val="30"/>
          <w:szCs w:val="30"/>
        </w:rPr>
        <w:t>Authorware</w:t>
      </w:r>
      <w:proofErr w:type="spellEnd"/>
      <w:r w:rsidRPr="00215C50">
        <w:rPr>
          <w:rFonts w:ascii="仿宋" w:eastAsia="仿宋" w:hAnsi="仿宋" w:cs="宋体" w:hint="eastAsia"/>
          <w:sz w:val="30"/>
          <w:szCs w:val="30"/>
        </w:rPr>
        <w:t>课件制作》等多门核心专业课程，其中《VB程序设计》被评为系精品课程。同时每年都承担计算机公共课的教学任务，所教授的学生在山东省计算机等级考试中的过关率连续多年达95%以上。每年都圆满完成毕业生的论文指导工作，其指导的毕业生先后四名获院优秀学位论文，一名获山东省优秀学位论文。</w:t>
      </w:r>
    </w:p>
    <w:p w:rsidR="0051172C" w:rsidRPr="00215C50" w:rsidRDefault="00A12812">
      <w:pPr>
        <w:adjustRightInd w:val="0"/>
        <w:snapToGrid w:val="0"/>
        <w:spacing w:line="540" w:lineRule="exact"/>
        <w:ind w:firstLineChars="200" w:firstLine="602"/>
        <w:rPr>
          <w:rFonts w:ascii="仿宋" w:eastAsia="仿宋" w:hAnsi="仿宋" w:cs="宋体"/>
          <w:b/>
          <w:bCs/>
          <w:sz w:val="30"/>
          <w:szCs w:val="30"/>
        </w:rPr>
      </w:pPr>
      <w:r w:rsidRPr="00215C50">
        <w:rPr>
          <w:rFonts w:ascii="仿宋" w:eastAsia="仿宋" w:hAnsi="仿宋" w:cs="宋体" w:hint="eastAsia"/>
          <w:b/>
          <w:bCs/>
          <w:sz w:val="30"/>
          <w:szCs w:val="30"/>
        </w:rPr>
        <w:t>四、积极进取，努力提高业务水平</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该同志注重学术研究，业务理论功底扎实，主持1项山东省教育厅科技计划课题“基于视频的多目标检测与跟踪技术研究”，主持参与其他各级课题5项，在这些课题的研究工作中，科研素质得到全面锻炼，养成了勤奋钻研、不怕困难、积极进取的学风和实事求是、严谨朴实的科研风格，有强烈的责任心和事业心，也取得了许多成果，</w:t>
      </w:r>
      <w:r w:rsidRPr="00215C50">
        <w:rPr>
          <w:rFonts w:ascii="仿宋" w:eastAsia="仿宋" w:hAnsi="仿宋" w:cs="宋体" w:hint="eastAsia"/>
          <w:sz w:val="30"/>
          <w:szCs w:val="30"/>
        </w:rPr>
        <w:lastRenderedPageBreak/>
        <w:t>先后发表学术论文20余篇，其中EI检索论文1篇，中文核心期刊论文2篇，实用新型发明专利5项，获“聊城市自然科学优秀学术成果一等奖”、“聊城大学东昌学院优秀教科研成果一等奖”等科研奖励，该同志掌握了相关领域研究的发展动态，科研视野开阔，科研思想活跃。</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该同志是师生眼中的好老师、好同事，更是师生心中的好党员。她在工作中取得的成绩和荣誉，都源于她拥有坚定的理想信念，强烈的事业心和责任感，她用实际行动忠诚于党的教育事业，践行了社会主义核心价值观，彰显了党员的先锋本色!</w:t>
      </w:r>
    </w:p>
    <w:p w:rsidR="0051172C" w:rsidRPr="00215C50" w:rsidRDefault="00A12812">
      <w:pPr>
        <w:adjustRightInd w:val="0"/>
        <w:snapToGrid w:val="0"/>
        <w:spacing w:line="540" w:lineRule="exact"/>
        <w:ind w:firstLineChars="200" w:firstLine="600"/>
        <w:rPr>
          <w:rFonts w:ascii="仿宋" w:eastAsia="仿宋" w:hAnsi="仿宋" w:cs="宋体"/>
          <w:sz w:val="30"/>
          <w:szCs w:val="30"/>
        </w:rPr>
      </w:pPr>
      <w:r w:rsidRPr="00215C50">
        <w:rPr>
          <w:rFonts w:ascii="仿宋" w:eastAsia="仿宋" w:hAnsi="仿宋" w:cs="宋体" w:hint="eastAsia"/>
          <w:sz w:val="30"/>
          <w:szCs w:val="30"/>
        </w:rPr>
        <w:t>附：奖励荣誉情况一览表</w:t>
      </w: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51172C">
      <w:pPr>
        <w:adjustRightInd w:val="0"/>
        <w:snapToGrid w:val="0"/>
        <w:spacing w:line="540" w:lineRule="exact"/>
        <w:ind w:firstLineChars="200" w:firstLine="600"/>
        <w:rPr>
          <w:rFonts w:ascii="仿宋" w:eastAsia="仿宋" w:hAnsi="仿宋" w:cs="宋体"/>
          <w:sz w:val="30"/>
          <w:szCs w:val="30"/>
        </w:rPr>
      </w:pPr>
    </w:p>
    <w:p w:rsidR="0051172C" w:rsidRPr="00215C50" w:rsidRDefault="00A12812">
      <w:pPr>
        <w:adjustRightInd w:val="0"/>
        <w:snapToGrid w:val="0"/>
        <w:spacing w:line="540" w:lineRule="exact"/>
        <w:ind w:firstLineChars="200" w:firstLine="600"/>
        <w:jc w:val="right"/>
        <w:rPr>
          <w:rFonts w:ascii="仿宋" w:eastAsia="仿宋" w:hAnsi="仿宋" w:cs="宋体"/>
          <w:sz w:val="30"/>
          <w:szCs w:val="30"/>
        </w:rPr>
      </w:pPr>
      <w:r w:rsidRPr="00215C50">
        <w:rPr>
          <w:rFonts w:ascii="仿宋" w:eastAsia="仿宋" w:hAnsi="仿宋" w:cs="宋体" w:hint="eastAsia"/>
          <w:sz w:val="30"/>
          <w:szCs w:val="30"/>
        </w:rPr>
        <w:t xml:space="preserve">                                        聊城大学东昌学院</w:t>
      </w:r>
    </w:p>
    <w:p w:rsidR="0051172C" w:rsidRPr="00215C50" w:rsidRDefault="00A12812">
      <w:pPr>
        <w:adjustRightInd w:val="0"/>
        <w:snapToGrid w:val="0"/>
        <w:spacing w:line="540" w:lineRule="exact"/>
        <w:ind w:firstLineChars="200" w:firstLine="600"/>
        <w:jc w:val="right"/>
        <w:rPr>
          <w:rFonts w:ascii="仿宋" w:eastAsia="仿宋" w:hAnsi="仿宋" w:cs="宋体"/>
          <w:sz w:val="30"/>
          <w:szCs w:val="30"/>
        </w:rPr>
      </w:pPr>
      <w:r w:rsidRPr="00215C50">
        <w:rPr>
          <w:rFonts w:ascii="仿宋" w:eastAsia="仿宋" w:hAnsi="仿宋" w:cs="宋体" w:hint="eastAsia"/>
          <w:sz w:val="30"/>
          <w:szCs w:val="30"/>
        </w:rPr>
        <w:t>2019年7月18日</w:t>
      </w:r>
    </w:p>
    <w:p w:rsidR="0051172C" w:rsidRPr="00215C50" w:rsidRDefault="0051172C">
      <w:pPr>
        <w:rPr>
          <w:rFonts w:ascii="仿宋" w:eastAsia="仿宋" w:hAnsi="仿宋" w:cs="宋体"/>
          <w:sz w:val="30"/>
          <w:szCs w:val="30"/>
        </w:rPr>
      </w:pPr>
    </w:p>
    <w:p w:rsidR="0051172C" w:rsidRDefault="0051172C">
      <w:pPr>
        <w:rPr>
          <w:rFonts w:ascii="宋体" w:eastAsia="宋体" w:hAnsi="宋体" w:cs="宋体"/>
          <w:sz w:val="30"/>
          <w:szCs w:val="30"/>
        </w:rPr>
      </w:pPr>
    </w:p>
    <w:p w:rsidR="0051172C" w:rsidRDefault="0051172C">
      <w:pPr>
        <w:rPr>
          <w:rFonts w:ascii="宋体" w:eastAsia="宋体" w:hAnsi="宋体" w:cs="宋体"/>
          <w:sz w:val="30"/>
          <w:szCs w:val="30"/>
        </w:rPr>
      </w:pPr>
    </w:p>
    <w:p w:rsidR="0051172C" w:rsidRDefault="0051172C">
      <w:pPr>
        <w:rPr>
          <w:rFonts w:ascii="宋体" w:eastAsia="宋体" w:hAnsi="宋体" w:cs="宋体"/>
          <w:sz w:val="30"/>
          <w:szCs w:val="30"/>
        </w:rPr>
      </w:pPr>
    </w:p>
    <w:p w:rsidR="0051172C" w:rsidRDefault="0051172C">
      <w:pPr>
        <w:rPr>
          <w:rFonts w:ascii="宋体" w:eastAsia="宋体" w:hAnsi="宋体" w:cs="宋体"/>
          <w:sz w:val="30"/>
          <w:szCs w:val="30"/>
        </w:rPr>
      </w:pPr>
    </w:p>
    <w:p w:rsidR="0051172C" w:rsidRDefault="0051172C">
      <w:pPr>
        <w:rPr>
          <w:rFonts w:ascii="宋体" w:eastAsia="宋体" w:hAnsi="宋体" w:cs="宋体"/>
          <w:sz w:val="30"/>
          <w:szCs w:val="30"/>
        </w:rPr>
      </w:pPr>
    </w:p>
    <w:p w:rsidR="00AA6C3A" w:rsidRDefault="00AA6C3A">
      <w:pPr>
        <w:widowControl/>
        <w:jc w:val="left"/>
        <w:rPr>
          <w:rFonts w:ascii="宋体" w:eastAsia="宋体" w:hAnsi="宋体" w:cs="宋体"/>
          <w:sz w:val="28"/>
          <w:szCs w:val="28"/>
        </w:rPr>
      </w:pPr>
      <w:r>
        <w:rPr>
          <w:rFonts w:ascii="宋体" w:eastAsia="宋体" w:hAnsi="宋体" w:cs="宋体"/>
          <w:sz w:val="28"/>
          <w:szCs w:val="28"/>
        </w:rPr>
        <w:br w:type="page"/>
      </w:r>
    </w:p>
    <w:p w:rsidR="0051172C" w:rsidRDefault="00A12812">
      <w:pPr>
        <w:jc w:val="left"/>
        <w:rPr>
          <w:rFonts w:ascii="宋体" w:eastAsia="宋体" w:hAnsi="宋体" w:cs="宋体"/>
          <w:sz w:val="28"/>
          <w:szCs w:val="28"/>
        </w:rPr>
      </w:pPr>
      <w:bookmarkStart w:id="0" w:name="_GoBack"/>
      <w:bookmarkEnd w:id="0"/>
      <w:r>
        <w:rPr>
          <w:rFonts w:ascii="宋体" w:eastAsia="宋体" w:hAnsi="宋体" w:cs="宋体" w:hint="eastAsia"/>
          <w:sz w:val="28"/>
          <w:szCs w:val="28"/>
        </w:rPr>
        <w:lastRenderedPageBreak/>
        <w:t>附：</w:t>
      </w:r>
    </w:p>
    <w:p w:rsidR="0051172C" w:rsidRDefault="00A12812">
      <w:pPr>
        <w:jc w:val="center"/>
        <w:rPr>
          <w:rFonts w:ascii="宋体" w:eastAsia="宋体" w:hAnsi="宋体" w:cs="宋体"/>
          <w:b/>
          <w:bCs/>
          <w:sz w:val="32"/>
          <w:szCs w:val="32"/>
        </w:rPr>
      </w:pPr>
      <w:r>
        <w:rPr>
          <w:rFonts w:ascii="宋体" w:eastAsia="宋体" w:hAnsi="宋体" w:cs="宋体" w:hint="eastAsia"/>
          <w:b/>
          <w:bCs/>
          <w:sz w:val="32"/>
          <w:szCs w:val="32"/>
        </w:rPr>
        <w:t>奖励荣誉情况一览表</w:t>
      </w:r>
    </w:p>
    <w:p w:rsidR="0051172C" w:rsidRDefault="0051172C">
      <w:pPr>
        <w:jc w:val="center"/>
        <w:rPr>
          <w:rFonts w:ascii="宋体" w:eastAsia="宋体" w:hAnsi="宋体" w:cs="宋体"/>
          <w:b/>
          <w:bCs/>
          <w:szCs w:val="21"/>
        </w:rPr>
      </w:pPr>
    </w:p>
    <w:tbl>
      <w:tblPr>
        <w:tblW w:w="9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4589"/>
        <w:gridCol w:w="1202"/>
        <w:gridCol w:w="2457"/>
      </w:tblGrid>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sz w:val="24"/>
              </w:rPr>
            </w:pPr>
            <w:r>
              <w:rPr>
                <w:rFonts w:ascii="宋体" w:hAnsi="宋体" w:hint="eastAsia"/>
                <w:sz w:val="24"/>
              </w:rPr>
              <w:t>序号</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名 称</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时间</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批准机构</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sz w:val="24"/>
              </w:rPr>
            </w:pPr>
            <w:r>
              <w:rPr>
                <w:rFonts w:ascii="宋体" w:hAnsi="宋体" w:hint="eastAsia"/>
                <w:bCs/>
                <w:sz w:val="24"/>
              </w:rPr>
              <w:t>1</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全省高校思想政治教育工作先进个人</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2015.12</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pacing w:val="-11"/>
                <w:sz w:val="24"/>
              </w:rPr>
              <w:t>中共山东省委高校工委</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2</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山东省优秀学士学位论文指导老师</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2016.11</w:t>
            </w:r>
          </w:p>
        </w:tc>
        <w:tc>
          <w:tcPr>
            <w:tcW w:w="2457" w:type="dxa"/>
            <w:tcBorders>
              <w:left w:val="single" w:sz="4" w:space="0" w:color="auto"/>
            </w:tcBorders>
            <w:vAlign w:val="center"/>
          </w:tcPr>
          <w:p w:rsidR="0051172C" w:rsidRDefault="00A12812">
            <w:pPr>
              <w:jc w:val="center"/>
              <w:rPr>
                <w:rFonts w:ascii="宋体" w:hAnsi="宋体"/>
                <w:bCs/>
                <w:spacing w:val="-28"/>
                <w:sz w:val="24"/>
              </w:rPr>
            </w:pPr>
            <w:r>
              <w:rPr>
                <w:rFonts w:ascii="宋体" w:hAnsi="宋体" w:hint="eastAsia"/>
                <w:bCs/>
                <w:spacing w:val="-28"/>
                <w:sz w:val="24"/>
              </w:rPr>
              <w:t>山东省人民政府学位委员会</w:t>
            </w:r>
          </w:p>
          <w:p w:rsidR="0051172C" w:rsidRDefault="00A12812">
            <w:pPr>
              <w:jc w:val="center"/>
              <w:rPr>
                <w:rFonts w:ascii="宋体" w:hAnsi="宋体"/>
                <w:bCs/>
                <w:sz w:val="24"/>
              </w:rPr>
            </w:pPr>
            <w:r>
              <w:rPr>
                <w:rFonts w:ascii="宋体" w:hAnsi="宋体" w:hint="eastAsia"/>
                <w:bCs/>
                <w:sz w:val="24"/>
              </w:rPr>
              <w:t>山东省教育厅</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3</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山东省大学生软件设计大赛优秀指导老师</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2018.11</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山东省教育厅</w:t>
            </w:r>
          </w:p>
          <w:p w:rsidR="0051172C" w:rsidRDefault="00A12812">
            <w:pPr>
              <w:jc w:val="center"/>
              <w:rPr>
                <w:rFonts w:ascii="宋体" w:hAnsi="宋体"/>
                <w:bCs/>
                <w:sz w:val="24"/>
              </w:rPr>
            </w:pPr>
            <w:r>
              <w:rPr>
                <w:rFonts w:ascii="宋体" w:hAnsi="宋体" w:hint="eastAsia"/>
                <w:bCs/>
                <w:spacing w:val="-6"/>
                <w:sz w:val="24"/>
              </w:rPr>
              <w:t>共青团山东省委员会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4</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山东省高校公寓管理工作先进个人</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2019.01</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山东省学校后勤协会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5</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齐鲁大学生软件大赛优秀指导老师</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2010.12</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pacing w:val="-11"/>
                <w:sz w:val="24"/>
              </w:rPr>
              <w:t>山东省科学技术协会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6</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全国多媒体课件大赛优秀奖</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2015.11</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pacing w:val="-23"/>
                <w:sz w:val="24"/>
              </w:rPr>
              <w:t>教育部教育管理信息中心</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7</w:t>
            </w:r>
          </w:p>
        </w:tc>
        <w:tc>
          <w:tcPr>
            <w:tcW w:w="4589"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聊城市青年科技奖</w:t>
            </w:r>
          </w:p>
        </w:tc>
        <w:tc>
          <w:tcPr>
            <w:tcW w:w="1202"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2013.08</w:t>
            </w:r>
          </w:p>
          <w:p w:rsidR="0051172C" w:rsidRDefault="00A12812">
            <w:pPr>
              <w:jc w:val="center"/>
              <w:rPr>
                <w:rFonts w:ascii="宋体" w:hAnsi="宋体"/>
                <w:bCs/>
                <w:sz w:val="24"/>
              </w:rPr>
            </w:pPr>
            <w:r>
              <w:rPr>
                <w:rFonts w:ascii="宋体" w:hAnsi="宋体" w:hint="eastAsia"/>
                <w:bCs/>
                <w:sz w:val="24"/>
              </w:rPr>
              <w:t>2015.08</w:t>
            </w:r>
          </w:p>
        </w:tc>
        <w:tc>
          <w:tcPr>
            <w:tcW w:w="2457" w:type="dxa"/>
            <w:tcBorders>
              <w:left w:val="single" w:sz="4" w:space="0" w:color="auto"/>
            </w:tcBorders>
            <w:vAlign w:val="center"/>
          </w:tcPr>
          <w:p w:rsidR="0051172C" w:rsidRDefault="00A12812">
            <w:pPr>
              <w:jc w:val="center"/>
              <w:rPr>
                <w:rFonts w:ascii="宋体" w:hAnsi="宋体"/>
                <w:bCs/>
                <w:sz w:val="24"/>
              </w:rPr>
            </w:pPr>
            <w:r>
              <w:rPr>
                <w:rFonts w:ascii="宋体" w:hAnsi="宋体" w:hint="eastAsia"/>
                <w:bCs/>
                <w:sz w:val="24"/>
              </w:rPr>
              <w:t>聊城市委组织部</w:t>
            </w:r>
          </w:p>
          <w:p w:rsidR="0051172C" w:rsidRDefault="00A12812">
            <w:pPr>
              <w:jc w:val="center"/>
              <w:rPr>
                <w:rFonts w:ascii="宋体" w:hAnsi="宋体"/>
                <w:bCs/>
                <w:sz w:val="24"/>
              </w:rPr>
            </w:pPr>
            <w:r>
              <w:rPr>
                <w:rFonts w:ascii="宋体" w:hAnsi="宋体" w:hint="eastAsia"/>
                <w:bCs/>
                <w:sz w:val="24"/>
              </w:rPr>
              <w:t>聊城市财政局</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8</w:t>
            </w:r>
          </w:p>
        </w:tc>
        <w:tc>
          <w:tcPr>
            <w:tcW w:w="4589"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聊城市自然科学优秀学术成果一等奖</w:t>
            </w:r>
          </w:p>
        </w:tc>
        <w:tc>
          <w:tcPr>
            <w:tcW w:w="1202"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2015.08</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聊城市委组织部</w:t>
            </w:r>
          </w:p>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聊城市财政局</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9</w:t>
            </w:r>
          </w:p>
        </w:tc>
        <w:tc>
          <w:tcPr>
            <w:tcW w:w="4589"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院优秀教科研成果一等奖</w:t>
            </w:r>
          </w:p>
        </w:tc>
        <w:tc>
          <w:tcPr>
            <w:tcW w:w="1202"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2014.11</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聊城大学东昌学院</w:t>
            </w:r>
          </w:p>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学术委员会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10</w:t>
            </w:r>
          </w:p>
        </w:tc>
        <w:tc>
          <w:tcPr>
            <w:tcW w:w="4589"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院优秀共产党员</w:t>
            </w:r>
          </w:p>
        </w:tc>
        <w:tc>
          <w:tcPr>
            <w:tcW w:w="1202"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2016.07</w:t>
            </w:r>
          </w:p>
        </w:tc>
        <w:tc>
          <w:tcPr>
            <w:tcW w:w="2457"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hAnsi="宋体" w:hint="eastAsia"/>
                <w:bCs/>
                <w:sz w:val="24"/>
              </w:rPr>
              <w:t>中共聊城大学东昌学院委员会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11</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hAnsi="宋体" w:hint="eastAsia"/>
                <w:bCs/>
                <w:sz w:val="24"/>
              </w:rPr>
              <w:t>院第二届辅导员素质能力大赛单项奖</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hAnsi="宋体" w:hint="eastAsia"/>
                <w:bCs/>
                <w:sz w:val="24"/>
              </w:rPr>
              <w:t>2019.06</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hAnsi="宋体" w:hint="eastAsia"/>
                <w:bCs/>
                <w:sz w:val="24"/>
              </w:rPr>
              <w:t>中共聊城大学东昌学院委员会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12</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院先进工作者</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spacing w:val="-11"/>
                <w:kern w:val="0"/>
                <w:sz w:val="24"/>
                <w:lang w:bidi="ar"/>
              </w:rPr>
            </w:pPr>
            <w:r>
              <w:rPr>
                <w:rFonts w:ascii="宋体" w:eastAsia="宋体" w:hAnsi="宋体" w:cs="宋体" w:hint="eastAsia"/>
                <w:color w:val="000000"/>
                <w:spacing w:val="-11"/>
                <w:kern w:val="0"/>
                <w:sz w:val="24"/>
                <w:lang w:bidi="ar"/>
              </w:rPr>
              <w:t>2014-2016</w:t>
            </w:r>
          </w:p>
          <w:p w:rsidR="0051172C" w:rsidRDefault="00A12812">
            <w:pPr>
              <w:widowControl/>
              <w:jc w:val="center"/>
              <w:textAlignment w:val="center"/>
              <w:rPr>
                <w:rFonts w:ascii="宋体" w:eastAsia="宋体" w:hAnsi="宋体"/>
                <w:bCs/>
                <w:sz w:val="24"/>
              </w:rPr>
            </w:pPr>
            <w:r>
              <w:rPr>
                <w:rFonts w:ascii="宋体" w:eastAsia="宋体" w:hAnsi="宋体" w:cs="宋体" w:hint="eastAsia"/>
                <w:color w:val="000000"/>
                <w:kern w:val="0"/>
                <w:sz w:val="24"/>
                <w:lang w:bidi="ar"/>
              </w:rPr>
              <w:t>2019.01</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bCs/>
                <w:sz w:val="24"/>
              </w:rPr>
            </w:pPr>
            <w:r>
              <w:rPr>
                <w:rFonts w:ascii="宋体" w:eastAsia="宋体" w:hAnsi="宋体" w:cs="宋体" w:hint="eastAsia"/>
                <w:color w:val="000000"/>
                <w:kern w:val="0"/>
                <w:sz w:val="24"/>
                <w:lang w:bidi="ar"/>
              </w:rPr>
              <w:t>聊城大学东昌学院</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13</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共青团学生工作先进个人</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spacing w:val="-11"/>
                <w:kern w:val="0"/>
                <w:sz w:val="24"/>
                <w:lang w:bidi="ar"/>
              </w:rPr>
            </w:pPr>
            <w:r>
              <w:rPr>
                <w:rFonts w:ascii="宋体" w:eastAsia="宋体" w:hAnsi="宋体" w:cs="宋体" w:hint="eastAsia"/>
                <w:color w:val="000000"/>
                <w:spacing w:val="-11"/>
                <w:kern w:val="0"/>
                <w:sz w:val="24"/>
                <w:lang w:bidi="ar"/>
              </w:rPr>
              <w:t>2015-2017</w:t>
            </w:r>
          </w:p>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2019.03</w:t>
            </w:r>
          </w:p>
        </w:tc>
        <w:tc>
          <w:tcPr>
            <w:tcW w:w="2457"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中共聊城大学东昌学院委员会</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14</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国家级大学生创新创业项目指导老师</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spacing w:val="-11"/>
                <w:kern w:val="0"/>
                <w:sz w:val="24"/>
                <w:lang w:bidi="ar"/>
              </w:rPr>
              <w:t>2015-2016</w:t>
            </w:r>
          </w:p>
        </w:tc>
        <w:tc>
          <w:tcPr>
            <w:tcW w:w="2457" w:type="dxa"/>
            <w:tcBorders>
              <w:left w:val="single" w:sz="4" w:space="0" w:color="auto"/>
            </w:tcBorders>
            <w:vAlign w:val="center"/>
          </w:tcPr>
          <w:p w:rsidR="0051172C" w:rsidRDefault="00A12812">
            <w:pPr>
              <w:widowControl/>
              <w:jc w:val="center"/>
              <w:textAlignment w:val="center"/>
              <w:rPr>
                <w:rFonts w:ascii="宋体" w:hAnsi="宋体"/>
                <w:bCs/>
                <w:sz w:val="24"/>
              </w:rPr>
            </w:pPr>
            <w:r>
              <w:rPr>
                <w:rFonts w:ascii="宋体" w:eastAsia="宋体" w:hAnsi="宋体" w:cs="宋体" w:hint="eastAsia"/>
                <w:color w:val="000000"/>
                <w:kern w:val="0"/>
                <w:sz w:val="24"/>
                <w:lang w:bidi="ar"/>
              </w:rPr>
              <w:t>山东省教育厅</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15</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 xml:space="preserve"> 高级职业指导师</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2012.10</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山东省人力资源</w:t>
            </w:r>
          </w:p>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和社会保障厅</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16</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 xml:space="preserve"> 创业咨询师</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2013.10</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山东省人力资源</w:t>
            </w:r>
          </w:p>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和社会保障厅</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17</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 xml:space="preserve"> 心理咨询师</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2015.03</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山东省人力资源</w:t>
            </w:r>
          </w:p>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和社会保障厅</w:t>
            </w:r>
          </w:p>
        </w:tc>
      </w:tr>
      <w:tr w:rsidR="0051172C">
        <w:trPr>
          <w:trHeight w:hRule="exact" w:val="624"/>
          <w:jc w:val="center"/>
        </w:trPr>
        <w:tc>
          <w:tcPr>
            <w:tcW w:w="805" w:type="dxa"/>
            <w:tcBorders>
              <w:right w:val="single" w:sz="4" w:space="0" w:color="auto"/>
            </w:tcBorders>
            <w:vAlign w:val="center"/>
          </w:tcPr>
          <w:p w:rsidR="0051172C" w:rsidRDefault="00A12812">
            <w:pPr>
              <w:jc w:val="center"/>
              <w:rPr>
                <w:rFonts w:ascii="宋体" w:hAnsi="宋体"/>
                <w:bCs/>
                <w:sz w:val="24"/>
              </w:rPr>
            </w:pPr>
            <w:r>
              <w:rPr>
                <w:rFonts w:ascii="宋体" w:hAnsi="宋体" w:hint="eastAsia"/>
                <w:bCs/>
                <w:sz w:val="24"/>
              </w:rPr>
              <w:t>18</w:t>
            </w:r>
          </w:p>
        </w:tc>
        <w:tc>
          <w:tcPr>
            <w:tcW w:w="4589"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 xml:space="preserve"> 物联网高级工程师</w:t>
            </w:r>
          </w:p>
        </w:tc>
        <w:tc>
          <w:tcPr>
            <w:tcW w:w="1202"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2013.12</w:t>
            </w:r>
          </w:p>
        </w:tc>
        <w:tc>
          <w:tcPr>
            <w:tcW w:w="2457" w:type="dxa"/>
            <w:tcBorders>
              <w:left w:val="single" w:sz="4" w:space="0" w:color="auto"/>
            </w:tcBorders>
            <w:vAlign w:val="center"/>
          </w:tcPr>
          <w:p w:rsidR="0051172C" w:rsidRDefault="00A12812">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国家人力资源和社会保障部</w:t>
            </w:r>
          </w:p>
        </w:tc>
      </w:tr>
    </w:tbl>
    <w:p w:rsidR="0051172C" w:rsidRDefault="0051172C">
      <w:pPr>
        <w:jc w:val="left"/>
        <w:rPr>
          <w:rFonts w:ascii="宋体" w:eastAsia="宋体" w:hAnsi="宋体" w:cs="宋体"/>
          <w:sz w:val="30"/>
          <w:szCs w:val="30"/>
        </w:rPr>
      </w:pPr>
    </w:p>
    <w:sectPr w:rsidR="0051172C">
      <w:footerReference w:type="default" r:id="rId8"/>
      <w:pgSz w:w="11906" w:h="16838"/>
      <w:pgMar w:top="1440" w:right="1440" w:bottom="144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743" w:rsidRDefault="007C3743">
      <w:r>
        <w:separator/>
      </w:r>
    </w:p>
  </w:endnote>
  <w:endnote w:type="continuationSeparator" w:id="0">
    <w:p w:rsidR="007C3743" w:rsidRDefault="007C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72C" w:rsidRDefault="00A12812">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1172C" w:rsidRDefault="00A12812">
                          <w:pPr>
                            <w:pStyle w:val="a3"/>
                          </w:pPr>
                          <w:r>
                            <w:rPr>
                              <w:rFonts w:hint="eastAsia"/>
                            </w:rPr>
                            <w:fldChar w:fldCharType="begin"/>
                          </w:r>
                          <w:r>
                            <w:rPr>
                              <w:rFonts w:hint="eastAsia"/>
                            </w:rPr>
                            <w:instrText xml:space="preserve"> PAGE  \* MERGEFORMAT </w:instrText>
                          </w:r>
                          <w:r>
                            <w:rPr>
                              <w:rFonts w:hint="eastAsia"/>
                            </w:rPr>
                            <w:fldChar w:fldCharType="separate"/>
                          </w:r>
                          <w:r w:rsidR="00AA6C3A">
                            <w:rPr>
                              <w:noProof/>
                            </w:rPr>
                            <w:t>- 4 -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1172C" w:rsidRDefault="00A12812">
                    <w:pPr>
                      <w:pStyle w:val="a3"/>
                    </w:pPr>
                    <w:r>
                      <w:rPr>
                        <w:rFonts w:hint="eastAsia"/>
                      </w:rPr>
                      <w:fldChar w:fldCharType="begin"/>
                    </w:r>
                    <w:r>
                      <w:rPr>
                        <w:rFonts w:hint="eastAsia"/>
                      </w:rPr>
                      <w:instrText xml:space="preserve"> PAGE  \* MERGEFORMAT </w:instrText>
                    </w:r>
                    <w:r>
                      <w:rPr>
                        <w:rFonts w:hint="eastAsia"/>
                      </w:rPr>
                      <w:fldChar w:fldCharType="separate"/>
                    </w:r>
                    <w:r w:rsidR="00AA6C3A">
                      <w:rPr>
                        <w:noProof/>
                      </w:rPr>
                      <w:t>- 4 -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743" w:rsidRDefault="007C3743">
      <w:r>
        <w:separator/>
      </w:r>
    </w:p>
  </w:footnote>
  <w:footnote w:type="continuationSeparator" w:id="0">
    <w:p w:rsidR="007C3743" w:rsidRDefault="007C37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D7A26"/>
    <w:rsid w:val="00215C50"/>
    <w:rsid w:val="0051172C"/>
    <w:rsid w:val="007C3743"/>
    <w:rsid w:val="00A12812"/>
    <w:rsid w:val="00AA6C3A"/>
    <w:rsid w:val="02695F6A"/>
    <w:rsid w:val="0416226D"/>
    <w:rsid w:val="04E044E4"/>
    <w:rsid w:val="060A41D9"/>
    <w:rsid w:val="07A934CC"/>
    <w:rsid w:val="09333B52"/>
    <w:rsid w:val="09C26AFA"/>
    <w:rsid w:val="0A1C5564"/>
    <w:rsid w:val="0A7A079E"/>
    <w:rsid w:val="0AFE376F"/>
    <w:rsid w:val="0B232B16"/>
    <w:rsid w:val="0E177E69"/>
    <w:rsid w:val="0F511363"/>
    <w:rsid w:val="118E4BF4"/>
    <w:rsid w:val="121A7A12"/>
    <w:rsid w:val="128A63C7"/>
    <w:rsid w:val="12FC0F57"/>
    <w:rsid w:val="130F0C1A"/>
    <w:rsid w:val="14364EB3"/>
    <w:rsid w:val="16314A74"/>
    <w:rsid w:val="186F5670"/>
    <w:rsid w:val="195A744F"/>
    <w:rsid w:val="1AAD34E8"/>
    <w:rsid w:val="1BB2362D"/>
    <w:rsid w:val="1BB85D56"/>
    <w:rsid w:val="1C7D630C"/>
    <w:rsid w:val="1C91599A"/>
    <w:rsid w:val="1EEB4D6E"/>
    <w:rsid w:val="1F0652B6"/>
    <w:rsid w:val="1F297E58"/>
    <w:rsid w:val="2037773A"/>
    <w:rsid w:val="212A0F79"/>
    <w:rsid w:val="21A87B8E"/>
    <w:rsid w:val="23210D53"/>
    <w:rsid w:val="24F709D6"/>
    <w:rsid w:val="268469AF"/>
    <w:rsid w:val="27EB160A"/>
    <w:rsid w:val="2A0D581A"/>
    <w:rsid w:val="2E534445"/>
    <w:rsid w:val="2E7D138D"/>
    <w:rsid w:val="2F801B6A"/>
    <w:rsid w:val="34D31E2F"/>
    <w:rsid w:val="37CE71DB"/>
    <w:rsid w:val="3E406490"/>
    <w:rsid w:val="3F771DD0"/>
    <w:rsid w:val="40B000E8"/>
    <w:rsid w:val="42504904"/>
    <w:rsid w:val="43F50D78"/>
    <w:rsid w:val="45A20FE6"/>
    <w:rsid w:val="494713DC"/>
    <w:rsid w:val="4A0B17F1"/>
    <w:rsid w:val="4A9B3C9F"/>
    <w:rsid w:val="4ABF6970"/>
    <w:rsid w:val="4BBF06EF"/>
    <w:rsid w:val="4BCF3E0C"/>
    <w:rsid w:val="4CAC2B14"/>
    <w:rsid w:val="4E5A0526"/>
    <w:rsid w:val="4E651DDA"/>
    <w:rsid w:val="50325976"/>
    <w:rsid w:val="51F75EC2"/>
    <w:rsid w:val="52B17986"/>
    <w:rsid w:val="52D24169"/>
    <w:rsid w:val="53A412A7"/>
    <w:rsid w:val="546603B5"/>
    <w:rsid w:val="54687ECD"/>
    <w:rsid w:val="55687468"/>
    <w:rsid w:val="55C23461"/>
    <w:rsid w:val="560627FE"/>
    <w:rsid w:val="56BD7A26"/>
    <w:rsid w:val="58E632C6"/>
    <w:rsid w:val="5ABD5FBF"/>
    <w:rsid w:val="5B027E3F"/>
    <w:rsid w:val="5B0728C3"/>
    <w:rsid w:val="5B27511A"/>
    <w:rsid w:val="5BCE533B"/>
    <w:rsid w:val="5C5A2792"/>
    <w:rsid w:val="5F8F16ED"/>
    <w:rsid w:val="600F25A6"/>
    <w:rsid w:val="607E259F"/>
    <w:rsid w:val="60FD51AE"/>
    <w:rsid w:val="62B82671"/>
    <w:rsid w:val="6352578E"/>
    <w:rsid w:val="66C45ECF"/>
    <w:rsid w:val="67DE52FB"/>
    <w:rsid w:val="69A74C20"/>
    <w:rsid w:val="6A9B6E6D"/>
    <w:rsid w:val="6A9D02B9"/>
    <w:rsid w:val="6ACF3597"/>
    <w:rsid w:val="6C3C2139"/>
    <w:rsid w:val="6D4A196F"/>
    <w:rsid w:val="725754AA"/>
    <w:rsid w:val="739C78EC"/>
    <w:rsid w:val="740E3015"/>
    <w:rsid w:val="75144602"/>
    <w:rsid w:val="7535465E"/>
    <w:rsid w:val="753F1C18"/>
    <w:rsid w:val="75687BDA"/>
    <w:rsid w:val="769D2836"/>
    <w:rsid w:val="77FF211D"/>
    <w:rsid w:val="781C2A07"/>
    <w:rsid w:val="785C2E67"/>
    <w:rsid w:val="78626C77"/>
    <w:rsid w:val="7A295063"/>
    <w:rsid w:val="7ACB3010"/>
    <w:rsid w:val="7B0E035D"/>
    <w:rsid w:val="7BA164C4"/>
    <w:rsid w:val="7C1B23B7"/>
    <w:rsid w:val="7F035773"/>
    <w:rsid w:val="7FD60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Cite" w:qFormat="1"/>
    <w:lsdException w:name="HTML Code" w:qFormat="1"/>
    <w:lsdException w:name="HTML Definition"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Pr>
      <w:sz w:val="24"/>
    </w:rPr>
  </w:style>
  <w:style w:type="character" w:styleId="a6">
    <w:name w:val="Strong"/>
    <w:basedOn w:val="a0"/>
    <w:qFormat/>
    <w:rPr>
      <w:b/>
    </w:rPr>
  </w:style>
  <w:style w:type="character" w:styleId="a7">
    <w:name w:val="FollowedHyperlink"/>
    <w:basedOn w:val="a0"/>
    <w:qFormat/>
    <w:rPr>
      <w:color w:val="333333"/>
      <w:u w:val="none"/>
    </w:rPr>
  </w:style>
  <w:style w:type="character" w:styleId="a8">
    <w:name w:val="Emphasis"/>
    <w:basedOn w:val="a0"/>
    <w:qFormat/>
  </w:style>
  <w:style w:type="character" w:styleId="HTML">
    <w:name w:val="HTML Definition"/>
    <w:basedOn w:val="a0"/>
    <w:qFormat/>
  </w:style>
  <w:style w:type="character" w:styleId="HTML0">
    <w:name w:val="HTML Variable"/>
    <w:basedOn w:val="a0"/>
    <w:qFormat/>
  </w:style>
  <w:style w:type="character" w:styleId="a9">
    <w:name w:val="Hyperlink"/>
    <w:basedOn w:val="a0"/>
    <w:qFormat/>
    <w:rPr>
      <w:color w:val="333333"/>
      <w:u w:val="none"/>
    </w:rPr>
  </w:style>
  <w:style w:type="character" w:styleId="HTML1">
    <w:name w:val="HTML Code"/>
    <w:basedOn w:val="a0"/>
    <w:qFormat/>
    <w:rPr>
      <w:rFonts w:ascii="Consolas" w:eastAsia="Consolas" w:hAnsi="Consolas" w:cs="Consolas" w:hint="default"/>
      <w:color w:val="C7254E"/>
      <w:sz w:val="21"/>
      <w:szCs w:val="21"/>
      <w:bdr w:val="none" w:sz="0" w:space="0" w:color="auto"/>
      <w:shd w:val="clear" w:color="auto" w:fill="F9F2F4"/>
    </w:rPr>
  </w:style>
  <w:style w:type="character" w:styleId="HTML2">
    <w:name w:val="HTML Cite"/>
    <w:basedOn w:val="a0"/>
    <w:qFormat/>
  </w:style>
  <w:style w:type="character" w:styleId="HTML3">
    <w:name w:val="HTML Keyboard"/>
    <w:basedOn w:val="a0"/>
    <w:rPr>
      <w:rFonts w:ascii="Consolas" w:eastAsia="Consolas" w:hAnsi="Consolas" w:cs="Consolas" w:hint="default"/>
      <w:color w:val="FFFFFF"/>
      <w:sz w:val="21"/>
      <w:szCs w:val="21"/>
      <w:bdr w:val="none" w:sz="0" w:space="0" w:color="auto"/>
      <w:shd w:val="clear" w:color="auto" w:fill="333333"/>
    </w:rPr>
  </w:style>
  <w:style w:type="character" w:styleId="HTML4">
    <w:name w:val="HTML Sample"/>
    <w:basedOn w:val="a0"/>
    <w:rPr>
      <w:rFonts w:ascii="Consolas" w:eastAsia="Consolas" w:hAnsi="Consolas" w:cs="Consolas"/>
      <w:sz w:val="21"/>
      <w:szCs w:val="21"/>
    </w:rPr>
  </w:style>
  <w:style w:type="paragraph" w:customStyle="1" w:styleId="Style12">
    <w:name w:val="_Style 12"/>
    <w:basedOn w:val="a"/>
    <w:next w:val="a"/>
    <w:qFormat/>
    <w:pPr>
      <w:pBdr>
        <w:bottom w:val="single" w:sz="6" w:space="1" w:color="auto"/>
      </w:pBdr>
      <w:jc w:val="center"/>
    </w:pPr>
    <w:rPr>
      <w:rFonts w:ascii="Arial" w:eastAsia="宋体"/>
      <w:vanish/>
      <w:sz w:val="16"/>
    </w:rPr>
  </w:style>
  <w:style w:type="paragraph" w:customStyle="1" w:styleId="Style13">
    <w:name w:val="_Style 13"/>
    <w:basedOn w:val="a"/>
    <w:next w:val="a"/>
    <w:qFormat/>
    <w:pPr>
      <w:pBdr>
        <w:top w:val="single" w:sz="6" w:space="1" w:color="auto"/>
      </w:pBdr>
      <w:jc w:val="center"/>
    </w:pPr>
    <w:rPr>
      <w:rFonts w:ascii="Arial" w:eastAsia="宋体"/>
      <w:vanish/>
      <w:sz w:val="16"/>
    </w:rPr>
  </w:style>
  <w:style w:type="paragraph" w:customStyle="1" w:styleId="reader-word-layerreader-word-s1-15">
    <w:name w:val="reader-word-layer reader-word-s1-15"/>
    <w:basedOn w:val="a"/>
    <w:qFormat/>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Cite" w:qFormat="1"/>
    <w:lsdException w:name="HTML Code" w:qFormat="1"/>
    <w:lsdException w:name="HTML Definition"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rPr>
      <w:sz w:val="24"/>
    </w:rPr>
  </w:style>
  <w:style w:type="character" w:styleId="a6">
    <w:name w:val="Strong"/>
    <w:basedOn w:val="a0"/>
    <w:qFormat/>
    <w:rPr>
      <w:b/>
    </w:rPr>
  </w:style>
  <w:style w:type="character" w:styleId="a7">
    <w:name w:val="FollowedHyperlink"/>
    <w:basedOn w:val="a0"/>
    <w:qFormat/>
    <w:rPr>
      <w:color w:val="333333"/>
      <w:u w:val="none"/>
    </w:rPr>
  </w:style>
  <w:style w:type="character" w:styleId="a8">
    <w:name w:val="Emphasis"/>
    <w:basedOn w:val="a0"/>
    <w:qFormat/>
  </w:style>
  <w:style w:type="character" w:styleId="HTML">
    <w:name w:val="HTML Definition"/>
    <w:basedOn w:val="a0"/>
    <w:qFormat/>
  </w:style>
  <w:style w:type="character" w:styleId="HTML0">
    <w:name w:val="HTML Variable"/>
    <w:basedOn w:val="a0"/>
    <w:qFormat/>
  </w:style>
  <w:style w:type="character" w:styleId="a9">
    <w:name w:val="Hyperlink"/>
    <w:basedOn w:val="a0"/>
    <w:qFormat/>
    <w:rPr>
      <w:color w:val="333333"/>
      <w:u w:val="none"/>
    </w:rPr>
  </w:style>
  <w:style w:type="character" w:styleId="HTML1">
    <w:name w:val="HTML Code"/>
    <w:basedOn w:val="a0"/>
    <w:qFormat/>
    <w:rPr>
      <w:rFonts w:ascii="Consolas" w:eastAsia="Consolas" w:hAnsi="Consolas" w:cs="Consolas" w:hint="default"/>
      <w:color w:val="C7254E"/>
      <w:sz w:val="21"/>
      <w:szCs w:val="21"/>
      <w:bdr w:val="none" w:sz="0" w:space="0" w:color="auto"/>
      <w:shd w:val="clear" w:color="auto" w:fill="F9F2F4"/>
    </w:rPr>
  </w:style>
  <w:style w:type="character" w:styleId="HTML2">
    <w:name w:val="HTML Cite"/>
    <w:basedOn w:val="a0"/>
    <w:qFormat/>
  </w:style>
  <w:style w:type="character" w:styleId="HTML3">
    <w:name w:val="HTML Keyboard"/>
    <w:basedOn w:val="a0"/>
    <w:rPr>
      <w:rFonts w:ascii="Consolas" w:eastAsia="Consolas" w:hAnsi="Consolas" w:cs="Consolas" w:hint="default"/>
      <w:color w:val="FFFFFF"/>
      <w:sz w:val="21"/>
      <w:szCs w:val="21"/>
      <w:bdr w:val="none" w:sz="0" w:space="0" w:color="auto"/>
      <w:shd w:val="clear" w:color="auto" w:fill="333333"/>
    </w:rPr>
  </w:style>
  <w:style w:type="character" w:styleId="HTML4">
    <w:name w:val="HTML Sample"/>
    <w:basedOn w:val="a0"/>
    <w:rPr>
      <w:rFonts w:ascii="Consolas" w:eastAsia="Consolas" w:hAnsi="Consolas" w:cs="Consolas"/>
      <w:sz w:val="21"/>
      <w:szCs w:val="21"/>
    </w:rPr>
  </w:style>
  <w:style w:type="paragraph" w:customStyle="1" w:styleId="Style12">
    <w:name w:val="_Style 12"/>
    <w:basedOn w:val="a"/>
    <w:next w:val="a"/>
    <w:qFormat/>
    <w:pPr>
      <w:pBdr>
        <w:bottom w:val="single" w:sz="6" w:space="1" w:color="auto"/>
      </w:pBdr>
      <w:jc w:val="center"/>
    </w:pPr>
    <w:rPr>
      <w:rFonts w:ascii="Arial" w:eastAsia="宋体"/>
      <w:vanish/>
      <w:sz w:val="16"/>
    </w:rPr>
  </w:style>
  <w:style w:type="paragraph" w:customStyle="1" w:styleId="Style13">
    <w:name w:val="_Style 13"/>
    <w:basedOn w:val="a"/>
    <w:next w:val="a"/>
    <w:qFormat/>
    <w:pPr>
      <w:pBdr>
        <w:top w:val="single" w:sz="6" w:space="1" w:color="auto"/>
      </w:pBdr>
      <w:jc w:val="center"/>
    </w:pPr>
    <w:rPr>
      <w:rFonts w:ascii="Arial" w:eastAsia="宋体"/>
      <w:vanish/>
      <w:sz w:val="16"/>
    </w:rPr>
  </w:style>
  <w:style w:type="paragraph" w:customStyle="1" w:styleId="reader-word-layerreader-word-s1-15">
    <w:name w:val="reader-word-layer reader-word-s1-15"/>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472</Words>
  <Characters>2696</Characters>
  <Application>Microsoft Office Word</Application>
  <DocSecurity>0</DocSecurity>
  <Lines>22</Lines>
  <Paragraphs>6</Paragraphs>
  <ScaleCrop>false</ScaleCrop>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3</cp:revision>
  <dcterms:created xsi:type="dcterms:W3CDTF">2019-07-15T17:20:00Z</dcterms:created>
  <dcterms:modified xsi:type="dcterms:W3CDTF">2019-07-17T08:32:00Z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