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08E" w:rsidRDefault="00F7708E" w:rsidP="00F7708E">
      <w:pPr>
        <w:spacing w:line="600" w:lineRule="exact"/>
        <w:rPr>
          <w:rFonts w:ascii="黑体" w:eastAsia="黑体" w:hAnsi="黑体" w:hint="eastAsia"/>
          <w:sz w:val="32"/>
          <w:szCs w:val="32"/>
        </w:rPr>
      </w:pPr>
      <w:r>
        <w:rPr>
          <w:rFonts w:ascii="黑体" w:eastAsia="黑体" w:hAnsi="黑体" w:hint="eastAsia"/>
          <w:sz w:val="32"/>
          <w:szCs w:val="32"/>
        </w:rPr>
        <w:t>附件3</w:t>
      </w:r>
    </w:p>
    <w:p w:rsidR="00F7708E" w:rsidRDefault="00F7708E" w:rsidP="00F7708E">
      <w:pPr>
        <w:spacing w:line="600" w:lineRule="exact"/>
        <w:jc w:val="center"/>
        <w:rPr>
          <w:rFonts w:ascii="等线" w:eastAsia="等线" w:hAnsi="等线" w:hint="eastAsia"/>
          <w:szCs w:val="22"/>
        </w:rPr>
      </w:pPr>
      <w:r>
        <w:rPr>
          <w:rFonts w:ascii="方正小标宋简体" w:eastAsia="方正小标宋简体" w:hint="eastAsia"/>
          <w:sz w:val="44"/>
          <w:szCs w:val="44"/>
        </w:rPr>
        <w:t>山东省高等学校美育工作评价指标体系</w:t>
      </w:r>
    </w:p>
    <w:tbl>
      <w:tblPr>
        <w:tblW w:w="14670" w:type="dxa"/>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8"/>
        <w:gridCol w:w="1253"/>
        <w:gridCol w:w="10183"/>
        <w:gridCol w:w="709"/>
        <w:gridCol w:w="708"/>
        <w:gridCol w:w="709"/>
      </w:tblGrid>
      <w:tr w:rsidR="00F7708E" w:rsidRPr="00AC7421" w:rsidTr="00C623AB">
        <w:trPr>
          <w:tblHeader/>
        </w:trPr>
        <w:tc>
          <w:tcPr>
            <w:tcW w:w="11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黑体" w:eastAsia="黑体" w:hAnsi="黑体" w:hint="eastAsia"/>
                <w:szCs w:val="21"/>
              </w:rPr>
            </w:pPr>
            <w:r w:rsidRPr="00AC7421">
              <w:rPr>
                <w:rFonts w:ascii="黑体" w:eastAsia="黑体" w:hAnsi="黑体" w:hint="eastAsia"/>
                <w:szCs w:val="21"/>
              </w:rPr>
              <w:t>一级指标及分值</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黑体" w:eastAsia="黑体" w:hAnsi="黑体" w:hint="eastAsia"/>
                <w:szCs w:val="21"/>
              </w:rPr>
            </w:pPr>
            <w:r w:rsidRPr="00AC7421">
              <w:rPr>
                <w:rFonts w:ascii="黑体" w:eastAsia="黑体" w:hAnsi="黑体" w:hint="eastAsia"/>
                <w:szCs w:val="21"/>
              </w:rPr>
              <w:t>二级指标</w:t>
            </w:r>
          </w:p>
          <w:p w:rsidR="00F7708E" w:rsidRPr="00AC7421" w:rsidRDefault="00F7708E" w:rsidP="00C623AB">
            <w:pPr>
              <w:spacing w:line="320" w:lineRule="exact"/>
              <w:jc w:val="center"/>
              <w:rPr>
                <w:rFonts w:ascii="黑体" w:eastAsia="黑体" w:hAnsi="黑体" w:hint="eastAsia"/>
                <w:szCs w:val="21"/>
              </w:rPr>
            </w:pPr>
            <w:r w:rsidRPr="00AC7421">
              <w:rPr>
                <w:rFonts w:ascii="黑体" w:eastAsia="黑体" w:hAnsi="黑体" w:hint="eastAsia"/>
                <w:szCs w:val="21"/>
              </w:rPr>
              <w:t>及分值</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黑体" w:eastAsia="黑体" w:hAnsi="黑体" w:hint="eastAsia"/>
                <w:szCs w:val="21"/>
              </w:rPr>
            </w:pPr>
            <w:r w:rsidRPr="00AC7421">
              <w:rPr>
                <w:rFonts w:ascii="黑体" w:eastAsia="黑体" w:hAnsi="黑体" w:hint="eastAsia"/>
                <w:szCs w:val="21"/>
              </w:rPr>
              <w:t>指   标   内   容</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黑体" w:eastAsia="黑体" w:hAnsi="黑体" w:hint="eastAsia"/>
                <w:szCs w:val="21"/>
              </w:rPr>
            </w:pPr>
            <w:r w:rsidRPr="00AC7421">
              <w:rPr>
                <w:rFonts w:ascii="黑体" w:eastAsia="黑体" w:hAnsi="黑体" w:hint="eastAsia"/>
                <w:szCs w:val="21"/>
              </w:rPr>
              <w:t>分值</w:t>
            </w:r>
          </w:p>
        </w:tc>
        <w:tc>
          <w:tcPr>
            <w:tcW w:w="70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黑体" w:eastAsia="黑体" w:hAnsi="黑体" w:hint="eastAsia"/>
                <w:szCs w:val="21"/>
              </w:rPr>
            </w:pPr>
            <w:r w:rsidRPr="00AC7421">
              <w:rPr>
                <w:rFonts w:ascii="黑体" w:eastAsia="黑体" w:hAnsi="黑体" w:hint="eastAsia"/>
                <w:szCs w:val="21"/>
              </w:rPr>
              <w:t>自评得分</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黑体" w:eastAsia="黑体" w:hAnsi="黑体" w:hint="eastAsia"/>
                <w:szCs w:val="21"/>
              </w:rPr>
            </w:pPr>
            <w:r w:rsidRPr="00AC7421">
              <w:rPr>
                <w:rFonts w:ascii="黑体" w:eastAsia="黑体" w:hAnsi="黑体" w:hint="eastAsia"/>
                <w:szCs w:val="21"/>
              </w:rPr>
              <w:t>实际得分</w:t>
            </w:r>
          </w:p>
        </w:tc>
      </w:tr>
      <w:tr w:rsidR="00F7708E" w:rsidRPr="00AC7421" w:rsidTr="00C623AB">
        <w:trPr>
          <w:trHeight w:val="416"/>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Ansi="等线" w:hint="eastAsia"/>
                <w:szCs w:val="21"/>
              </w:rPr>
            </w:pPr>
            <w:r w:rsidRPr="00AC7421">
              <w:rPr>
                <w:rFonts w:ascii="汉仪书宋一简" w:eastAsia="汉仪书宋一简" w:hint="eastAsia"/>
                <w:szCs w:val="21"/>
              </w:rPr>
              <w:t>课</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程</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设</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置</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20</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分</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教学计划</w:t>
            </w:r>
          </w:p>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（10分）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1.公共艺术课程纳入各专业教学计划，面向全体学生开设。</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1258"/>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2.每个学生在校学习期间，至少要在艺术限定性选修课程中选修1门并且通过考核。对于实行学分制的高校，每个学生至少要通过艺术限定性选修课程的学习取得2个学分；修满规定学分的学生方可毕业。综合类、师范类非艺术专业学生在校期间公共艺术课不低于2个学分。</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1739"/>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课程设置</w:t>
            </w:r>
          </w:p>
          <w:p w:rsidR="00F7708E" w:rsidRPr="00AC7421" w:rsidRDefault="00F7708E" w:rsidP="00C623AB">
            <w:pPr>
              <w:widowControl/>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（10分）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shd w:val="clear" w:color="auto" w:fill="FFFFFF"/>
              <w:spacing w:line="320" w:lineRule="exact"/>
              <w:jc w:val="left"/>
              <w:rPr>
                <w:rFonts w:ascii="汉仪书宋一简" w:eastAsia="汉仪书宋一简" w:hint="eastAsia"/>
                <w:szCs w:val="21"/>
              </w:rPr>
            </w:pPr>
            <w:r w:rsidRPr="00AC7421">
              <w:rPr>
                <w:rFonts w:ascii="汉仪书宋一简" w:eastAsia="汉仪书宋一简" w:hint="eastAsia"/>
                <w:szCs w:val="21"/>
              </w:rPr>
              <w:t>3.按照《全国普通高等学校公共艺术课程指导方案》要求，开足开齐公共艺术教育限定性选修课程和任意性选修课程。限定性选修课程包括：《艺术导论》《音乐鉴赏》《美术鉴赏》《影视鉴赏》《戏剧鉴赏》《舞蹈鉴赏》《书法鉴赏》《戏曲鉴赏》等。任意性选修课程包括：作品赏析类，如《交响音乐赏析》《民间艺术赏析》等；艺术史论类，如《中国音乐简史》《外国美术简史》等；艺术批评类，如《当代影视评论》《现代艺术评论》等；艺术实践类，如《合唱艺术》《DV制作》等。</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10</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452"/>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教</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学</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管</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理</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20</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分</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管理机构（6分）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1.设有专门的公共艺术课程管理部门和教学机构。</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6</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510"/>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教学组织（9分）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2.公共艺术课程有教学大纲和考试大纲，课程内容注重学科基础知识讲授，有明确的质量标准和要求。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510"/>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3.将公共艺术课程纳入全校选课系统，供全校学生自主选课。</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510"/>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4.建立公共艺术课程评优办法和教师听课制度，每年组织公共艺术课程评比、评优和教学观摩活动。</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1061"/>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教学创新（5分）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5.研发、应用艺术课程教学软件、多媒体课件、电子教案、幻灯片、视频、实物和网络课程等，建立艺术课程资源平台，开发与课程教材配套的艺术课程优质数字教育资源，开展艺术公开课在线学习，拓宽艺术课教学途径。</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742"/>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lastRenderedPageBreak/>
              <w:t>教</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师</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队</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伍</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20</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分</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队伍结构（10分）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Ansi="Calibri" w:cs="宋体" w:hint="eastAsia"/>
                <w:szCs w:val="21"/>
              </w:rPr>
            </w:pPr>
            <w:r w:rsidRPr="00AC7421">
              <w:rPr>
                <w:rFonts w:ascii="汉仪书宋一简" w:eastAsia="汉仪书宋一简" w:hint="eastAsia"/>
                <w:szCs w:val="21"/>
              </w:rPr>
              <w:t>1.担任美育课程教学的教师人数占在校学生总数的0.15%-0.2%，其中专职教师人数应占艺术教师总数的50%。</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Ansi="等线" w:hint="eastAsia"/>
                <w:szCs w:val="21"/>
              </w:rPr>
            </w:pPr>
            <w:r w:rsidRPr="00AC7421">
              <w:rPr>
                <w:rFonts w:ascii="汉仪书宋一简" w:eastAsia="汉仪书宋一简" w:hint="eastAsia"/>
                <w:szCs w:val="21"/>
              </w:rPr>
              <w:t>10</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rPr>
                <w:rFonts w:ascii="汉仪书宋一简" w:eastAsia="汉仪书宋一简" w:hint="eastAsia"/>
                <w:szCs w:val="21"/>
              </w:rPr>
            </w:pPr>
          </w:p>
        </w:tc>
      </w:tr>
      <w:tr w:rsidR="00F7708E" w:rsidRPr="00AC7421" w:rsidTr="00C623AB">
        <w:trPr>
          <w:trHeight w:val="454"/>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Ansi="Calibri" w:hint="eastAsia"/>
                <w:szCs w:val="21"/>
              </w:rPr>
            </w:pPr>
            <w:r w:rsidRPr="00AC7421">
              <w:rPr>
                <w:rFonts w:ascii="汉仪书宋一简" w:eastAsia="汉仪书宋一简" w:hint="eastAsia"/>
                <w:szCs w:val="21"/>
              </w:rPr>
              <w:t>素质要求</w:t>
            </w:r>
          </w:p>
          <w:p w:rsidR="00F7708E" w:rsidRPr="00AC7421" w:rsidRDefault="00F7708E" w:rsidP="00C623AB">
            <w:pPr>
              <w:spacing w:line="320" w:lineRule="exact"/>
              <w:jc w:val="center"/>
              <w:rPr>
                <w:rFonts w:ascii="汉仪书宋一简" w:eastAsia="汉仪书宋一简" w:hAnsi="Calibri" w:cs="宋体" w:hint="eastAsia"/>
                <w:szCs w:val="21"/>
              </w:rPr>
            </w:pPr>
            <w:r w:rsidRPr="00AC7421">
              <w:rPr>
                <w:rFonts w:ascii="汉仪书宋一简" w:eastAsia="汉仪书宋一简" w:hint="eastAsia"/>
                <w:szCs w:val="21"/>
              </w:rPr>
              <w:t>（3分）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Ansi="Calibri" w:cs="宋体" w:hint="eastAsia"/>
                <w:szCs w:val="21"/>
              </w:rPr>
            </w:pPr>
            <w:r w:rsidRPr="00AC7421">
              <w:rPr>
                <w:rFonts w:ascii="汉仪书宋一简" w:eastAsia="汉仪书宋一简" w:hint="eastAsia"/>
                <w:szCs w:val="21"/>
              </w:rPr>
              <w:t>2.具备高尚的师德，爱岗敬业，热爱学生，遵守学术道德规范。</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Ansi="等线" w:hint="eastAsia"/>
                <w:szCs w:val="21"/>
              </w:rPr>
            </w:pPr>
            <w:r w:rsidRPr="00AC7421">
              <w:rPr>
                <w:rFonts w:ascii="汉仪书宋一简" w:eastAsia="汉仪书宋一简" w:hint="eastAsia"/>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454"/>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Ansi="Calibri" w:cs="宋体"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3.具备专业水平，能熟练运用现代教学手段，有效组织教学。</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454"/>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Ansi="Calibri" w:cs="宋体"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4.每年均组织公共艺术课教师参加艺术教育研修班、培训班等。</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397"/>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Ansi="Calibri" w:cs="宋体" w:hint="eastAsia"/>
                <w:szCs w:val="21"/>
              </w:rPr>
            </w:pPr>
            <w:r w:rsidRPr="00AC7421">
              <w:rPr>
                <w:rFonts w:ascii="汉仪书宋一简" w:eastAsia="汉仪书宋一简" w:hint="eastAsia"/>
                <w:szCs w:val="21"/>
              </w:rPr>
              <w:t>待遇落实（7分）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Ansi="Calibri" w:cs="宋体" w:hint="eastAsia"/>
                <w:szCs w:val="21"/>
              </w:rPr>
            </w:pPr>
            <w:r w:rsidRPr="00AC7421">
              <w:rPr>
                <w:rFonts w:ascii="汉仪书宋一简" w:eastAsia="汉仪书宋一简" w:hint="eastAsia"/>
                <w:szCs w:val="21"/>
              </w:rPr>
              <w:t>5.公共</w:t>
            </w:r>
            <w:r w:rsidRPr="00AC7421">
              <w:rPr>
                <w:rFonts w:ascii="汉仪书宋一简" w:eastAsia="汉仪书宋一简" w:hAnsi="Calibri" w:cs="宋体" w:hint="eastAsia"/>
                <w:szCs w:val="21"/>
              </w:rPr>
              <w:t>艺术课教师在</w:t>
            </w:r>
            <w:r w:rsidRPr="00AC7421">
              <w:rPr>
                <w:rFonts w:ascii="汉仪书宋一简" w:eastAsia="汉仪书宋一简" w:hint="eastAsia"/>
                <w:szCs w:val="21"/>
              </w:rPr>
              <w:t>职务评聘、奖励、进修、培训等方面与其他学科教师同等待遇。</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Ansi="等线" w:hint="eastAsia"/>
                <w:szCs w:val="21"/>
              </w:rPr>
            </w:pPr>
            <w:r w:rsidRPr="00AC7421">
              <w:rPr>
                <w:rFonts w:ascii="汉仪书宋一简" w:eastAsia="汉仪书宋一简" w:hint="eastAsia"/>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jc w:val="center"/>
              <w:rPr>
                <w:rFonts w:ascii="汉仪书宋一简" w:eastAsia="汉仪书宋一简" w:hint="eastAsia"/>
                <w:szCs w:val="21"/>
              </w:rPr>
            </w:pPr>
          </w:p>
        </w:tc>
      </w:tr>
      <w:tr w:rsidR="00F7708E" w:rsidRPr="00AC7421" w:rsidTr="00C623AB">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Ansi="Calibri" w:cs="宋体"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6.建立合理的公共艺术课教师工作量计算制度，将公共艺术课教师承担学校安排的课外艺术活动和艺术社团（团体）辅导工作的时间，计入其工作量。</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jc w:val="center"/>
              <w:rPr>
                <w:rFonts w:ascii="汉仪书宋一简" w:eastAsia="汉仪书宋一简" w:hint="eastAsia"/>
                <w:szCs w:val="21"/>
              </w:rPr>
            </w:pPr>
          </w:p>
        </w:tc>
      </w:tr>
      <w:tr w:rsidR="00F7708E" w:rsidRPr="00AC7421" w:rsidTr="00C623AB">
        <w:trPr>
          <w:trHeight w:val="404"/>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Ansi="Calibri" w:cs="宋体"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7.参加省级及以上教育部门组织的艺术展演、基本功比赛等所获得的荣誉和成绩，纳入工作考核和职务评聘。</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jc w:val="center"/>
              <w:rPr>
                <w:rFonts w:ascii="汉仪书宋一简" w:eastAsia="汉仪书宋一简" w:hint="eastAsia"/>
                <w:szCs w:val="21"/>
              </w:rPr>
            </w:pPr>
          </w:p>
        </w:tc>
      </w:tr>
      <w:tr w:rsidR="00F7708E" w:rsidRPr="00AC7421" w:rsidTr="00C623AB">
        <w:trPr>
          <w:trHeight w:val="454"/>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艺</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术</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实</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践</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20</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分</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leftChars="50" w:left="210" w:hangingChars="50" w:hanging="105"/>
              <w:jc w:val="center"/>
              <w:rPr>
                <w:rFonts w:ascii="汉仪书宋一简" w:eastAsia="汉仪书宋一简" w:hint="eastAsia"/>
                <w:szCs w:val="21"/>
              </w:rPr>
            </w:pPr>
            <w:r w:rsidRPr="00AC7421">
              <w:rPr>
                <w:rFonts w:ascii="汉仪书宋一简" w:eastAsia="汉仪书宋一简" w:hint="eastAsia"/>
                <w:szCs w:val="21"/>
              </w:rPr>
              <w:t>展演活动</w:t>
            </w:r>
          </w:p>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（10分）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1.每年举办学生全员参与的大学校园艺术节等活动两项以上。各院系每年举办艺术展演活动两次以上。</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4</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454"/>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2.积极参加省教育厅和教育部组织的大学生艺术展演活动和师生基本功比赛。</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r>
      <w:tr w:rsidR="00F7708E" w:rsidRPr="00AC7421" w:rsidTr="00C623AB">
        <w:trPr>
          <w:trHeight w:val="787"/>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3.每年均组织学生艺术社团赴其它高校和中小学校进行文艺演出，或到工厂、农村等开展慰问演出。</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4</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r>
      <w:tr w:rsidR="00F7708E" w:rsidRPr="00AC7421" w:rsidTr="00C623AB">
        <w:trPr>
          <w:trHeight w:val="1087"/>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社团建设</w:t>
            </w:r>
          </w:p>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（5分）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4.每个院（系）平均建有一个艺术社团，学生参与率达到学生总数的65%以上。社团经常开展丰富多彩的艺术展演活动。</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5</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r>
      <w:tr w:rsidR="00F7708E" w:rsidRPr="00AC7421" w:rsidTr="00C623AB">
        <w:trPr>
          <w:trHeight w:val="418"/>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美育协同机  制</w:t>
            </w:r>
          </w:p>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（5分）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5.引进艺术院团专家、民间艺术和非物质文化传统项目传承人等专业人士到学校担任兼职美育教师。</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r>
      <w:tr w:rsidR="00F7708E" w:rsidRPr="00AC7421" w:rsidTr="00C623AB">
        <w:trPr>
          <w:trHeight w:val="424"/>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6.在校内建立中华传统文化艺术传承基地，定期组织开展美育专题讲座和优秀传统文化传播推广活动。</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r>
      <w:tr w:rsidR="00F7708E" w:rsidRPr="00AC7421" w:rsidTr="00C623AB">
        <w:trPr>
          <w:trHeight w:val="743"/>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7.在校外建立美育实践基地，将美育课堂教学延伸到剧场、展厅、文化遗产保护地、广播电视和网络媒体等场所。</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r>
      <w:tr w:rsidR="00F7708E" w:rsidRPr="00AC7421" w:rsidTr="00C623AB">
        <w:trPr>
          <w:trHeight w:val="758"/>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条</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件</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保</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障</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20</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分</w:t>
            </w: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组织领导（1分）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1.学校有主管美育工作的领导，熟悉美育工作的相关政策，积极优化美育工作环境。</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1</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lef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left"/>
              <w:rPr>
                <w:rFonts w:ascii="汉仪书宋一简" w:eastAsia="汉仪书宋一简" w:hint="eastAsia"/>
                <w:szCs w:val="21"/>
              </w:rPr>
            </w:pPr>
          </w:p>
        </w:tc>
      </w:tr>
      <w:tr w:rsidR="00F7708E" w:rsidRPr="00AC7421" w:rsidTr="00C623AB">
        <w:trPr>
          <w:trHeight w:val="824"/>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经费</w:t>
            </w:r>
          </w:p>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（2分）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2.每年安排有专门的美育工作经费，保障公共艺术课程教学、艺术展演与交流活动正常开展，且每年均有所增加。</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lef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left"/>
              <w:rPr>
                <w:rFonts w:ascii="汉仪书宋一简" w:eastAsia="汉仪书宋一简" w:hint="eastAsia"/>
                <w:szCs w:val="21"/>
              </w:rPr>
            </w:pPr>
          </w:p>
        </w:tc>
      </w:tr>
      <w:tr w:rsidR="00F7708E" w:rsidRPr="00AC7421" w:rsidTr="00C623AB">
        <w:trPr>
          <w:trHeight w:val="820"/>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场馆</w:t>
            </w:r>
          </w:p>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（13分）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3.配置标准的美术、音乐、舞蹈教学专用教室以及琴房、画室和排练厅，保证教学需要，并保持较高的利用率。</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3</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lef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left"/>
              <w:rPr>
                <w:rFonts w:ascii="汉仪书宋一简" w:eastAsia="汉仪书宋一简" w:hint="eastAsia"/>
                <w:szCs w:val="21"/>
              </w:rPr>
            </w:pPr>
          </w:p>
        </w:tc>
      </w:tr>
      <w:tr w:rsidR="00F7708E" w:rsidRPr="00AC7421" w:rsidTr="00C623AB">
        <w:trPr>
          <w:trHeight w:val="487"/>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4.建有专门的展览馆、音乐厅或剧院等艺术活动场所，满足全校师生开展艺术展演活动需要。</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10</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r w:rsidR="00F7708E" w:rsidRPr="00AC7421" w:rsidTr="00C623AB">
        <w:trPr>
          <w:trHeight w:val="728"/>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器材</w:t>
            </w:r>
          </w:p>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5.为公共艺术课程教学和学校艺术院团展演配备数量足够、质量优良的专业器材。</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rPr>
                <w:rFonts w:ascii="汉仪书宋一简" w:eastAsia="汉仪书宋一简" w:hint="eastAsia"/>
                <w:szCs w:val="21"/>
              </w:rPr>
            </w:pPr>
          </w:p>
        </w:tc>
      </w:tr>
      <w:tr w:rsidR="00F7708E" w:rsidRPr="00AC7421" w:rsidTr="00C623AB">
        <w:trPr>
          <w:trHeight w:val="1097"/>
        </w:trPr>
        <w:tc>
          <w:tcPr>
            <w:tcW w:w="12550" w:type="dxa"/>
            <w:vMerge/>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widowControl/>
              <w:jc w:val="left"/>
              <w:rPr>
                <w:rFonts w:ascii="汉仪书宋一简" w:eastAsia="汉仪书宋一简" w:hint="eastAsia"/>
                <w:szCs w:val="21"/>
              </w:rPr>
            </w:pPr>
          </w:p>
        </w:tc>
        <w:tc>
          <w:tcPr>
            <w:tcW w:w="1253"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图书音像资源</w:t>
            </w:r>
          </w:p>
          <w:p w:rsidR="00F7708E" w:rsidRPr="00AC7421" w:rsidRDefault="00F7708E" w:rsidP="00C623AB">
            <w:pPr>
              <w:spacing w:line="320" w:lineRule="exact"/>
              <w:ind w:firstLineChars="50" w:firstLine="105"/>
              <w:jc w:val="center"/>
              <w:rPr>
                <w:rFonts w:ascii="汉仪书宋一简" w:eastAsia="汉仪书宋一简" w:hint="eastAsia"/>
                <w:szCs w:val="21"/>
              </w:rPr>
            </w:pPr>
            <w:r w:rsidRPr="00AC7421">
              <w:rPr>
                <w:rFonts w:ascii="汉仪书宋一简" w:eastAsia="汉仪书宋一简" w:hint="eastAsia"/>
                <w:szCs w:val="21"/>
              </w:rPr>
              <w:t>（2分）</w:t>
            </w:r>
          </w:p>
        </w:tc>
        <w:tc>
          <w:tcPr>
            <w:tcW w:w="10188"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rPr>
                <w:rFonts w:ascii="汉仪书宋一简" w:eastAsia="汉仪书宋一简" w:hint="eastAsia"/>
                <w:szCs w:val="21"/>
              </w:rPr>
            </w:pPr>
            <w:r w:rsidRPr="00AC7421">
              <w:rPr>
                <w:rFonts w:ascii="汉仪书宋一简" w:eastAsia="汉仪书宋一简" w:hint="eastAsia"/>
                <w:szCs w:val="21"/>
              </w:rPr>
              <w:t>6.学校图书馆、阅览室为美育教学和科研配备有足够的图书、音响、影像等资料，满足全校师生学习、教学、科研需求。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2</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widowControl/>
              <w:spacing w:line="320" w:lineRule="exact"/>
              <w:rPr>
                <w:rFonts w:ascii="汉仪书宋一简" w:eastAsia="汉仪书宋一简" w:hint="eastAsia"/>
                <w:szCs w:val="21"/>
              </w:rPr>
            </w:pPr>
          </w:p>
        </w:tc>
      </w:tr>
      <w:tr w:rsidR="00F7708E" w:rsidRPr="00AC7421" w:rsidTr="00C623AB">
        <w:trPr>
          <w:trHeight w:val="640"/>
        </w:trPr>
        <w:tc>
          <w:tcPr>
            <w:tcW w:w="12550" w:type="dxa"/>
            <w:gridSpan w:val="3"/>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b/>
                <w:szCs w:val="21"/>
              </w:rPr>
              <w:t>分   数  合   计</w:t>
            </w:r>
          </w:p>
        </w:tc>
        <w:tc>
          <w:tcPr>
            <w:tcW w:w="709" w:type="dxa"/>
            <w:tcBorders>
              <w:top w:val="single" w:sz="4" w:space="0" w:color="auto"/>
              <w:left w:val="single" w:sz="4" w:space="0" w:color="auto"/>
              <w:bottom w:val="single" w:sz="4" w:space="0" w:color="auto"/>
              <w:right w:val="single" w:sz="4" w:space="0" w:color="auto"/>
            </w:tcBorders>
            <w:vAlign w:val="center"/>
            <w:hideMark/>
          </w:tcPr>
          <w:p w:rsidR="00F7708E" w:rsidRPr="00AC7421" w:rsidRDefault="00F7708E" w:rsidP="00C623AB">
            <w:pPr>
              <w:spacing w:line="320" w:lineRule="exact"/>
              <w:jc w:val="center"/>
              <w:rPr>
                <w:rFonts w:ascii="汉仪书宋一简" w:eastAsia="汉仪书宋一简" w:hint="eastAsia"/>
                <w:szCs w:val="21"/>
              </w:rPr>
            </w:pPr>
            <w:r w:rsidRPr="00AC7421">
              <w:rPr>
                <w:rFonts w:ascii="汉仪书宋一简" w:eastAsia="汉仪书宋一简" w:hint="eastAsia"/>
                <w:szCs w:val="21"/>
              </w:rPr>
              <w:t>100</w:t>
            </w:r>
          </w:p>
        </w:tc>
        <w:tc>
          <w:tcPr>
            <w:tcW w:w="708"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7708E" w:rsidRPr="00AC7421" w:rsidRDefault="00F7708E" w:rsidP="00C623AB">
            <w:pPr>
              <w:spacing w:line="320" w:lineRule="exact"/>
              <w:jc w:val="center"/>
              <w:rPr>
                <w:rFonts w:ascii="汉仪书宋一简" w:eastAsia="汉仪书宋一简" w:hint="eastAsia"/>
                <w:szCs w:val="21"/>
              </w:rPr>
            </w:pPr>
          </w:p>
        </w:tc>
      </w:tr>
    </w:tbl>
    <w:p w:rsidR="00F7708E" w:rsidRDefault="00F7708E" w:rsidP="00F7708E">
      <w:pPr>
        <w:rPr>
          <w:rFonts w:ascii="等线" w:eastAsia="等线" w:hAnsi="等线" w:hint="eastAsia"/>
          <w:szCs w:val="22"/>
        </w:rPr>
      </w:pPr>
    </w:p>
    <w:p w:rsidR="00F7708E" w:rsidRDefault="00F7708E" w:rsidP="00F7708E">
      <w:pPr>
        <w:spacing w:line="600" w:lineRule="exact"/>
        <w:rPr>
          <w:rFonts w:ascii="仿宋_GB2312" w:eastAsia="仿宋_GB2312" w:hint="eastAsia"/>
          <w:sz w:val="32"/>
          <w:szCs w:val="32"/>
        </w:rPr>
      </w:pPr>
    </w:p>
    <w:p w:rsidR="007B0069" w:rsidRDefault="007B0069">
      <w:bookmarkStart w:id="0" w:name="_GoBack"/>
      <w:bookmarkEnd w:id="0"/>
    </w:p>
    <w:sectPr w:rsidR="007B0069" w:rsidSect="00F7708E">
      <w:pgSz w:w="16838" w:h="11906" w:orient="landscape"/>
      <w:pgMar w:top="1531" w:right="2041" w:bottom="1531" w:left="1985"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5F0" w:rsidRDefault="007055F0" w:rsidP="00F7708E">
      <w:r>
        <w:separator/>
      </w:r>
    </w:p>
  </w:endnote>
  <w:endnote w:type="continuationSeparator" w:id="0">
    <w:p w:rsidR="007055F0" w:rsidRDefault="007055F0" w:rsidP="00F7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汉仪书宋一简">
    <w:altName w:val="微软雅黑"/>
    <w:charset w:val="86"/>
    <w:family w:val="modern"/>
    <w:pitch w:val="fixed"/>
    <w:sig w:usb0="00000000" w:usb1="080E0800" w:usb2="00000012" w:usb3="00000000" w:csb0="00040000" w:csb1="00000000"/>
  </w:font>
  <w:font w:name="Calibri">
    <w:panose1 w:val="020F0502020204030204"/>
    <w:charset w:val="00"/>
    <w:family w:val="swiss"/>
    <w:pitch w:val="variable"/>
    <w:sig w:usb0="E0002AFF" w:usb1="4000ACFF" w:usb2="00000001"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5F0" w:rsidRDefault="007055F0" w:rsidP="00F7708E">
      <w:r>
        <w:separator/>
      </w:r>
    </w:p>
  </w:footnote>
  <w:footnote w:type="continuationSeparator" w:id="0">
    <w:p w:rsidR="007055F0" w:rsidRDefault="007055F0" w:rsidP="00F77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5C"/>
    <w:rsid w:val="0020625C"/>
    <w:rsid w:val="007055F0"/>
    <w:rsid w:val="007B0069"/>
    <w:rsid w:val="00F7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D64A46-166E-4CF9-97EE-909E35FA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0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0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7708E"/>
    <w:rPr>
      <w:sz w:val="18"/>
      <w:szCs w:val="18"/>
    </w:rPr>
  </w:style>
  <w:style w:type="paragraph" w:styleId="a5">
    <w:name w:val="footer"/>
    <w:basedOn w:val="a"/>
    <w:link w:val="a6"/>
    <w:uiPriority w:val="99"/>
    <w:unhideWhenUsed/>
    <w:rsid w:val="00F770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770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1718</Characters>
  <Application>Microsoft Office Word</Application>
  <DocSecurity>0</DocSecurity>
  <Lines>14</Lines>
  <Paragraphs>4</Paragraphs>
  <ScaleCrop>false</ScaleCrop>
  <Company>神州网信技术有限公司</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2019-07-11T08:08:00Z</dcterms:created>
  <dcterms:modified xsi:type="dcterms:W3CDTF">2019-07-11T08:08:00Z</dcterms:modified>
</cp:coreProperties>
</file>