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ascii="仿宋_GB2312" w:hAnsi="仿宋" w:eastAsia="仿宋_GB2312"/>
          <w:sz w:val="32"/>
          <w:szCs w:val="32"/>
        </w:rPr>
        <w:t>2</w:t>
      </w:r>
    </w:p>
    <w:p>
      <w:pPr>
        <w:spacing w:after="0" w:line="580" w:lineRule="exact"/>
        <w:jc w:val="center"/>
        <w:rPr>
          <w:rFonts w:ascii="方正小标宋简体" w:hAnsi="仿宋" w:eastAsia="方正小标宋简体"/>
          <w:sz w:val="44"/>
          <w:szCs w:val="32"/>
        </w:rPr>
      </w:pPr>
      <w:r>
        <w:rPr>
          <w:rFonts w:hint="eastAsia" w:ascii="方正小标宋简体" w:hAnsi="仿宋" w:eastAsia="方正小标宋简体"/>
          <w:sz w:val="44"/>
          <w:szCs w:val="32"/>
        </w:rPr>
        <w:t>山东省第八届“超星杯”高校青年教师教学比赛优秀组织奖获奖单位</w:t>
      </w:r>
    </w:p>
    <w:p>
      <w:pPr>
        <w:spacing w:after="0" w:line="580" w:lineRule="exact"/>
        <w:jc w:val="center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（按学校代码排序）</w:t>
      </w:r>
    </w:p>
    <w:p>
      <w:pPr>
        <w:spacing w:after="0"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after="0"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山东大学、山东科技大学、齐鲁工业大学、山东理工大学、潍坊医学院、山东师范大学、聊城大学、滨州学院、泰山学院、山东商业职业技术学院、烟台大学、潍坊学院、山东职业学院、烟台南山学院、潍坊职业学院、山东水利职业学院、山东英才学院、淄博职业学院、青岛酒店管理职业技术学院、山东信息职业技术学院、聊城大学东昌学院、山东外国语职业技术大学、山东药品食品职业学院、山东轻工职业学院、潍坊护理职业学院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2F15"/>
    <w:rsid w:val="6231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2021-05-31T09:53:00Z</dcterms:created>
  <dc:creator>Admin</dc:creator>
  <cp:lastModifiedBy>Admin</cp:lastModifiedBy>
  <dcterms:modified xsi:type="dcterms:W3CDTF">2021-05-31T09:53:26Z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