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20" w:type="dxa"/>
        <w:jc w:val="center"/>
        <w:tblLayout w:type="fixed"/>
        <w:tblLook w:val="04A0" w:firstRow="1" w:lastRow="0" w:firstColumn="1" w:lastColumn="0" w:noHBand="0" w:noVBand="1"/>
      </w:tblPr>
      <w:tblGrid>
        <w:gridCol w:w="634"/>
        <w:gridCol w:w="1141"/>
        <w:gridCol w:w="1155"/>
        <w:gridCol w:w="3450"/>
        <w:gridCol w:w="2640"/>
      </w:tblGrid>
      <w:tr w:rsidR="003C0411" w:rsidTr="00747FA2">
        <w:trPr>
          <w:trHeight w:val="900"/>
          <w:jc w:val="center"/>
        </w:trPr>
        <w:tc>
          <w:tcPr>
            <w:tcW w:w="9020" w:type="dxa"/>
            <w:gridSpan w:val="5"/>
            <w:tcBorders>
              <w:top w:val="nil"/>
              <w:left w:val="nil"/>
              <w:bottom w:val="single" w:sz="4" w:space="0" w:color="auto"/>
              <w:right w:val="nil"/>
            </w:tcBorders>
            <w:shd w:val="clear" w:color="auto" w:fill="auto"/>
            <w:vAlign w:val="center"/>
          </w:tcPr>
          <w:p w:rsidR="003C0411" w:rsidRDefault="003C0411" w:rsidP="00747FA2">
            <w:pPr>
              <w:widowControl/>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附件</w:t>
            </w:r>
            <w:r>
              <w:rPr>
                <w:rFonts w:ascii="黑体" w:eastAsia="黑体" w:hAnsi="黑体" w:cs="宋体"/>
                <w:color w:val="000000"/>
                <w:kern w:val="0"/>
                <w:sz w:val="28"/>
                <w:szCs w:val="28"/>
              </w:rPr>
              <w:t>2</w:t>
            </w:r>
            <w:r>
              <w:rPr>
                <w:rFonts w:ascii="黑体" w:eastAsia="黑体" w:hAnsi="黑体" w:cs="宋体" w:hint="eastAsia"/>
                <w:color w:val="000000"/>
                <w:kern w:val="0"/>
                <w:sz w:val="28"/>
                <w:szCs w:val="28"/>
              </w:rPr>
              <w:t>：</w:t>
            </w:r>
          </w:p>
          <w:p w:rsidR="003C0411" w:rsidRDefault="003C0411" w:rsidP="00747FA2">
            <w:pPr>
              <w:widowControl/>
              <w:jc w:val="center"/>
              <w:rPr>
                <w:rFonts w:ascii="方正小标宋简体" w:eastAsia="方正小标宋简体" w:hAnsi="等线" w:cs="宋体"/>
                <w:color w:val="000000"/>
                <w:kern w:val="0"/>
                <w:sz w:val="40"/>
                <w:szCs w:val="40"/>
              </w:rPr>
            </w:pPr>
            <w:r>
              <w:rPr>
                <w:rFonts w:ascii="方正小标宋简体" w:eastAsia="方正小标宋简体" w:hAnsi="等线" w:cs="宋体" w:hint="eastAsia"/>
                <w:color w:val="000000"/>
                <w:kern w:val="0"/>
                <w:sz w:val="40"/>
                <w:szCs w:val="40"/>
              </w:rPr>
              <w:t>2019年山东省高等学校人文社会科学优秀成果奖</w:t>
            </w:r>
          </w:p>
          <w:p w:rsidR="003C0411" w:rsidRDefault="003C0411" w:rsidP="00747FA2">
            <w:pPr>
              <w:widowControl/>
              <w:jc w:val="center"/>
              <w:rPr>
                <w:rFonts w:ascii="方正小标宋简体" w:eastAsia="方正小标宋简体" w:hAnsi="等线" w:cs="宋体"/>
                <w:color w:val="000000"/>
                <w:kern w:val="0"/>
                <w:sz w:val="40"/>
                <w:szCs w:val="40"/>
              </w:rPr>
            </w:pPr>
            <w:r>
              <w:rPr>
                <w:rFonts w:ascii="方正小标宋简体" w:eastAsia="方正小标宋简体" w:hAnsi="等线" w:cs="宋体" w:hint="eastAsia"/>
                <w:color w:val="000000"/>
                <w:kern w:val="0"/>
                <w:sz w:val="40"/>
                <w:szCs w:val="40"/>
              </w:rPr>
              <w:t>获奖名单</w:t>
            </w:r>
          </w:p>
          <w:p w:rsidR="003C0411" w:rsidRDefault="003C0411" w:rsidP="00747FA2">
            <w:pPr>
              <w:widowControl/>
              <w:jc w:val="center"/>
              <w:rPr>
                <w:rFonts w:ascii="楷体_GB2312" w:eastAsia="楷体_GB2312" w:hAnsi="等线" w:cs="宋体"/>
                <w:color w:val="000000"/>
                <w:kern w:val="0"/>
              </w:rPr>
            </w:pPr>
            <w:r>
              <w:rPr>
                <w:rFonts w:ascii="楷体_GB2312" w:eastAsia="楷体_GB2312" w:hAnsi="等线" w:cs="宋体" w:hint="eastAsia"/>
                <w:color w:val="000000"/>
                <w:kern w:val="0"/>
              </w:rPr>
              <w:t>（一等奖）</w:t>
            </w:r>
          </w:p>
        </w:tc>
      </w:tr>
      <w:tr w:rsidR="003C0411" w:rsidTr="00747FA2">
        <w:trPr>
          <w:trHeight w:val="600"/>
          <w:jc w:val="center"/>
        </w:trPr>
        <w:tc>
          <w:tcPr>
            <w:tcW w:w="634" w:type="dxa"/>
            <w:tcBorders>
              <w:top w:val="single" w:sz="8" w:space="0" w:color="4BACC6"/>
              <w:left w:val="single" w:sz="8" w:space="0" w:color="4BACC6"/>
              <w:bottom w:val="single" w:sz="18" w:space="0" w:color="FFFFFF"/>
              <w:right w:val="single" w:sz="8" w:space="0" w:color="4BACC6"/>
            </w:tcBorders>
            <w:shd w:val="clear" w:color="auto" w:fill="4BACC6"/>
            <w:vAlign w:val="center"/>
          </w:tcPr>
          <w:p w:rsidR="003C0411" w:rsidRDefault="003C0411" w:rsidP="00747FA2">
            <w:pPr>
              <w:widowControl/>
              <w:jc w:val="center"/>
              <w:rPr>
                <w:rFonts w:ascii="微软雅黑" w:eastAsia="微软雅黑" w:hAnsi="微软雅黑" w:cs="微软雅黑"/>
                <w:b/>
                <w:bCs/>
                <w:color w:val="FFFFFF" w:themeColor="background1"/>
                <w:kern w:val="0"/>
                <w:sz w:val="21"/>
                <w:szCs w:val="21"/>
              </w:rPr>
            </w:pPr>
            <w:r>
              <w:rPr>
                <w:rFonts w:ascii="微软雅黑" w:eastAsia="微软雅黑" w:hAnsi="微软雅黑" w:cs="微软雅黑" w:hint="eastAsia"/>
                <w:b/>
                <w:bCs/>
                <w:color w:val="FFFFFF" w:themeColor="background1"/>
                <w:kern w:val="0"/>
                <w:sz w:val="21"/>
                <w:szCs w:val="21"/>
              </w:rPr>
              <w:t>序号</w:t>
            </w:r>
          </w:p>
        </w:tc>
        <w:tc>
          <w:tcPr>
            <w:tcW w:w="1141" w:type="dxa"/>
            <w:tcBorders>
              <w:top w:val="single" w:sz="8" w:space="0" w:color="4BACC6"/>
              <w:left w:val="single" w:sz="8" w:space="0" w:color="4BACC6"/>
              <w:bottom w:val="single" w:sz="18" w:space="0" w:color="FFFFFF"/>
              <w:right w:val="single" w:sz="8" w:space="0" w:color="4BACC6"/>
            </w:tcBorders>
            <w:shd w:val="clear" w:color="auto" w:fill="4BACC6"/>
            <w:vAlign w:val="center"/>
          </w:tcPr>
          <w:p w:rsidR="003C0411" w:rsidRDefault="003C0411" w:rsidP="00747FA2">
            <w:pPr>
              <w:widowControl/>
              <w:jc w:val="center"/>
              <w:rPr>
                <w:rFonts w:ascii="微软雅黑" w:eastAsia="微软雅黑" w:hAnsi="微软雅黑" w:cs="微软雅黑"/>
                <w:b/>
                <w:bCs/>
                <w:color w:val="FFFFFF" w:themeColor="background1"/>
                <w:kern w:val="0"/>
                <w:sz w:val="21"/>
                <w:szCs w:val="21"/>
              </w:rPr>
            </w:pPr>
            <w:r>
              <w:rPr>
                <w:rFonts w:ascii="微软雅黑" w:eastAsia="微软雅黑" w:hAnsi="微软雅黑" w:cs="微软雅黑" w:hint="eastAsia"/>
                <w:b/>
                <w:bCs/>
                <w:color w:val="FFFFFF" w:themeColor="background1"/>
                <w:kern w:val="0"/>
                <w:sz w:val="21"/>
                <w:szCs w:val="21"/>
              </w:rPr>
              <w:t>推荐学校</w:t>
            </w:r>
          </w:p>
        </w:tc>
        <w:tc>
          <w:tcPr>
            <w:tcW w:w="1155" w:type="dxa"/>
            <w:tcBorders>
              <w:top w:val="single" w:sz="8" w:space="0" w:color="4BACC6"/>
              <w:left w:val="single" w:sz="8" w:space="0" w:color="4BACC6"/>
              <w:bottom w:val="single" w:sz="18" w:space="0" w:color="FFFFFF"/>
              <w:right w:val="single" w:sz="8" w:space="0" w:color="4BACC6"/>
            </w:tcBorders>
            <w:shd w:val="clear" w:color="auto" w:fill="4BACC6"/>
            <w:vAlign w:val="center"/>
          </w:tcPr>
          <w:p w:rsidR="003C0411" w:rsidRDefault="003C0411" w:rsidP="00747FA2">
            <w:pPr>
              <w:widowControl/>
              <w:jc w:val="center"/>
              <w:rPr>
                <w:rFonts w:ascii="微软雅黑" w:eastAsia="微软雅黑" w:hAnsi="微软雅黑" w:cs="微软雅黑"/>
                <w:b/>
                <w:bCs/>
                <w:color w:val="FFFFFF" w:themeColor="background1"/>
                <w:kern w:val="0"/>
                <w:sz w:val="21"/>
                <w:szCs w:val="21"/>
              </w:rPr>
            </w:pPr>
            <w:r>
              <w:rPr>
                <w:rFonts w:ascii="微软雅黑" w:eastAsia="微软雅黑" w:hAnsi="微软雅黑" w:cs="微软雅黑" w:hint="eastAsia"/>
                <w:b/>
                <w:bCs/>
                <w:color w:val="FFFFFF" w:themeColor="background1"/>
                <w:kern w:val="0"/>
                <w:sz w:val="21"/>
                <w:szCs w:val="21"/>
              </w:rPr>
              <w:t>学校类别</w:t>
            </w:r>
          </w:p>
        </w:tc>
        <w:tc>
          <w:tcPr>
            <w:tcW w:w="3450" w:type="dxa"/>
            <w:tcBorders>
              <w:top w:val="single" w:sz="8" w:space="0" w:color="4BACC6"/>
              <w:left w:val="single" w:sz="8" w:space="0" w:color="4BACC6"/>
              <w:bottom w:val="single" w:sz="18" w:space="0" w:color="FFFFFF"/>
              <w:right w:val="single" w:sz="8" w:space="0" w:color="4BACC6"/>
            </w:tcBorders>
            <w:shd w:val="clear" w:color="auto" w:fill="4BACC6"/>
            <w:vAlign w:val="center"/>
          </w:tcPr>
          <w:p w:rsidR="003C0411" w:rsidRDefault="003C0411" w:rsidP="00747FA2">
            <w:pPr>
              <w:widowControl/>
              <w:jc w:val="center"/>
              <w:rPr>
                <w:rFonts w:ascii="微软雅黑" w:eastAsia="微软雅黑" w:hAnsi="微软雅黑" w:cs="微软雅黑"/>
                <w:b/>
                <w:bCs/>
                <w:color w:val="FFFFFF" w:themeColor="background1"/>
                <w:kern w:val="0"/>
                <w:sz w:val="21"/>
                <w:szCs w:val="21"/>
              </w:rPr>
            </w:pPr>
            <w:r>
              <w:rPr>
                <w:rFonts w:ascii="微软雅黑" w:eastAsia="微软雅黑" w:hAnsi="微软雅黑" w:cs="微软雅黑" w:hint="eastAsia"/>
                <w:b/>
                <w:bCs/>
                <w:color w:val="FFFFFF" w:themeColor="background1"/>
                <w:kern w:val="0"/>
                <w:sz w:val="21"/>
                <w:szCs w:val="21"/>
              </w:rPr>
              <w:t>成果名称</w:t>
            </w:r>
          </w:p>
        </w:tc>
        <w:tc>
          <w:tcPr>
            <w:tcW w:w="2640" w:type="dxa"/>
            <w:tcBorders>
              <w:top w:val="single" w:sz="8" w:space="0" w:color="4BACC6"/>
              <w:left w:val="single" w:sz="8" w:space="0" w:color="4BACC6"/>
              <w:bottom w:val="single" w:sz="18" w:space="0" w:color="FFFFFF"/>
              <w:right w:val="single" w:sz="8" w:space="0" w:color="4BACC6"/>
            </w:tcBorders>
            <w:shd w:val="clear" w:color="auto" w:fill="4BACC6"/>
            <w:vAlign w:val="center"/>
          </w:tcPr>
          <w:p w:rsidR="003C0411" w:rsidRDefault="003C0411" w:rsidP="00747FA2">
            <w:pPr>
              <w:widowControl/>
              <w:jc w:val="center"/>
              <w:rPr>
                <w:rFonts w:ascii="微软雅黑" w:eastAsia="微软雅黑" w:hAnsi="微软雅黑" w:cs="微软雅黑"/>
                <w:b/>
                <w:bCs/>
                <w:color w:val="FFFFFF" w:themeColor="background1"/>
                <w:kern w:val="0"/>
                <w:sz w:val="21"/>
                <w:szCs w:val="21"/>
              </w:rPr>
            </w:pPr>
            <w:r>
              <w:rPr>
                <w:rFonts w:ascii="微软雅黑" w:eastAsia="微软雅黑" w:hAnsi="微软雅黑" w:cs="微软雅黑" w:hint="eastAsia"/>
                <w:b/>
                <w:bCs/>
                <w:color w:val="FFFFFF" w:themeColor="background1"/>
                <w:kern w:val="0"/>
                <w:sz w:val="21"/>
                <w:szCs w:val="21"/>
              </w:rPr>
              <w:t>成果完成人</w:t>
            </w:r>
          </w:p>
        </w:tc>
      </w:tr>
      <w:tr w:rsidR="003C0411" w:rsidTr="00747FA2">
        <w:trPr>
          <w:trHeight w:val="285"/>
          <w:jc w:val="center"/>
        </w:trPr>
        <w:tc>
          <w:tcPr>
            <w:tcW w:w="634" w:type="dxa"/>
            <w:tcBorders>
              <w:top w:val="single" w:sz="18" w:space="0" w:color="FFFFFF"/>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w:t>
            </w:r>
          </w:p>
        </w:tc>
        <w:tc>
          <w:tcPr>
            <w:tcW w:w="1141" w:type="dxa"/>
            <w:tcBorders>
              <w:top w:val="single" w:sz="18" w:space="0" w:color="FFFFFF"/>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18" w:space="0" w:color="FFFFFF"/>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18" w:space="0" w:color="FFFFFF"/>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意志与真知——学庸之异</w:t>
            </w:r>
          </w:p>
        </w:tc>
        <w:tc>
          <w:tcPr>
            <w:tcW w:w="2640" w:type="dxa"/>
            <w:tcBorders>
              <w:top w:val="single" w:sz="18" w:space="0" w:color="FFFFFF"/>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邹晓东</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济南大学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社会保险经办机构国际比较：主体定位和制度选择</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袁曙光，李秀凤</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边界视角：新时期中国民俗学发展脉络考察</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李海云</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山东建筑大学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人的利益与思想政治教育创新</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巩克菊</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聊城大学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宋代《论语》诠释研究</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唐明贵</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6</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聊城大学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中国共产党党内政治生活科学化的历史演进与经验启示</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刘子平</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7</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山东政法学院</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宽严相济刑事政策古今考辨</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黄春燕</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8</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山东中医药大学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斯图亚特·霍尔的文化理论研究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甄红菊</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9</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法律解释方法在指导性案例中的运用及其完善</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孙光宁</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10</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山东财经大学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我国国家特殊管理股制度构建：基于国外经验借鉴的研究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王乐锦，苏琪琪，綦好东</w:t>
            </w:r>
          </w:p>
        </w:tc>
      </w:tr>
      <w:tr w:rsidR="003C0411" w:rsidTr="00747FA2">
        <w:trPr>
          <w:trHeight w:val="96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11</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青岛大学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A multi-period supply chain network equilibrium model considering retailers’ uncertain demands and dynamic loss-averse behaviors</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周岩(Yan Zhou)，陈志坚 （Chi Kin Chan)， 黄家鸿（Kar Hung Wong）</w:t>
            </w:r>
          </w:p>
        </w:tc>
      </w:tr>
      <w:tr w:rsidR="003C0411" w:rsidTr="00747FA2">
        <w:trPr>
          <w:trHeight w:val="96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12</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山东财经大学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多主体协同的农产品质量安全保障机制研究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苏昕，段升森，于仁竹，王晓辉，刘昊龙，张辉，周升师，王立民，李秀芬，牟春兰，高小婷，王乐，闫超</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13</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聊城大学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基于“互联网+”背景的供应链金融模式创新与发展研究</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徐鹏杰，吴盛汉</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14</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济南大学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制造企业的业绩困境会促进创新吗——基于期望落差维度拓展的分析</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李溪，郑馨，张建琦</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15</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山东女子学院</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基于品牌竞争力的山东省现代流通业发展战略与对策研究</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王雷，董玉幸，蔡刚，黄世国，朱红祥，张丰智，刘晶，孙童童</w:t>
            </w:r>
          </w:p>
        </w:tc>
      </w:tr>
      <w:tr w:rsidR="003C0411" w:rsidTr="00747FA2">
        <w:trPr>
          <w:trHeight w:val="72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16</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山东女子学院</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助力打造乡村振兴的“齐鲁样板”——关于实施“农业品牌专员”工程的建议</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张可成，王雷，黄世国，秦善勇，宋传珍，彭玉珊，张梦尧，张倩倩，董玉幸，刘晶，蔡刚</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lastRenderedPageBreak/>
              <w:t>17</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Multi-dual decomposition solution for risk-averse facility location problem</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于国栋，Zhang Jie</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18</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山东工商学院</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犹豫模糊语言术语集距离测度的构建方法及其在决策中的应用</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赵娜，徐泽水，任智亮</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19</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山东财经大学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Q阶序对模糊环境下考虑属性间异质关联关系和属性权重完全未知的多属性决策方法研究</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刘政敏，刘培德，梁霞</w:t>
            </w:r>
          </w:p>
        </w:tc>
      </w:tr>
      <w:tr w:rsidR="003C0411" w:rsidTr="00747FA2">
        <w:trPr>
          <w:trHeight w:val="96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20</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中国石油大学（华东）</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Business orientation policy and process analysis evaluation for establishing third party providers of reverse logistics services</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李永波，Devika Kannan； Kiran Garg ； Seema Gupta； Kanika Gandhi； P.C. Jha</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21</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山东工商学院</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注册会计师惩戒的溢出效应研究——以与受罚签字注册会计师合作的密切关系为视角</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杨金凤，陈智，吴霞，孙维章</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22</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山东财经大学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农产品收入保险及其定价研究--以山东省苹果为例</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刘素春，刘亚文</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23</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山东财经大学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续贷限制对微观企业的经济效应研究</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刘海明，曹廷求</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24</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山东财经大学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要素禀赋、工资差距与人力资本形成</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李成友，孙涛，焦勇</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25</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山东财经大学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价格竞争、战略性贸易政策调整与企业出口模式选择</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谢申祥，刘培德，王孝松</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26</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深化收入分配制度改革的财税机制与制度研究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安体富，李齐云，樊丽明，吴俊培，卢洪友，靳东升，李华等</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27</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产业技术与制度的共同演化分析——基于多主体的学习过程</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黄凯南，乔元波</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28</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山东工商学院</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中国地区煤炭消费总量控制战略研究——以山东省为例</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张一清，刘传庚，李科，周勇</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29</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山东财经大学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汇率市场化与资本账户开放的路径选择</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彭红枫，肖祖沔，祝小全</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30</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济南大学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生鲜农产品消费者网络购买意愿的影响因素研究——基于UTAUT模型的实证分析</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韩丹，慕静，宋磊</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31</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曲阜师范大学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改革开放40年德育理论研究的主题及进展</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戚万学，唐爱民，韩笑</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32</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曲阜师范大学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教育学核心概念的嬗变与重构——基于新时代中国特色教育学话语体系建构的思考</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谭维智</w:t>
            </w:r>
          </w:p>
        </w:tc>
      </w:tr>
      <w:tr w:rsidR="003C0411" w:rsidTr="00747FA2">
        <w:trPr>
          <w:trHeight w:val="144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33</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山东师范大学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Interacting effect of Catechol-O-Methyltransferase(COMT) and Monoamine Oxidase A(MAOA) gene polymorphisms，and stressful life events on aggressive behavior in Chinese male adolescents</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王美萍，李海垒，Kirby Deater-Deckard，张文新</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34</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鲁东大学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我国高等教育与基础教育技术应用发展趋势分析</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魏雪峰，高媛，曾海军，黄荣怀</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35</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山东工艺美术学院</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抗战时期延安电影团的创作及影响辨析</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张杰</w:t>
            </w:r>
          </w:p>
        </w:tc>
      </w:tr>
      <w:tr w:rsidR="003C0411" w:rsidTr="00747FA2">
        <w:trPr>
          <w:trHeight w:val="72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36</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中国海洋大学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我国基础教育质量的国际排名、问题与改进——2015年PISA结果及其对深化我国基础教育改革与发展的重要启示</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胡乐乐</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37</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山东体育学院</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七人制橄榄球运动员的形态学、生理学和比赛跑动能力特征研究</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韩炜，赵亮，郑念军</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38</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山东师范大学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论学生的课程理解</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朱忠琴</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39</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济南大学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马克思主义与中国传统文化融合机制研究</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王今</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40</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青岛科技大学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《家珍：古器物意象通论》</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朱纪</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41</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鲁东大学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心理学文化探索</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孟维杰</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42</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青岛大学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中国文学中的印度形象研究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王汝良</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43</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论艺术阐释话语中的文学化表达</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凌晨光</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44</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山东师范大学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日月不出 爝火何熄：《狂人日记》百年祭</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贾振勇</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45</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“熟玩本文，深绎本意”——中国传统文学读解理论的本体性及其现代阐释</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李桂奎</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46</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魏晋南朝衡制发微</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韩吉绍</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47</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山东师范大学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帝国的角落：英国租占威海卫研究（1898—1930）</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刘本森</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48</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曲阜师范大学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歌终而语——语的礼乐形态研究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吴建国</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49</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济南大学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佛境与唐宋诗境</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刘艳芬</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50</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山东师范大学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论中国近代慈善组织的征信方式及其演变</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王林</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51</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曲阜师范大学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精神分析视阈中的汪曾祺创作</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翟文铖</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52</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聊城大学</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西史东渐与中国史学演进（1840-1929）</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赵少峰</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53</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山东大学</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本科高校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《进化、革命与复仇：“政治鲁迅”的诞生》</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钟诚</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54</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山东水利职业学院</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人水和谐视角下的水利工程管理与水生态文明建设研究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蒋茂东，李振凌，刘兆怀，王海龙，靳桂龙</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55</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青岛职业技术学院</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《高职院校教师绩效评价研究》</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邢广陆</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56</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山东外贸职业学院</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山东省电商特色小镇的建设思路研究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孟波，张旭英，莫新平，刘晓飞，亓春霞</w:t>
            </w:r>
          </w:p>
        </w:tc>
      </w:tr>
      <w:tr w:rsidR="003C0411" w:rsidTr="00747FA2">
        <w:trPr>
          <w:trHeight w:val="285"/>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57</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烟台职业学院</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改进税源监控方式积极防范税源流失</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范忠廷</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58</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山东司法警官职业学院</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中国监狱文明史论</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于连涛</w:t>
            </w:r>
          </w:p>
        </w:tc>
      </w:tr>
      <w:tr w:rsidR="003C0411" w:rsidTr="00747FA2">
        <w:trPr>
          <w:trHeight w:val="96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59</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青岛远洋船员职业学院</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极地航行船舶船员培训研究</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刘加钊，王成海，李先强，高世龙，张钢，柳邦声，黄磊，李迪阳，贺国峰，张铎，刘肖沛，孟祥武，张晓</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60</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山东医学高等专科学校</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专科医学生学业自我效能感现状调查及对策研究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李文杰，赵炎，刘萍，孙金涛，安萌，李静静</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61</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山东劳动职业技术学院</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校企深度融合创新创业型人才培养的探索--以汽车检测与维修技术专业为例</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孙泽涛，王桂珍，曹爱红，钟磊，徐群杰，张安刚，代世勋，崔政敏</w:t>
            </w:r>
          </w:p>
        </w:tc>
      </w:tr>
      <w:tr w:rsidR="003C0411" w:rsidTr="00747FA2">
        <w:trPr>
          <w:trHeight w:val="72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62</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威海职业学院</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职业教育现代学徒制的“4融合”人才培养模式的创新研究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李传伟，董先，徐桂洪，李红，王浩，于胜，曲海波，董海萍，杨培双</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63</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淄博师范高等专科学校</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社交媒体与大学生思想政治教育</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刘建波，李俊，王松江，梁旭，丁吉安，赵秀云</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64</w:t>
            </w:r>
          </w:p>
        </w:tc>
        <w:tc>
          <w:tcPr>
            <w:tcW w:w="114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青岛港湾职业技术学院</w:t>
            </w:r>
          </w:p>
        </w:tc>
        <w:tc>
          <w:tcPr>
            <w:tcW w:w="115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《产教融合视域下高职学生工匠精神培育路径的研究》</w:t>
            </w:r>
          </w:p>
        </w:tc>
        <w:tc>
          <w:tcPr>
            <w:tcW w:w="264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陈纪伟</w:t>
            </w:r>
          </w:p>
        </w:tc>
      </w:tr>
      <w:tr w:rsidR="003C0411" w:rsidTr="00747FA2">
        <w:trPr>
          <w:trHeight w:val="480"/>
          <w:jc w:val="center"/>
        </w:trPr>
        <w:tc>
          <w:tcPr>
            <w:tcW w:w="634"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65</w:t>
            </w:r>
          </w:p>
        </w:tc>
        <w:tc>
          <w:tcPr>
            <w:tcW w:w="1141"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lef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淄博师范高等专科学校</w:t>
            </w:r>
          </w:p>
        </w:tc>
        <w:tc>
          <w:tcPr>
            <w:tcW w:w="1155"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jc w:val="center"/>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高职高专院校</w:t>
            </w:r>
          </w:p>
        </w:tc>
        <w:tc>
          <w:tcPr>
            <w:tcW w:w="345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汉字中的生活百态</w:t>
            </w:r>
          </w:p>
        </w:tc>
        <w:tc>
          <w:tcPr>
            <w:tcW w:w="2640" w:type="dxa"/>
            <w:tcBorders>
              <w:top w:val="single" w:sz="8" w:space="0" w:color="4BACC6"/>
              <w:left w:val="single" w:sz="8" w:space="0" w:color="4BACC6"/>
              <w:bottom w:val="single" w:sz="8" w:space="0" w:color="4BACC6"/>
              <w:right w:val="single" w:sz="8" w:space="0" w:color="4BACC6"/>
            </w:tcBorders>
            <w:shd w:val="clear" w:color="auto" w:fill="B7DDE8"/>
            <w:vAlign w:val="center"/>
          </w:tcPr>
          <w:p w:rsidR="003C0411" w:rsidRDefault="003C0411" w:rsidP="00747FA2">
            <w:pPr>
              <w:widowControl/>
              <w:spacing w:line="240" w:lineRule="exact"/>
              <w:rPr>
                <w:rFonts w:ascii="微软雅黑" w:eastAsia="微软雅黑" w:hAnsi="微软雅黑" w:cs="微软雅黑"/>
                <w:color w:val="262626" w:themeColor="text1" w:themeTint="D9"/>
                <w:kern w:val="0"/>
                <w:sz w:val="21"/>
                <w:szCs w:val="21"/>
              </w:rPr>
            </w:pPr>
            <w:r>
              <w:rPr>
                <w:rFonts w:ascii="微软雅黑" w:eastAsia="微软雅黑" w:hAnsi="微软雅黑" w:cs="微软雅黑" w:hint="eastAsia"/>
                <w:color w:val="262626" w:themeColor="text1" w:themeTint="D9"/>
                <w:kern w:val="0"/>
                <w:sz w:val="21"/>
                <w:szCs w:val="21"/>
              </w:rPr>
              <w:t>刘悦，古敬恒</w:t>
            </w:r>
          </w:p>
        </w:tc>
      </w:tr>
    </w:tbl>
    <w:p w:rsidR="003C0411" w:rsidRDefault="003C0411" w:rsidP="003C0411">
      <w:pPr>
        <w:spacing w:line="540" w:lineRule="exact"/>
        <w:ind w:firstLineChars="200" w:firstLine="640"/>
        <w:jc w:val="center"/>
        <w:rPr>
          <w:rFonts w:ascii="Times New Roman" w:hAnsi="Times New Roman" w:cs="Times New Roman"/>
        </w:rPr>
      </w:pPr>
    </w:p>
    <w:p w:rsidR="00774C7E" w:rsidRPr="003C0411" w:rsidRDefault="00774C7E" w:rsidP="003C0411">
      <w:bookmarkStart w:id="0" w:name="_GoBack"/>
      <w:bookmarkEnd w:id="0"/>
    </w:p>
    <w:sectPr w:rsidR="00774C7E" w:rsidRPr="003C0411">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4DF" w:rsidRDefault="00ED14DF" w:rsidP="00ED643E">
      <w:r>
        <w:separator/>
      </w:r>
    </w:p>
  </w:endnote>
  <w:endnote w:type="continuationSeparator" w:id="0">
    <w:p w:rsidR="00ED14DF" w:rsidRDefault="00ED14DF" w:rsidP="00ED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614545"/>
      <w:docPartObj>
        <w:docPartGallery w:val="Page Numbers (Bottom of Page)"/>
        <w:docPartUnique/>
      </w:docPartObj>
    </w:sdtPr>
    <w:sdtEndPr/>
    <w:sdtContent>
      <w:p w:rsidR="00001D6E" w:rsidRDefault="00CF2AF3">
        <w:pPr>
          <w:pStyle w:val="a5"/>
          <w:jc w:val="center"/>
        </w:pPr>
        <w:r>
          <w:fldChar w:fldCharType="begin"/>
        </w:r>
        <w:r>
          <w:instrText>PAGE   \* MERGEFORMAT</w:instrText>
        </w:r>
        <w:r>
          <w:fldChar w:fldCharType="separate"/>
        </w:r>
        <w:r w:rsidR="00ED14DF" w:rsidRPr="00ED14DF">
          <w:rPr>
            <w:noProof/>
            <w:lang w:val="zh-CN"/>
          </w:rPr>
          <w:t>1</w:t>
        </w:r>
        <w:r>
          <w:fldChar w:fldCharType="end"/>
        </w:r>
      </w:p>
    </w:sdtContent>
  </w:sdt>
  <w:p w:rsidR="00001D6E" w:rsidRDefault="00ED1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4DF" w:rsidRDefault="00ED14DF" w:rsidP="00ED643E">
      <w:r>
        <w:separator/>
      </w:r>
    </w:p>
  </w:footnote>
  <w:footnote w:type="continuationSeparator" w:id="0">
    <w:p w:rsidR="00ED14DF" w:rsidRDefault="00ED14DF" w:rsidP="00ED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6E" w:rsidRDefault="00ED14DF" w:rsidP="00FF722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23"/>
    <w:rsid w:val="003C0411"/>
    <w:rsid w:val="00774C7E"/>
    <w:rsid w:val="00974023"/>
    <w:rsid w:val="00CF2AF3"/>
    <w:rsid w:val="00ED14DF"/>
    <w:rsid w:val="00ED6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9CA8FA-42C8-4409-B5B1-60BFC2BE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43E"/>
    <w:pPr>
      <w:widowControl w:val="0"/>
      <w:jc w:val="both"/>
    </w:pPr>
    <w:rPr>
      <w:rFonts w:ascii="仿宋_GB2312"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43E"/>
    <w:pPr>
      <w:pBdr>
        <w:bottom w:val="single" w:sz="6" w:space="1" w:color="auto"/>
      </w:pBdr>
      <w:tabs>
        <w:tab w:val="center" w:pos="4153"/>
        <w:tab w:val="right" w:pos="8306"/>
      </w:tabs>
      <w:snapToGrid w:val="0"/>
      <w:jc w:val="center"/>
    </w:pPr>
    <w:rPr>
      <w:rFonts w:asciiTheme="minorHAnsi" w:eastAsiaTheme="minorEastAsia"/>
      <w:sz w:val="18"/>
      <w:szCs w:val="18"/>
    </w:rPr>
  </w:style>
  <w:style w:type="character" w:customStyle="1" w:styleId="a4">
    <w:name w:val="页眉 字符"/>
    <w:basedOn w:val="a0"/>
    <w:link w:val="a3"/>
    <w:uiPriority w:val="99"/>
    <w:rsid w:val="00ED643E"/>
    <w:rPr>
      <w:sz w:val="18"/>
      <w:szCs w:val="18"/>
    </w:rPr>
  </w:style>
  <w:style w:type="paragraph" w:styleId="a5">
    <w:name w:val="footer"/>
    <w:basedOn w:val="a"/>
    <w:link w:val="a6"/>
    <w:uiPriority w:val="99"/>
    <w:unhideWhenUsed/>
    <w:rsid w:val="00ED643E"/>
    <w:pPr>
      <w:tabs>
        <w:tab w:val="center" w:pos="4153"/>
        <w:tab w:val="right" w:pos="8306"/>
      </w:tabs>
      <w:snapToGrid w:val="0"/>
      <w:jc w:val="left"/>
    </w:pPr>
    <w:rPr>
      <w:rFonts w:asciiTheme="minorHAnsi" w:eastAsiaTheme="minorEastAsia"/>
      <w:sz w:val="18"/>
      <w:szCs w:val="18"/>
    </w:rPr>
  </w:style>
  <w:style w:type="character" w:customStyle="1" w:styleId="a6">
    <w:name w:val="页脚 字符"/>
    <w:basedOn w:val="a0"/>
    <w:link w:val="a5"/>
    <w:uiPriority w:val="99"/>
    <w:rsid w:val="00ED64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3208</Characters>
  <Application>Microsoft Office Word</Application>
  <DocSecurity>0</DocSecurity>
  <Lines>26</Lines>
  <Paragraphs>7</Paragraphs>
  <ScaleCrop>false</ScaleCrop>
  <Company>神州网信技术有限公司</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3</cp:revision>
  <dcterms:created xsi:type="dcterms:W3CDTF">2020-01-07T01:46:00Z</dcterms:created>
  <dcterms:modified xsi:type="dcterms:W3CDTF">2020-01-08T02:58:00Z</dcterms:modified>
</cp:coreProperties>
</file>