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2E" w:rsidRDefault="009F1A2E" w:rsidP="009F1A2E">
      <w:r w:rsidRPr="000B1080">
        <w:rPr>
          <w:rFonts w:ascii="仿宋_GB2312" w:eastAsia="仿宋_GB2312" w:hint="eastAsia"/>
          <w:sz w:val="32"/>
          <w:szCs w:val="32"/>
        </w:rPr>
        <w:t>附件</w:t>
      </w:r>
    </w:p>
    <w:p w:rsidR="009F1A2E" w:rsidRDefault="009F1A2E" w:rsidP="009F1A2E">
      <w:pPr>
        <w:spacing w:line="640" w:lineRule="exact"/>
        <w:jc w:val="center"/>
        <w:rPr>
          <w:rFonts w:ascii="方正小标宋简体" w:eastAsia="方正小标宋简体" w:hAnsi="宋体" w:cs="宋体"/>
          <w:color w:val="000000"/>
          <w:kern w:val="0"/>
          <w:sz w:val="44"/>
          <w:szCs w:val="44"/>
        </w:rPr>
      </w:pPr>
      <w:bookmarkStart w:id="0" w:name="_GoBack"/>
      <w:r w:rsidRPr="008C0753">
        <w:rPr>
          <w:rFonts w:ascii="方正小标宋简体" w:eastAsia="方正小标宋简体" w:hAnsi="宋体" w:cs="宋体" w:hint="eastAsia"/>
          <w:color w:val="000000"/>
          <w:kern w:val="0"/>
          <w:sz w:val="44"/>
          <w:szCs w:val="44"/>
        </w:rPr>
        <w:t>2019年省政府公派出国留学项目“省校联合培养计划”</w:t>
      </w:r>
    </w:p>
    <w:p w:rsidR="009F1A2E" w:rsidRDefault="009F1A2E" w:rsidP="009F1A2E">
      <w:pPr>
        <w:spacing w:afterLines="50" w:after="156" w:line="640" w:lineRule="exact"/>
        <w:jc w:val="center"/>
      </w:pPr>
      <w:r w:rsidRPr="008C0753">
        <w:rPr>
          <w:rFonts w:ascii="方正小标宋简体" w:eastAsia="方正小标宋简体" w:hAnsi="宋体" w:cs="宋体" w:hint="eastAsia"/>
          <w:color w:val="000000"/>
          <w:kern w:val="0"/>
          <w:sz w:val="44"/>
          <w:szCs w:val="44"/>
        </w:rPr>
        <w:t>项目学校名单</w:t>
      </w:r>
      <w:bookmarkEnd w:id="0"/>
    </w:p>
    <w:tbl>
      <w:tblPr>
        <w:tblW w:w="5000" w:type="pct"/>
        <w:jc w:val="center"/>
        <w:tblLook w:val="04A0" w:firstRow="1" w:lastRow="0" w:firstColumn="1" w:lastColumn="0" w:noHBand="0" w:noVBand="1"/>
      </w:tblPr>
      <w:tblGrid>
        <w:gridCol w:w="881"/>
        <w:gridCol w:w="2736"/>
        <w:gridCol w:w="3127"/>
        <w:gridCol w:w="2824"/>
        <w:gridCol w:w="2525"/>
        <w:gridCol w:w="935"/>
      </w:tblGrid>
      <w:tr w:rsidR="009F1A2E" w:rsidRPr="008C0753" w:rsidTr="008D2244">
        <w:trPr>
          <w:trHeight w:val="420"/>
          <w:tblHeader/>
          <w:jc w:val="center"/>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序号</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学校名称</w:t>
            </w:r>
          </w:p>
        </w:tc>
        <w:tc>
          <w:tcPr>
            <w:tcW w:w="32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选派出国留学人员限定学科专业领域</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备注</w:t>
            </w:r>
          </w:p>
        </w:tc>
      </w:tr>
      <w:tr w:rsidR="009F1A2E" w:rsidRPr="008C0753" w:rsidTr="008D2244">
        <w:trPr>
          <w:trHeight w:val="780"/>
          <w:tblHeader/>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9F1A2E" w:rsidRPr="008C0753" w:rsidRDefault="009F1A2E" w:rsidP="008D2244">
            <w:pPr>
              <w:widowControl/>
              <w:rPr>
                <w:rFonts w:ascii="汉仪书宋一简" w:eastAsia="汉仪书宋一简" w:hAnsi="宋体" w:cs="宋体" w:hint="eastAsia"/>
                <w:b/>
                <w:bCs/>
                <w:color w:val="000000"/>
                <w:kern w:val="0"/>
                <w:szCs w:val="21"/>
              </w:rPr>
            </w:pP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“一流学科”建设</w:t>
            </w:r>
            <w:r w:rsidRPr="008C0753">
              <w:rPr>
                <w:rFonts w:ascii="汉仪书宋一简" w:eastAsia="汉仪书宋一简" w:hAnsi="宋体" w:cs="宋体" w:hint="eastAsia"/>
                <w:b/>
                <w:bCs/>
                <w:color w:val="000000"/>
                <w:kern w:val="0"/>
                <w:szCs w:val="21"/>
              </w:rPr>
              <w:br/>
              <w:t>相关专业</w:t>
            </w: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“十强产业”建设</w:t>
            </w:r>
            <w:r w:rsidRPr="008C0753">
              <w:rPr>
                <w:rFonts w:ascii="汉仪书宋一简" w:eastAsia="汉仪书宋一简" w:hAnsi="宋体" w:cs="宋体" w:hint="eastAsia"/>
                <w:b/>
                <w:bCs/>
                <w:color w:val="000000"/>
                <w:kern w:val="0"/>
                <w:szCs w:val="21"/>
              </w:rPr>
              <w:br/>
              <w:t>相关学科专业</w:t>
            </w: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1A2E" w:rsidRPr="008C0753" w:rsidRDefault="009F1A2E" w:rsidP="008D2244">
            <w:pPr>
              <w:widowControl/>
              <w:jc w:val="center"/>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特色优势学科建设</w:t>
            </w:r>
            <w:r w:rsidRPr="008C0753">
              <w:rPr>
                <w:rFonts w:ascii="汉仪书宋一简" w:eastAsia="汉仪书宋一简" w:hAnsi="宋体" w:cs="宋体" w:hint="eastAsia"/>
                <w:b/>
                <w:bCs/>
                <w:color w:val="000000"/>
                <w:kern w:val="0"/>
                <w:szCs w:val="21"/>
              </w:rPr>
              <w:br/>
              <w:t>相关专业</w:t>
            </w:r>
            <w:r w:rsidRPr="008C0753">
              <w:rPr>
                <w:rFonts w:ascii="汉仪书宋一简" w:eastAsia="汉仪书宋一简" w:hAnsi="宋体" w:cs="宋体" w:hint="eastAsia"/>
                <w:color w:val="000000"/>
                <w:kern w:val="0"/>
                <w:szCs w:val="21"/>
              </w:rPr>
              <w:t>☆</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9F1A2E" w:rsidRPr="008C0753" w:rsidRDefault="009F1A2E" w:rsidP="008D2244">
            <w:pPr>
              <w:widowControl/>
              <w:jc w:val="left"/>
              <w:rPr>
                <w:rFonts w:ascii="汉仪书宋一简" w:eastAsia="汉仪书宋一简" w:hAnsi="宋体" w:cs="宋体" w:hint="eastAsia"/>
                <w:b/>
                <w:bCs/>
                <w:color w:val="000000"/>
                <w:kern w:val="0"/>
                <w:szCs w:val="21"/>
              </w:rPr>
            </w:pP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中国海洋大学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山东科技大学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4</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青岛科技大学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5</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济南大学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6</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青岛大学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7</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烟台大学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8</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青岛理工大学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9</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山东建筑大学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10</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齐鲁工业大学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山东理工大学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lastRenderedPageBreak/>
              <w:t>12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山东农业大学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13</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青岛农业大学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14</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潍坊医学院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15</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滨州医学院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16</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山东中医药大学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17</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山东师范大学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18</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曲阜师范大学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19</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聊城大学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20</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山东财经大学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鲁东大学</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山东交通学院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23</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山东工商学院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24</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山东第一医科大学（筹）</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25</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潍坊职业学院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26</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山东科技职业学院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27</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青岛酒店管理职业技术学院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lastRenderedPageBreak/>
              <w:t>28</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山东外贸职业学院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29</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山东畜牧兽医职业学院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30</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山东水利职业学院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山东医学高等专科学校</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潍坊工程职业学院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33</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山东旅游职业学院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34</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山东劳动职业技术学院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454"/>
          <w:jc w:val="cent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35</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山东英才学院</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 xml:space="preserve">　</w:t>
            </w:r>
          </w:p>
        </w:tc>
      </w:tr>
      <w:tr w:rsidR="009F1A2E" w:rsidRPr="008C0753" w:rsidTr="008D2244">
        <w:trPr>
          <w:trHeight w:val="270"/>
          <w:jc w:val="center"/>
        </w:trPr>
        <w:tc>
          <w:tcPr>
            <w:tcW w:w="338" w:type="pct"/>
            <w:tcBorders>
              <w:top w:val="nil"/>
              <w:left w:val="nil"/>
              <w:bottom w:val="nil"/>
              <w:right w:val="nil"/>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p>
        </w:tc>
        <w:tc>
          <w:tcPr>
            <w:tcW w:w="1050" w:type="pct"/>
            <w:tcBorders>
              <w:top w:val="nil"/>
              <w:left w:val="nil"/>
              <w:bottom w:val="nil"/>
              <w:right w:val="nil"/>
            </w:tcBorders>
            <w:shd w:val="clear" w:color="auto" w:fill="auto"/>
            <w:noWrap/>
            <w:vAlign w:val="center"/>
            <w:hideMark/>
          </w:tcPr>
          <w:p w:rsidR="009F1A2E" w:rsidRPr="008C0753" w:rsidRDefault="009F1A2E" w:rsidP="008D2244">
            <w:pPr>
              <w:widowControl/>
              <w:rPr>
                <w:rFonts w:ascii="汉仪书宋一简" w:eastAsia="汉仪书宋一简" w:hint="eastAsia"/>
                <w:kern w:val="0"/>
                <w:szCs w:val="21"/>
              </w:rPr>
            </w:pPr>
          </w:p>
        </w:tc>
        <w:tc>
          <w:tcPr>
            <w:tcW w:w="1200"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c>
          <w:tcPr>
            <w:tcW w:w="1084"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c>
          <w:tcPr>
            <w:tcW w:w="969"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c>
          <w:tcPr>
            <w:tcW w:w="360"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r>
      <w:tr w:rsidR="009F1A2E" w:rsidRPr="008C0753" w:rsidTr="008D2244">
        <w:trPr>
          <w:trHeight w:val="270"/>
          <w:jc w:val="center"/>
        </w:trPr>
        <w:tc>
          <w:tcPr>
            <w:tcW w:w="338" w:type="pct"/>
            <w:tcBorders>
              <w:top w:val="nil"/>
              <w:left w:val="nil"/>
              <w:bottom w:val="nil"/>
              <w:right w:val="nil"/>
            </w:tcBorders>
            <w:shd w:val="clear" w:color="auto" w:fill="auto"/>
            <w:noWrap/>
            <w:vAlign w:val="center"/>
            <w:hideMark/>
          </w:tcPr>
          <w:p w:rsidR="009F1A2E" w:rsidRPr="008C0753" w:rsidRDefault="009F1A2E" w:rsidP="008D2244">
            <w:pPr>
              <w:widowControl/>
              <w:jc w:val="center"/>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w:t>
            </w:r>
          </w:p>
        </w:tc>
        <w:tc>
          <w:tcPr>
            <w:tcW w:w="1050" w:type="pct"/>
            <w:tcBorders>
              <w:top w:val="nil"/>
              <w:left w:val="nil"/>
              <w:bottom w:val="nil"/>
              <w:right w:val="nil"/>
            </w:tcBorders>
            <w:shd w:val="clear" w:color="auto" w:fill="auto"/>
            <w:noWrap/>
            <w:vAlign w:val="center"/>
            <w:hideMark/>
          </w:tcPr>
          <w:p w:rsidR="009F1A2E" w:rsidRPr="008C0753" w:rsidRDefault="009F1A2E" w:rsidP="008D2244">
            <w:pPr>
              <w:widowControl/>
              <w:rPr>
                <w:rFonts w:ascii="汉仪书宋一简" w:eastAsia="汉仪书宋一简" w:hAnsi="宋体" w:cs="宋体" w:hint="eastAsia"/>
                <w:color w:val="000000"/>
                <w:kern w:val="0"/>
                <w:szCs w:val="21"/>
              </w:rPr>
            </w:pPr>
            <w:r w:rsidRPr="008C0753">
              <w:rPr>
                <w:rFonts w:ascii="汉仪书宋一简" w:eastAsia="汉仪书宋一简" w:hAnsi="宋体" w:cs="宋体" w:hint="eastAsia"/>
                <w:color w:val="000000"/>
                <w:kern w:val="0"/>
                <w:szCs w:val="21"/>
              </w:rPr>
              <w:t>注：</w:t>
            </w:r>
          </w:p>
        </w:tc>
        <w:tc>
          <w:tcPr>
            <w:tcW w:w="1200"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Ansi="宋体" w:cs="宋体" w:hint="eastAsia"/>
                <w:color w:val="000000"/>
                <w:kern w:val="0"/>
                <w:szCs w:val="21"/>
              </w:rPr>
            </w:pPr>
          </w:p>
        </w:tc>
        <w:tc>
          <w:tcPr>
            <w:tcW w:w="1084"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c>
          <w:tcPr>
            <w:tcW w:w="969"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c>
          <w:tcPr>
            <w:tcW w:w="360" w:type="pct"/>
            <w:tcBorders>
              <w:top w:val="nil"/>
              <w:left w:val="nil"/>
              <w:bottom w:val="nil"/>
              <w:right w:val="nil"/>
            </w:tcBorders>
            <w:shd w:val="clear" w:color="auto" w:fill="auto"/>
            <w:noWrap/>
            <w:vAlign w:val="center"/>
            <w:hideMark/>
          </w:tcPr>
          <w:p w:rsidR="009F1A2E" w:rsidRPr="008C0753" w:rsidRDefault="009F1A2E" w:rsidP="008D2244">
            <w:pPr>
              <w:widowControl/>
              <w:jc w:val="left"/>
              <w:rPr>
                <w:rFonts w:ascii="汉仪书宋一简" w:eastAsia="汉仪书宋一简" w:hint="eastAsia"/>
                <w:kern w:val="0"/>
                <w:szCs w:val="21"/>
              </w:rPr>
            </w:pPr>
          </w:p>
        </w:tc>
      </w:tr>
      <w:tr w:rsidR="009F1A2E" w:rsidRPr="008C0753" w:rsidTr="008D2244">
        <w:trPr>
          <w:trHeight w:val="1500"/>
          <w:jc w:val="center"/>
        </w:trPr>
        <w:tc>
          <w:tcPr>
            <w:tcW w:w="338" w:type="pct"/>
            <w:tcBorders>
              <w:top w:val="nil"/>
              <w:left w:val="nil"/>
              <w:bottom w:val="nil"/>
              <w:right w:val="nil"/>
            </w:tcBorders>
            <w:shd w:val="clear" w:color="auto" w:fill="auto"/>
            <w:noWrap/>
            <w:vAlign w:val="center"/>
            <w:hideMark/>
          </w:tcPr>
          <w:p w:rsidR="009F1A2E" w:rsidRPr="008C0753" w:rsidRDefault="009F1A2E" w:rsidP="008D2244">
            <w:pPr>
              <w:widowControl/>
              <w:jc w:val="center"/>
              <w:rPr>
                <w:rFonts w:ascii="汉仪书宋一简" w:eastAsia="汉仪书宋一简" w:hint="eastAsia"/>
                <w:kern w:val="0"/>
                <w:szCs w:val="21"/>
              </w:rPr>
            </w:pPr>
          </w:p>
        </w:tc>
        <w:tc>
          <w:tcPr>
            <w:tcW w:w="4662" w:type="pct"/>
            <w:gridSpan w:val="5"/>
            <w:tcBorders>
              <w:top w:val="nil"/>
              <w:left w:val="nil"/>
              <w:bottom w:val="nil"/>
              <w:right w:val="nil"/>
            </w:tcBorders>
            <w:shd w:val="clear" w:color="auto" w:fill="auto"/>
            <w:vAlign w:val="center"/>
            <w:hideMark/>
          </w:tcPr>
          <w:p w:rsidR="009F1A2E" w:rsidRPr="008C0753" w:rsidRDefault="009F1A2E" w:rsidP="008D2244">
            <w:pPr>
              <w:widowControl/>
              <w:rPr>
                <w:rFonts w:ascii="汉仪书宋一简" w:eastAsia="汉仪书宋一简" w:hAnsi="宋体" w:cs="宋体" w:hint="eastAsia"/>
                <w:b/>
                <w:bCs/>
                <w:color w:val="000000"/>
                <w:kern w:val="0"/>
                <w:szCs w:val="21"/>
              </w:rPr>
            </w:pPr>
            <w:r w:rsidRPr="008C0753">
              <w:rPr>
                <w:rFonts w:ascii="汉仪书宋一简" w:eastAsia="汉仪书宋一简" w:hAnsi="宋体" w:cs="宋体" w:hint="eastAsia"/>
                <w:b/>
                <w:bCs/>
                <w:color w:val="000000"/>
                <w:kern w:val="0"/>
                <w:szCs w:val="21"/>
              </w:rPr>
              <w:t>“一流学科”建设相关专业</w:t>
            </w:r>
            <w:r w:rsidRPr="008C0753">
              <w:rPr>
                <w:rFonts w:ascii="汉仪书宋一简" w:eastAsia="汉仪书宋一简" w:hAnsi="宋体" w:cs="宋体" w:hint="eastAsia"/>
                <w:color w:val="000000"/>
                <w:kern w:val="0"/>
                <w:szCs w:val="21"/>
              </w:rPr>
              <w:t>包括国家和省“一流学科”建设相关学科专业；</w:t>
            </w:r>
            <w:r w:rsidRPr="008C0753">
              <w:rPr>
                <w:rFonts w:ascii="汉仪书宋一简" w:eastAsia="汉仪书宋一简" w:hAnsi="宋体" w:cs="宋体" w:hint="eastAsia"/>
                <w:color w:val="000000"/>
                <w:kern w:val="0"/>
                <w:szCs w:val="21"/>
              </w:rPr>
              <w:br/>
            </w:r>
            <w:r w:rsidRPr="008C0753">
              <w:rPr>
                <w:rFonts w:ascii="汉仪书宋一简" w:eastAsia="汉仪书宋一简" w:hAnsi="宋体" w:cs="宋体" w:hint="eastAsia"/>
                <w:b/>
                <w:bCs/>
                <w:color w:val="000000"/>
                <w:kern w:val="0"/>
                <w:szCs w:val="21"/>
              </w:rPr>
              <w:t>“十强产业”建设相关学科专业</w:t>
            </w:r>
            <w:r w:rsidRPr="008C0753">
              <w:rPr>
                <w:rFonts w:ascii="汉仪书宋一简" w:eastAsia="汉仪书宋一简" w:hAnsi="宋体" w:cs="宋体" w:hint="eastAsia"/>
                <w:color w:val="000000"/>
                <w:kern w:val="0"/>
                <w:szCs w:val="21"/>
              </w:rPr>
              <w:t>包括教育服务新旧动能转换专业对接产业项目立项建设专业群相关专业；新一代信息技术、高端装备、新能源新材料、智慧海洋、</w:t>
            </w:r>
            <w:proofErr w:type="gramStart"/>
            <w:r w:rsidRPr="008C0753">
              <w:rPr>
                <w:rFonts w:ascii="汉仪书宋一简" w:eastAsia="汉仪书宋一简" w:hAnsi="宋体" w:cs="宋体" w:hint="eastAsia"/>
                <w:color w:val="000000"/>
                <w:kern w:val="0"/>
                <w:szCs w:val="21"/>
              </w:rPr>
              <w:t>医</w:t>
            </w:r>
            <w:proofErr w:type="gramEnd"/>
            <w:r w:rsidRPr="008C0753">
              <w:rPr>
                <w:rFonts w:ascii="汉仪书宋一简" w:eastAsia="汉仪书宋一简" w:hAnsi="宋体" w:cs="宋体" w:hint="eastAsia"/>
                <w:color w:val="000000"/>
                <w:kern w:val="0"/>
                <w:szCs w:val="21"/>
              </w:rPr>
              <w:t>养健康、绿色化工、现代高效农业、文化创意、精品旅游、现代金融相关学科专业。</w:t>
            </w:r>
            <w:r w:rsidRPr="008C0753">
              <w:rPr>
                <w:rFonts w:ascii="汉仪书宋一简" w:eastAsia="汉仪书宋一简" w:hAnsi="宋体" w:cs="宋体" w:hint="eastAsia"/>
                <w:color w:val="000000"/>
                <w:kern w:val="0"/>
                <w:szCs w:val="21"/>
              </w:rPr>
              <w:br/>
            </w:r>
            <w:r w:rsidRPr="008C0753">
              <w:rPr>
                <w:rFonts w:ascii="汉仪书宋一简" w:eastAsia="汉仪书宋一简" w:hAnsi="宋体" w:cs="宋体" w:hint="eastAsia"/>
                <w:b/>
                <w:bCs/>
                <w:color w:val="000000"/>
                <w:kern w:val="0"/>
                <w:szCs w:val="21"/>
              </w:rPr>
              <w:t>“特色优势学科”建设相关专业</w:t>
            </w:r>
            <w:r w:rsidRPr="008C0753">
              <w:rPr>
                <w:rFonts w:ascii="汉仪书宋一简" w:eastAsia="汉仪书宋一简" w:hAnsi="宋体" w:cs="宋体" w:hint="eastAsia"/>
                <w:color w:val="000000"/>
                <w:kern w:val="0"/>
                <w:szCs w:val="21"/>
              </w:rPr>
              <w:t>是指山东省国家示范（骨干）高职院校、省优质高职院校、省技能型高职特色名校、</w:t>
            </w:r>
            <w:proofErr w:type="gramStart"/>
            <w:r w:rsidRPr="008C0753">
              <w:rPr>
                <w:rFonts w:ascii="汉仪书宋一简" w:eastAsia="汉仪书宋一简" w:hAnsi="宋体" w:cs="宋体" w:hint="eastAsia"/>
                <w:color w:val="000000"/>
                <w:kern w:val="0"/>
                <w:szCs w:val="21"/>
              </w:rPr>
              <w:t>省品牌</w:t>
            </w:r>
            <w:proofErr w:type="gramEnd"/>
            <w:r w:rsidRPr="008C0753">
              <w:rPr>
                <w:rFonts w:ascii="汉仪书宋一简" w:eastAsia="汉仪书宋一简" w:hAnsi="宋体" w:cs="宋体" w:hint="eastAsia"/>
                <w:color w:val="000000"/>
                <w:kern w:val="0"/>
                <w:szCs w:val="21"/>
              </w:rPr>
              <w:t>专业群 立项建设项目高职院校建设相关学科专业；民办本科高校优势特色专业。</w:t>
            </w:r>
          </w:p>
        </w:tc>
      </w:tr>
    </w:tbl>
    <w:p w:rsidR="009F1A2E" w:rsidRPr="008C0753" w:rsidRDefault="009F1A2E" w:rsidP="009F1A2E">
      <w:pPr>
        <w:rPr>
          <w:rFonts w:hint="eastAsia"/>
        </w:rPr>
      </w:pPr>
    </w:p>
    <w:p w:rsidR="00714439" w:rsidRPr="009F1A2E" w:rsidRDefault="00714439"/>
    <w:sectPr w:rsidR="00714439" w:rsidRPr="009F1A2E" w:rsidSect="007403DA">
      <w:footerReference w:type="default" r:id="rId5"/>
      <w:footerReference w:type="first" r:id="rId6"/>
      <w:pgSz w:w="16838" w:h="11906" w:orient="landscape" w:code="9"/>
      <w:pgMar w:top="1531" w:right="2041" w:bottom="1531" w:left="1985"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汉仪书宋一简">
    <w:altName w:val="宋体"/>
    <w:charset w:val="86"/>
    <w:family w:val="modern"/>
    <w:pitch w:val="fixed"/>
    <w:sig w:usb0="00000000"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53" w:rsidRPr="00584E26" w:rsidRDefault="009F1A2E" w:rsidP="008C0753">
    <w:pPr>
      <w:pStyle w:val="a3"/>
      <w:framePr w:wrap="around" w:vAnchor="text" w:hAnchor="margin" w:xAlign="center" w:y="1"/>
      <w:ind w:leftChars="150" w:left="315" w:rightChars="150" w:right="315"/>
      <w:rPr>
        <w:rStyle w:val="a4"/>
        <w:sz w:val="28"/>
        <w:szCs w:val="28"/>
      </w:rPr>
    </w:pPr>
    <w:r w:rsidRPr="00584E26">
      <w:rPr>
        <w:rStyle w:val="a4"/>
        <w:sz w:val="28"/>
        <w:szCs w:val="28"/>
      </w:rPr>
      <w:t xml:space="preserve">— </w:t>
    </w:r>
    <w:r w:rsidRPr="00584E26">
      <w:rPr>
        <w:rStyle w:val="a4"/>
        <w:sz w:val="28"/>
        <w:szCs w:val="28"/>
      </w:rPr>
      <w:fldChar w:fldCharType="begin"/>
    </w:r>
    <w:r w:rsidRPr="00584E26">
      <w:rPr>
        <w:rStyle w:val="a4"/>
        <w:sz w:val="28"/>
        <w:szCs w:val="28"/>
      </w:rPr>
      <w:instrText xml:space="preserve">PAGE  </w:instrText>
    </w:r>
    <w:r w:rsidRPr="00584E26">
      <w:rPr>
        <w:rStyle w:val="a4"/>
        <w:sz w:val="28"/>
        <w:szCs w:val="28"/>
      </w:rPr>
      <w:fldChar w:fldCharType="separate"/>
    </w:r>
    <w:r>
      <w:rPr>
        <w:rStyle w:val="a4"/>
        <w:noProof/>
        <w:sz w:val="28"/>
        <w:szCs w:val="28"/>
      </w:rPr>
      <w:t>1</w:t>
    </w:r>
    <w:r w:rsidRPr="00584E26">
      <w:rPr>
        <w:rStyle w:val="a4"/>
        <w:sz w:val="28"/>
        <w:szCs w:val="28"/>
      </w:rPr>
      <w:fldChar w:fldCharType="end"/>
    </w:r>
    <w:r w:rsidRPr="00584E26">
      <w:rPr>
        <w:rStyle w:val="a4"/>
        <w:sz w:val="28"/>
        <w:szCs w:val="28"/>
      </w:rPr>
      <w:t xml:space="preserve"> —</w:t>
    </w:r>
  </w:p>
  <w:p w:rsidR="008C0753" w:rsidRDefault="009F1A2E" w:rsidP="00584E2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DA" w:rsidRDefault="009F1A2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2E"/>
    <w:rsid w:val="00714439"/>
    <w:rsid w:val="009F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F1A2E"/>
    <w:pPr>
      <w:tabs>
        <w:tab w:val="center" w:pos="4153"/>
        <w:tab w:val="right" w:pos="8306"/>
      </w:tabs>
      <w:snapToGrid w:val="0"/>
      <w:jc w:val="left"/>
    </w:pPr>
    <w:rPr>
      <w:sz w:val="18"/>
      <w:szCs w:val="18"/>
    </w:rPr>
  </w:style>
  <w:style w:type="character" w:customStyle="1" w:styleId="Char">
    <w:name w:val="页脚 Char"/>
    <w:basedOn w:val="a0"/>
    <w:link w:val="a3"/>
    <w:rsid w:val="009F1A2E"/>
    <w:rPr>
      <w:rFonts w:ascii="Times New Roman" w:eastAsia="宋体" w:hAnsi="Times New Roman" w:cs="Times New Roman"/>
      <w:sz w:val="18"/>
      <w:szCs w:val="18"/>
    </w:rPr>
  </w:style>
  <w:style w:type="character" w:styleId="a4">
    <w:name w:val="page number"/>
    <w:basedOn w:val="a0"/>
    <w:rsid w:val="009F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F1A2E"/>
    <w:pPr>
      <w:tabs>
        <w:tab w:val="center" w:pos="4153"/>
        <w:tab w:val="right" w:pos="8306"/>
      </w:tabs>
      <w:snapToGrid w:val="0"/>
      <w:jc w:val="left"/>
    </w:pPr>
    <w:rPr>
      <w:sz w:val="18"/>
      <w:szCs w:val="18"/>
    </w:rPr>
  </w:style>
  <w:style w:type="character" w:customStyle="1" w:styleId="Char">
    <w:name w:val="页脚 Char"/>
    <w:basedOn w:val="a0"/>
    <w:link w:val="a3"/>
    <w:rsid w:val="009F1A2E"/>
    <w:rPr>
      <w:rFonts w:ascii="Times New Roman" w:eastAsia="宋体" w:hAnsi="Times New Roman" w:cs="Times New Roman"/>
      <w:sz w:val="18"/>
      <w:szCs w:val="18"/>
    </w:rPr>
  </w:style>
  <w:style w:type="character" w:styleId="a4">
    <w:name w:val="page number"/>
    <w:basedOn w:val="a0"/>
    <w:rsid w:val="009F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2019-01-29T03:15:00Z</dcterms:created>
  <dcterms:modified xsi:type="dcterms:W3CDTF">2019-01-29T03:16:00Z</dcterms:modified>
</cp:coreProperties>
</file>