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F4" w:rsidRPr="000F398C" w:rsidRDefault="006F31F4" w:rsidP="006F31F4">
      <w:pPr>
        <w:spacing w:line="580" w:lineRule="exact"/>
        <w:outlineLvl w:val="0"/>
        <w:rPr>
          <w:rFonts w:ascii="黑体" w:eastAsia="黑体" w:hAnsi="黑体"/>
          <w:sz w:val="32"/>
          <w:szCs w:val="32"/>
        </w:rPr>
      </w:pPr>
      <w:bookmarkStart w:id="0" w:name="_Toc20379016"/>
      <w:r w:rsidRPr="000F398C">
        <w:rPr>
          <w:rFonts w:ascii="黑体" w:eastAsia="黑体" w:hAnsi="黑体" w:hint="eastAsia"/>
          <w:sz w:val="32"/>
          <w:szCs w:val="32"/>
        </w:rPr>
        <w:t>附件1</w:t>
      </w:r>
      <w:bookmarkEnd w:id="0"/>
    </w:p>
    <w:p w:rsidR="006F31F4" w:rsidRPr="00201A01" w:rsidRDefault="006F31F4" w:rsidP="006F31F4">
      <w:pPr>
        <w:spacing w:afterLines="100" w:after="312" w:line="600" w:lineRule="exact"/>
        <w:jc w:val="center"/>
        <w:rPr>
          <w:rFonts w:ascii="方正小标宋简体" w:eastAsia="方正小标宋简体" w:hAnsi="黑体" w:hint="eastAsia"/>
          <w:sz w:val="44"/>
          <w:szCs w:val="44"/>
        </w:rPr>
      </w:pPr>
      <w:r w:rsidRPr="00201A01">
        <w:rPr>
          <w:rFonts w:ascii="方正小标宋简体" w:eastAsia="方正小标宋简体" w:hAnsi="黑体" w:hint="eastAsia"/>
          <w:sz w:val="44"/>
          <w:szCs w:val="44"/>
        </w:rPr>
        <w:t>教育部支持政策清单</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3349"/>
      </w:tblGrid>
      <w:tr w:rsidR="006F31F4" w:rsidRPr="000F398C" w:rsidTr="00E15DEA">
        <w:trPr>
          <w:cantSplit/>
          <w:trHeight w:val="493"/>
          <w:tblHeader/>
          <w:jc w:val="center"/>
        </w:trPr>
        <w:tc>
          <w:tcPr>
            <w:tcW w:w="826" w:type="dxa"/>
            <w:vAlign w:val="center"/>
          </w:tcPr>
          <w:p w:rsidR="006F31F4" w:rsidRPr="000F398C" w:rsidRDefault="006F31F4" w:rsidP="00E15DEA">
            <w:pPr>
              <w:spacing w:line="500" w:lineRule="exact"/>
              <w:jc w:val="center"/>
              <w:rPr>
                <w:rFonts w:ascii="Heiti SC Medium" w:eastAsia="Heiti SC Medium" w:hAnsi="Heiti SC Medium"/>
                <w:sz w:val="28"/>
                <w:szCs w:val="28"/>
              </w:rPr>
            </w:pPr>
            <w:r w:rsidRPr="000F398C">
              <w:rPr>
                <w:rFonts w:ascii="Heiti SC Medium" w:eastAsia="Heiti SC Medium" w:hAnsi="Heiti SC Medium" w:hint="eastAsia"/>
                <w:sz w:val="28"/>
                <w:szCs w:val="28"/>
              </w:rPr>
              <w:t>序号</w:t>
            </w:r>
          </w:p>
        </w:tc>
        <w:tc>
          <w:tcPr>
            <w:tcW w:w="13349" w:type="dxa"/>
            <w:vAlign w:val="center"/>
          </w:tcPr>
          <w:p w:rsidR="006F31F4" w:rsidRPr="000F398C" w:rsidRDefault="006F31F4" w:rsidP="00E15DEA">
            <w:pPr>
              <w:spacing w:line="500" w:lineRule="exact"/>
              <w:jc w:val="center"/>
              <w:rPr>
                <w:rFonts w:ascii="Heiti SC Medium" w:eastAsia="Heiti SC Medium" w:hAnsi="Heiti SC Medium"/>
                <w:sz w:val="28"/>
                <w:szCs w:val="28"/>
              </w:rPr>
            </w:pPr>
            <w:r w:rsidRPr="000F398C">
              <w:rPr>
                <w:rFonts w:ascii="Heiti SC Medium" w:eastAsia="Heiti SC Medium" w:hAnsi="Heiti SC Medium" w:hint="eastAsia"/>
                <w:sz w:val="28"/>
                <w:szCs w:val="28"/>
              </w:rPr>
              <w:t>政策内容</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1</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支持山东将现有半数左右省属本科高校转型为应用型本科高校。</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2</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支持山东进入“双高计划”的高职院校的骨干专业试办本科层次职业教育</w:t>
            </w:r>
            <w:r w:rsidRPr="003B4995">
              <w:rPr>
                <w:rFonts w:ascii="仿宋_GB2312" w:eastAsia="仿宋_GB2312" w:hAnsi="仿宋_GB2312" w:hint="eastAsia"/>
                <w:color w:val="FF0000"/>
                <w:sz w:val="28"/>
                <w:szCs w:val="28"/>
              </w:rPr>
              <w:t>。</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3</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支持山东长学制培养高端技术技能人才，探索中职与高职“3</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2”、中职与职业教育本科和应用型本科“3</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4”、高职与职业教育本科和应用型本科“3</w:t>
            </w:r>
            <w:r>
              <w:rPr>
                <w:rFonts w:ascii="仿宋_GB2312" w:eastAsia="仿宋_GB2312" w:hAnsi="仿宋_GB2312" w:hint="eastAsia"/>
                <w:sz w:val="28"/>
                <w:szCs w:val="28"/>
              </w:rPr>
              <w:sym w:font="Wingdings 2" w:char="F0C6"/>
            </w:r>
            <w:r w:rsidRPr="000F398C">
              <w:rPr>
                <w:rFonts w:ascii="仿宋_GB2312" w:eastAsia="仿宋_GB2312" w:hAnsi="仿宋_GB2312" w:hint="eastAsia"/>
                <w:sz w:val="28"/>
                <w:szCs w:val="28"/>
              </w:rPr>
              <w:t>2”对口贯通分段培养。支持“双高计划”院校、</w:t>
            </w:r>
            <w:r w:rsidRPr="000F398C">
              <w:rPr>
                <w:rFonts w:ascii="仿宋_GB2312" w:eastAsia="仿宋_GB2312" w:hAnsi="仿宋_GB2312"/>
                <w:sz w:val="28"/>
                <w:szCs w:val="28"/>
              </w:rPr>
              <w:t>职业教育本科院校</w:t>
            </w:r>
            <w:r w:rsidRPr="000F398C">
              <w:rPr>
                <w:rFonts w:ascii="仿宋_GB2312" w:eastAsia="仿宋_GB2312" w:hAnsi="仿宋_GB2312" w:hint="eastAsia"/>
                <w:sz w:val="28"/>
                <w:szCs w:val="28"/>
              </w:rPr>
              <w:t>与具有硕士学位授予权的应用型本科高校联合培养职业</w:t>
            </w:r>
            <w:r w:rsidRPr="000F398C">
              <w:rPr>
                <w:rFonts w:ascii="仿宋_GB2312" w:eastAsia="仿宋_GB2312" w:hAnsi="仿宋_GB2312"/>
                <w:sz w:val="28"/>
                <w:szCs w:val="28"/>
              </w:rPr>
              <w:t>教育本科生、</w:t>
            </w:r>
            <w:r w:rsidRPr="000F398C">
              <w:rPr>
                <w:rFonts w:ascii="仿宋_GB2312" w:eastAsia="仿宋_GB2312" w:hAnsi="仿宋_GB2312" w:hint="eastAsia"/>
                <w:sz w:val="28"/>
                <w:szCs w:val="28"/>
              </w:rPr>
              <w:t>专业硕士。</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4</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为山东增加职业教育本科计划、专业硕士和专业博士计划，指导和</w:t>
            </w:r>
            <w:r w:rsidRPr="000F398C">
              <w:rPr>
                <w:rFonts w:ascii="仿宋_GB2312" w:eastAsia="仿宋_GB2312" w:hAnsi="仿宋_GB2312"/>
                <w:sz w:val="28"/>
                <w:szCs w:val="28"/>
              </w:rPr>
              <w:t>支持</w:t>
            </w:r>
            <w:r w:rsidRPr="000F398C">
              <w:rPr>
                <w:rFonts w:ascii="仿宋_GB2312" w:eastAsia="仿宋_GB2312" w:hAnsi="仿宋_GB2312" w:hint="eastAsia"/>
                <w:sz w:val="28"/>
                <w:szCs w:val="28"/>
              </w:rPr>
              <w:t>山东应用型本科院校、职业教育本科院校和</w:t>
            </w:r>
            <w:r w:rsidRPr="000F398C">
              <w:rPr>
                <w:rFonts w:ascii="仿宋_GB2312" w:eastAsia="仿宋_GB2312" w:hAnsi="仿宋_GB2312"/>
                <w:sz w:val="28"/>
                <w:szCs w:val="28"/>
              </w:rPr>
              <w:t>专业更多招收中、高职</w:t>
            </w:r>
            <w:r w:rsidRPr="000F398C">
              <w:rPr>
                <w:rFonts w:ascii="仿宋_GB2312" w:eastAsia="仿宋_GB2312" w:hAnsi="仿宋_GB2312" w:hint="eastAsia"/>
                <w:sz w:val="28"/>
                <w:szCs w:val="28"/>
              </w:rPr>
              <w:t>院校</w:t>
            </w:r>
            <w:r w:rsidRPr="000F398C">
              <w:rPr>
                <w:rFonts w:ascii="仿宋_GB2312" w:eastAsia="仿宋_GB2312" w:hAnsi="仿宋_GB2312"/>
                <w:sz w:val="28"/>
                <w:szCs w:val="28"/>
              </w:rPr>
              <w:t>毕业生</w:t>
            </w:r>
            <w:r w:rsidRPr="000F398C">
              <w:rPr>
                <w:rFonts w:ascii="仿宋_GB2312" w:eastAsia="仿宋_GB2312" w:hAnsi="仿宋_GB2312" w:hint="eastAsia"/>
                <w:sz w:val="28"/>
                <w:szCs w:val="28"/>
              </w:rPr>
              <w:t>。指导山东制订职业教育考试招生改革实施方案，健全中高职与本科衔接培养的考试招生办法。</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5</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支持山东根据高等教育法和高等学校设置制度规定，将符合条件的技师学院纳入高等学校序列。</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6</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支持山东遴选优质中等职业学校建设成为集中职教育、五年制高职教育、技术推广、劳动力转移培训和社会生活教育为一体的职业学校。</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lastRenderedPageBreak/>
              <w:t>7</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w:t>
            </w:r>
            <w:r w:rsidRPr="000F398C">
              <w:rPr>
                <w:rFonts w:ascii="仿宋_GB2312" w:eastAsia="仿宋_GB2312" w:hAnsi="仿宋_GB2312"/>
                <w:sz w:val="28"/>
                <w:szCs w:val="28"/>
              </w:rPr>
              <w:t>1-2所院校转型为职业技术师范</w:t>
            </w:r>
            <w:r w:rsidRPr="000F398C">
              <w:rPr>
                <w:rFonts w:ascii="仿宋_GB2312" w:eastAsia="仿宋_GB2312" w:hAnsi="仿宋_GB2312" w:hint="eastAsia"/>
                <w:sz w:val="28"/>
                <w:szCs w:val="28"/>
              </w:rPr>
              <w:t>大学，分专业支持一批高水平工科院校举办职业技术师范教育，探索有条件的优质高职院校转设为职业技术师范大学或开办职业技术师范本科专业；</w:t>
            </w:r>
            <w:r w:rsidRPr="000F398C">
              <w:rPr>
                <w:rFonts w:ascii="仿宋_GB2312" w:eastAsia="仿宋_GB2312" w:hAnsi="仿宋_GB2312"/>
                <w:sz w:val="28"/>
                <w:szCs w:val="28"/>
              </w:rPr>
              <w:t>探索从具有3年以上企业工作经历并具有本科以上学历的人员中招收教育硕士。</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sidRPr="000F398C">
              <w:rPr>
                <w:rFonts w:ascii="仿宋_GB2312" w:eastAsia="仿宋_GB2312" w:hAnsi="仿宋_GB2312" w:hint="eastAsia"/>
                <w:sz w:val="28"/>
                <w:szCs w:val="28"/>
              </w:rPr>
              <w:t>8</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在中国特色高水平高职学校和专业建设计划中滚动支持山东</w:t>
            </w:r>
            <w:r w:rsidRPr="000F398C">
              <w:rPr>
                <w:rFonts w:ascii="仿宋_GB2312" w:eastAsia="仿宋_GB2312" w:hAnsi="仿宋_GB2312"/>
                <w:sz w:val="28"/>
                <w:szCs w:val="28"/>
              </w:rPr>
              <w:t>2</w:t>
            </w:r>
            <w:r w:rsidRPr="000F398C">
              <w:rPr>
                <w:rFonts w:ascii="仿宋_GB2312" w:eastAsia="仿宋_GB2312" w:hAnsi="仿宋_GB2312" w:hint="eastAsia"/>
                <w:sz w:val="28"/>
                <w:szCs w:val="28"/>
              </w:rPr>
              <w:t>0所左右高职院校。建设30个产教融合实训基地。在墨子、鲁班、奚仲故里枣庄市建设中国职业教育博物馆和职业体验馆。</w:t>
            </w:r>
          </w:p>
        </w:tc>
      </w:tr>
      <w:tr w:rsidR="006F31F4" w:rsidRPr="000F398C" w:rsidTr="00E15DEA">
        <w:trPr>
          <w:cantSplit/>
          <w:trHeight w:val="284"/>
          <w:jc w:val="center"/>
        </w:trPr>
        <w:tc>
          <w:tcPr>
            <w:tcW w:w="826" w:type="dxa"/>
            <w:vAlign w:val="center"/>
          </w:tcPr>
          <w:p w:rsidR="006F31F4" w:rsidRPr="000F398C" w:rsidRDefault="006F31F4" w:rsidP="00E15DEA">
            <w:pPr>
              <w:spacing w:line="500" w:lineRule="exact"/>
              <w:jc w:val="center"/>
              <w:rPr>
                <w:rFonts w:ascii="仿宋_GB2312" w:eastAsia="仿宋_GB2312" w:hAnsi="仿宋_GB2312"/>
                <w:sz w:val="28"/>
                <w:szCs w:val="28"/>
              </w:rPr>
            </w:pPr>
            <w:r>
              <w:rPr>
                <w:rFonts w:ascii="仿宋_GB2312" w:eastAsia="仿宋_GB2312" w:hAnsi="仿宋_GB2312" w:hint="eastAsia"/>
                <w:sz w:val="28"/>
                <w:szCs w:val="28"/>
              </w:rPr>
              <w:t>9</w:t>
            </w:r>
          </w:p>
        </w:tc>
        <w:tc>
          <w:tcPr>
            <w:tcW w:w="13349" w:type="dxa"/>
            <w:vAlign w:val="center"/>
          </w:tcPr>
          <w:p w:rsidR="006F31F4" w:rsidRPr="000F398C" w:rsidRDefault="006F31F4" w:rsidP="00E15DEA">
            <w:pPr>
              <w:spacing w:line="500" w:lineRule="exact"/>
              <w:jc w:val="left"/>
              <w:rPr>
                <w:rFonts w:ascii="仿宋_GB2312" w:eastAsia="仿宋_GB2312" w:hAnsi="仿宋_GB2312"/>
                <w:sz w:val="28"/>
                <w:szCs w:val="28"/>
              </w:rPr>
            </w:pPr>
            <w:r w:rsidRPr="000F398C">
              <w:rPr>
                <w:rFonts w:ascii="仿宋_GB2312" w:eastAsia="仿宋_GB2312" w:hAnsi="仿宋_GB2312" w:hint="eastAsia"/>
                <w:sz w:val="28"/>
                <w:szCs w:val="28"/>
              </w:rPr>
              <w:t>支持国（境）外高水平应用技术</w:t>
            </w:r>
            <w:r w:rsidRPr="000F398C">
              <w:rPr>
                <w:rFonts w:ascii="仿宋_GB2312" w:eastAsia="仿宋_GB2312" w:hAnsi="仿宋_GB2312"/>
                <w:sz w:val="28"/>
                <w:szCs w:val="28"/>
              </w:rPr>
              <w:t>型</w:t>
            </w:r>
            <w:r w:rsidRPr="000F398C">
              <w:rPr>
                <w:rFonts w:ascii="仿宋_GB2312" w:eastAsia="仿宋_GB2312" w:hAnsi="仿宋_GB2312" w:hint="eastAsia"/>
                <w:sz w:val="28"/>
                <w:szCs w:val="28"/>
              </w:rPr>
              <w:t>高校在山东开展合作办学。探索国（境）外高水平企业在山东独资办学，</w:t>
            </w:r>
            <w:r w:rsidRPr="000F398C">
              <w:rPr>
                <w:rFonts w:ascii="仿宋_GB2312" w:eastAsia="仿宋_GB2312" w:hAnsi="仿宋_GB2312"/>
                <w:sz w:val="28"/>
                <w:szCs w:val="28"/>
              </w:rPr>
              <w:t>鼓励中外合资、</w:t>
            </w:r>
            <w:r w:rsidRPr="000F398C">
              <w:rPr>
                <w:rFonts w:ascii="仿宋_GB2312" w:eastAsia="仿宋_GB2312" w:hAnsi="仿宋_GB2312" w:hint="eastAsia"/>
                <w:sz w:val="28"/>
                <w:szCs w:val="28"/>
              </w:rPr>
              <w:t>外商独资</w:t>
            </w:r>
            <w:r w:rsidRPr="000F398C">
              <w:rPr>
                <w:rFonts w:ascii="仿宋_GB2312" w:eastAsia="仿宋_GB2312" w:hAnsi="仿宋_GB2312"/>
                <w:sz w:val="28"/>
                <w:szCs w:val="28"/>
              </w:rPr>
              <w:t>企业在山东举办职业院校</w:t>
            </w:r>
            <w:r w:rsidRPr="000F398C">
              <w:rPr>
                <w:rFonts w:ascii="仿宋_GB2312" w:eastAsia="仿宋_GB2312" w:hAnsi="仿宋_GB2312" w:hint="eastAsia"/>
                <w:sz w:val="28"/>
                <w:szCs w:val="28"/>
              </w:rPr>
              <w:t>。支持山东职业院校在国（境）外建设“鲁班工坊”。</w:t>
            </w:r>
          </w:p>
        </w:tc>
      </w:tr>
    </w:tbl>
    <w:p w:rsidR="006F31F4" w:rsidRDefault="006F31F4" w:rsidP="006F31F4">
      <w:pPr>
        <w:spacing w:line="580" w:lineRule="exact"/>
        <w:outlineLvl w:val="0"/>
        <w:rPr>
          <w:rFonts w:ascii="黑体" w:eastAsia="黑体" w:hAnsi="黑体"/>
          <w:sz w:val="32"/>
          <w:szCs w:val="32"/>
        </w:rPr>
      </w:pPr>
    </w:p>
    <w:p w:rsidR="004958AE" w:rsidRDefault="004958AE" w:rsidP="006F31F4">
      <w:bookmarkStart w:id="1" w:name="_GoBack"/>
      <w:bookmarkEnd w:id="1"/>
    </w:p>
    <w:sectPr w:rsidR="004958AE" w:rsidSect="006F31F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00" w:rsidRDefault="00BB4800" w:rsidP="006F31F4">
      <w:r>
        <w:separator/>
      </w:r>
    </w:p>
  </w:endnote>
  <w:endnote w:type="continuationSeparator" w:id="0">
    <w:p w:rsidR="00BB4800" w:rsidRDefault="00BB4800" w:rsidP="006F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iti SC Medium">
    <w:altName w:val="MS Gothic"/>
    <w:charset w:val="01"/>
    <w:family w:val="decorative"/>
    <w:pitch w:val="default"/>
    <w:sig w:usb0="00000000" w:usb1="00000000" w:usb2="0000000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00" w:rsidRDefault="00BB4800" w:rsidP="006F31F4">
      <w:r>
        <w:separator/>
      </w:r>
    </w:p>
  </w:footnote>
  <w:footnote w:type="continuationSeparator" w:id="0">
    <w:p w:rsidR="00BB4800" w:rsidRDefault="00BB4800" w:rsidP="006F3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A6"/>
    <w:rsid w:val="004958AE"/>
    <w:rsid w:val="006F31F4"/>
    <w:rsid w:val="009A2BA6"/>
    <w:rsid w:val="00BB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A6117"/>
  <w15:chartTrackingRefBased/>
  <w15:docId w15:val="{B9E78684-B665-4C0D-BCC0-62E325A8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1F4"/>
    <w:pPr>
      <w:widowControl w:val="0"/>
      <w:jc w:val="both"/>
    </w:pPr>
    <w:rPr>
      <w:rFonts w:ascii="Calibri" w:eastAsia="宋体" w:hAnsi="Calibri" w:cs="Times New Roman"/>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1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31F4"/>
    <w:rPr>
      <w:sz w:val="18"/>
      <w:szCs w:val="18"/>
    </w:rPr>
  </w:style>
  <w:style w:type="paragraph" w:styleId="a5">
    <w:name w:val="footer"/>
    <w:basedOn w:val="a"/>
    <w:link w:val="a6"/>
    <w:uiPriority w:val="99"/>
    <w:unhideWhenUsed/>
    <w:rsid w:val="006F31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31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0</DocSecurity>
  <Lines>5</Lines>
  <Paragraphs>1</Paragraphs>
  <ScaleCrop>false</ScaleCrop>
  <Company>神州网信技术有限公司</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2020-01-14T05:14:00Z</dcterms:created>
  <dcterms:modified xsi:type="dcterms:W3CDTF">2020-01-14T05:14:00Z</dcterms:modified>
</cp:coreProperties>
</file>