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DD" w:rsidRDefault="005704A4">
      <w:pPr>
        <w:spacing w:line="760" w:lineRule="exact"/>
        <w:ind w:firstLineChars="200" w:firstLine="880"/>
        <w:jc w:val="center"/>
        <w:outlineLvl w:val="0"/>
        <w:rPr>
          <w:rFonts w:ascii="方正小标宋简体" w:eastAsia="方正小标宋简体" w:hAnsi="方正小标宋简体" w:cs="方正小标宋简体"/>
          <w:bCs/>
          <w:sz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</w:rPr>
        <w:t>济南大学泉城学院</w:t>
      </w:r>
    </w:p>
    <w:p w:rsidR="000355DD" w:rsidRDefault="005704A4" w:rsidP="00724132">
      <w:pPr>
        <w:spacing w:line="760" w:lineRule="exact"/>
        <w:jc w:val="center"/>
        <w:outlineLvl w:val="0"/>
        <w:rPr>
          <w:rFonts w:ascii="Times New Roman" w:hAnsi="Times New Roman"/>
          <w:bCs/>
          <w:sz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32"/>
        </w:rPr>
        <w:t>20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32"/>
        </w:rPr>
        <w:t>20</w:t>
      </w:r>
      <w:r>
        <w:rPr>
          <w:rFonts w:ascii="方正小标宋简体" w:eastAsia="方正小标宋简体" w:hAnsi="方正小标宋简体" w:cs="方正小标宋简体" w:hint="eastAsia"/>
          <w:bCs/>
          <w:sz w:val="44"/>
        </w:rPr>
        <w:t>年</w:t>
      </w:r>
      <w:r w:rsidR="00724132">
        <w:rPr>
          <w:rFonts w:ascii="方正小标宋简体" w:eastAsia="方正小标宋简体" w:hAnsi="方正小标宋简体" w:cs="方正小标宋简体" w:hint="eastAsia"/>
          <w:bCs/>
          <w:sz w:val="44"/>
        </w:rPr>
        <w:t>普通高等教育专科升本科</w:t>
      </w:r>
      <w:r>
        <w:rPr>
          <w:rFonts w:ascii="方正小标宋简体" w:eastAsia="方正小标宋简体" w:hAnsi="方正小标宋简体" w:cs="方正小标宋简体" w:hint="eastAsia"/>
          <w:bCs/>
          <w:sz w:val="44"/>
        </w:rPr>
        <w:t>招生章程</w:t>
      </w:r>
    </w:p>
    <w:p w:rsidR="000355DD" w:rsidRDefault="000355DD">
      <w:pPr>
        <w:widowControl/>
        <w:spacing w:line="760" w:lineRule="exact"/>
        <w:ind w:firstLineChars="200" w:firstLine="640"/>
        <w:rPr>
          <w:rFonts w:ascii="仿宋_GB2312" w:hAnsi="宋体"/>
          <w:kern w:val="0"/>
          <w:sz w:val="32"/>
        </w:rPr>
      </w:pP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bookmarkStart w:id="1" w:name="OLE_LINK1"/>
      <w:r>
        <w:rPr>
          <w:rFonts w:ascii="仿宋_GB2312" w:eastAsia="仿宋_GB2312" w:hAnsi="宋体" w:cs="宋体" w:hint="eastAsia"/>
          <w:kern w:val="0"/>
          <w:sz w:val="32"/>
          <w:szCs w:val="32"/>
        </w:rPr>
        <w:t>为了保证济南大学泉城学院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年专升本招生工作的顺利进行，维护学校和考生合法权益，根据《中华人民共和国教育法》、《中华人民共和国高等教育法》和教育部等相关文件精神，结合济南大学泉城学院招生工作的具体情况，制定本章程。</w:t>
      </w:r>
      <w:bookmarkEnd w:id="1"/>
    </w:p>
    <w:p w:rsidR="000355DD" w:rsidRDefault="005704A4" w:rsidP="00724132">
      <w:pPr>
        <w:keepNext/>
        <w:keepLines/>
        <w:spacing w:beforeLines="50" w:before="156" w:afterLines="50" w:after="156" w:line="440" w:lineRule="exact"/>
        <w:ind w:firstLineChars="200" w:firstLine="640"/>
        <w:jc w:val="center"/>
        <w:outlineLvl w:val="0"/>
        <w:rPr>
          <w:rFonts w:ascii="黑体" w:eastAsia="黑体" w:hAnsi="黑体" w:cs="黑体"/>
          <w:kern w:val="44"/>
          <w:sz w:val="32"/>
        </w:rPr>
      </w:pPr>
      <w:r>
        <w:rPr>
          <w:rFonts w:ascii="黑体" w:eastAsia="黑体" w:hAnsi="黑体" w:cs="黑体" w:hint="eastAsia"/>
          <w:kern w:val="44"/>
          <w:sz w:val="32"/>
        </w:rPr>
        <w:t>第一章</w:t>
      </w:r>
      <w:r>
        <w:rPr>
          <w:rFonts w:ascii="黑体" w:eastAsia="黑体" w:hAnsi="黑体" w:cs="黑体" w:hint="eastAsia"/>
          <w:kern w:val="44"/>
          <w:sz w:val="32"/>
        </w:rPr>
        <w:t xml:space="preserve">  </w:t>
      </w:r>
      <w:r>
        <w:rPr>
          <w:rFonts w:ascii="黑体" w:eastAsia="黑体" w:hAnsi="黑体" w:cs="黑体" w:hint="eastAsia"/>
          <w:kern w:val="44"/>
          <w:sz w:val="32"/>
        </w:rPr>
        <w:t>总则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第一条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本章程适用于济南大学泉城学院专升本招生工作。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第二条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济南大学泉城学院招生工作贯彻“公平竞争、公正选拔、公开程序，德智体美全面考核、综合评价、择优录取”的原则。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第三条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济南大学泉城学院招生工作接受纪检监察部门、新闻媒体、考生及其家长以及社会各界的监督。</w:t>
      </w:r>
    </w:p>
    <w:p w:rsidR="000355DD" w:rsidRDefault="005704A4" w:rsidP="00724132">
      <w:pPr>
        <w:keepNext/>
        <w:keepLines/>
        <w:spacing w:beforeLines="50" w:before="156" w:afterLines="50" w:after="156" w:line="440" w:lineRule="exact"/>
        <w:ind w:firstLineChars="200" w:firstLine="640"/>
        <w:jc w:val="center"/>
        <w:outlineLvl w:val="0"/>
        <w:rPr>
          <w:rFonts w:ascii="黑体" w:eastAsia="黑体" w:hAnsi="黑体" w:cs="黑体"/>
          <w:kern w:val="44"/>
          <w:sz w:val="32"/>
        </w:rPr>
      </w:pPr>
      <w:r>
        <w:rPr>
          <w:rFonts w:ascii="黑体" w:eastAsia="黑体" w:hAnsi="黑体" w:cs="黑体" w:hint="eastAsia"/>
          <w:kern w:val="44"/>
          <w:sz w:val="32"/>
        </w:rPr>
        <w:t>第二章</w:t>
      </w:r>
      <w:r>
        <w:rPr>
          <w:rFonts w:ascii="黑体" w:eastAsia="黑体" w:hAnsi="黑体" w:cs="黑体" w:hint="eastAsia"/>
          <w:kern w:val="44"/>
          <w:sz w:val="32"/>
        </w:rPr>
        <w:t xml:space="preserve">  </w:t>
      </w:r>
      <w:r>
        <w:rPr>
          <w:rFonts w:ascii="黑体" w:eastAsia="黑体" w:hAnsi="黑体" w:cs="黑体" w:hint="eastAsia"/>
          <w:kern w:val="44"/>
          <w:sz w:val="32"/>
        </w:rPr>
        <w:t>学校概况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第四条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学校全称：济南大学泉城学院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第五条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学校代码：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14002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第六条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办学地点：山东省蓬莱市海滨西路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号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第七条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学校办学层次及类型：全日制普通本科高等院校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独立学院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第八条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创办时间及基本情况：济南大学泉城学院成立于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2005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年，是国家教育部和山东省人民政府正式批准成立，实施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本科层次学历教育的综合性高等院校。学校始终坚持“以学生为本，以育人为主，以品牌立院”的办学理念，积极培养具有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创新精神的高素质应用型人才。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济南大学泉城学院为适应山东半岛蓝色经济区国家发展战略需要，于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年迁址享有“人间仙境”美誉的历史文化名城——山东蓬莱。学校位于海滨西路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号，东临千年古栋——蓬莱阁，与长山列岛隔海相望。学校规划占地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1816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亩，校舍面积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余万平方米，图书馆藏书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万册，教学仪器设备总价值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4780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余万元，基础设施完备，教学科研条件优越，环境优雅，风景秀丽，气候宜人，是一所环境优美的滨海大学。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第九条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专业设置及办学条件：学校以全日制普通本科为主，面向全国统一招生。设有商学院、工学院、艺术学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院、文化与传媒学院、蓬莱葡萄酒学院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产业学院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、马克思主义学院、公共体育部、大学数学教学部等二级学院和教学部。开设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个本科专业，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个专科专业。涵盖经济学、管理学、文学、理学、工学、法学和艺术学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个学科门类，学校现有全日制在校生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9500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余人，教职员工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余人。形成了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对接现代制造业、旅游及现代服务业和文化创意产业的三大专业集群，全面提高学校应用型人才培养质量，实现学校的内涵发展和特色发展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学校教风严谨、学风端正，毕业生考研率名列同类院校前茅，多名同学被北京大学、清华大学、浙江大学、复旦大学等国内知名高校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录取；学校高度重视实践教学与创新教育，先后建立了工程训练中心和机械设计实验室等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实验室，确保了实验实训教学的正常开展。同时，立足于学校学科特点和专业优势，大力扶持我校科创品牌，形成了层级丰富又各具特色的科创竞赛平台，每年都积极组织学生团队参加全国大学生数学建模竞赛、全国大学生电子电路设计竞赛、挑战杯创业计划大赛、全国大学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机械创新设计大赛、机电产品创新设计竞赛等各类国家级、省级科技创新活动，近年来取得省级以上奖项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800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余个，体现了学校在培养学生科技创新方面的特有优势。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我校对内实施“产教融合、协同育人、校企合作”培养模式，对外重视国际合作与交流，目前已与十所国外高校建立了友好合作关系，分别是澳大利亚国王学院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美国的普雷利维尤农工大学、旧金山州立大学、索诺玛州立大学，韩国的庆南大学、大邱大学，新西兰的尼尔森马尔伯勒理工学院，德国的施马尔卡登应用科技大学，泰国的南邦皇家大学和西班牙的海梅一世大学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同时，学校搭建起了山东省人力资源和社会保障厅命名的“国家职业资格鉴定考试考点院校”，山东省委宣传部命名的“山东文化产业人才培训基地”，山东省葡萄与葡萄酒协会授予的“山东省葡萄酒文化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建设基地”等培训平台。成立了登州文会馆研究会，建成登州文会馆纪念馆，中国日记资料馆（蓬莱书院）等特色文化场馆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为建设特色鲜明的高水平应用型大学而不懈奋斗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0355DD" w:rsidRDefault="005704A4" w:rsidP="00724132">
      <w:pPr>
        <w:keepNext/>
        <w:keepLines/>
        <w:spacing w:beforeLines="50" w:before="156" w:afterLines="50" w:after="156" w:line="440" w:lineRule="exact"/>
        <w:ind w:firstLineChars="200" w:firstLine="640"/>
        <w:jc w:val="center"/>
        <w:outlineLvl w:val="0"/>
        <w:rPr>
          <w:rFonts w:ascii="黑体" w:eastAsia="黑体" w:hAnsi="黑体" w:cs="黑体"/>
          <w:kern w:val="44"/>
          <w:sz w:val="32"/>
        </w:rPr>
      </w:pPr>
      <w:r>
        <w:rPr>
          <w:rFonts w:ascii="黑体" w:eastAsia="黑体" w:hAnsi="黑体" w:cs="黑体" w:hint="eastAsia"/>
          <w:kern w:val="44"/>
          <w:sz w:val="32"/>
        </w:rPr>
        <w:t>第三章</w:t>
      </w:r>
      <w:r>
        <w:rPr>
          <w:rFonts w:ascii="黑体" w:eastAsia="黑体" w:hAnsi="黑体" w:cs="黑体" w:hint="eastAsia"/>
          <w:kern w:val="44"/>
          <w:sz w:val="32"/>
        </w:rPr>
        <w:t xml:space="preserve">  </w:t>
      </w:r>
      <w:r>
        <w:rPr>
          <w:rFonts w:ascii="黑体" w:eastAsia="黑体" w:hAnsi="黑体" w:cs="黑体" w:hint="eastAsia"/>
          <w:kern w:val="44"/>
          <w:sz w:val="32"/>
        </w:rPr>
        <w:t>组织机构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济南大学泉城学院成立以学校领导为组长的招生工作领导小组。领导小组负责制定招生政策和招生计划，讨论决定招生工作重大事宜。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第十一条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济南大学泉城学院招生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就业处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是组织和实施招生及其相关工作的常设机构，具体负责济南大学泉城学院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专升本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招生的日常工作。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第十二条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济南大学泉城学院纪检组对招生工作实施监督。</w:t>
      </w:r>
    </w:p>
    <w:p w:rsidR="000355DD" w:rsidRDefault="005704A4" w:rsidP="00724132">
      <w:pPr>
        <w:keepNext/>
        <w:keepLines/>
        <w:spacing w:beforeLines="50" w:before="156" w:afterLines="50" w:after="156" w:line="440" w:lineRule="exact"/>
        <w:ind w:firstLineChars="200" w:firstLine="640"/>
        <w:jc w:val="center"/>
        <w:outlineLvl w:val="0"/>
        <w:rPr>
          <w:rFonts w:ascii="黑体" w:eastAsia="黑体" w:hAnsi="黑体" w:cs="黑体"/>
          <w:kern w:val="44"/>
          <w:sz w:val="32"/>
        </w:rPr>
      </w:pPr>
      <w:r>
        <w:rPr>
          <w:rFonts w:ascii="黑体" w:eastAsia="黑体" w:hAnsi="黑体" w:cs="黑体" w:hint="eastAsia"/>
          <w:kern w:val="44"/>
          <w:sz w:val="32"/>
        </w:rPr>
        <w:t>第四章</w:t>
      </w:r>
      <w:r>
        <w:rPr>
          <w:rFonts w:ascii="黑体" w:eastAsia="黑体" w:hAnsi="黑体" w:cs="黑体" w:hint="eastAsia"/>
          <w:kern w:val="44"/>
          <w:sz w:val="32"/>
        </w:rPr>
        <w:t xml:space="preserve">  </w:t>
      </w:r>
      <w:r>
        <w:rPr>
          <w:rFonts w:ascii="黑体" w:eastAsia="黑体" w:hAnsi="黑体" w:cs="黑体" w:hint="eastAsia"/>
          <w:kern w:val="44"/>
          <w:sz w:val="32"/>
        </w:rPr>
        <w:t>招生</w:t>
      </w:r>
      <w:r>
        <w:rPr>
          <w:rFonts w:ascii="黑体" w:eastAsia="黑体" w:hAnsi="黑体" w:cs="黑体" w:hint="eastAsia"/>
          <w:bCs/>
          <w:kern w:val="44"/>
          <w:sz w:val="32"/>
          <w:szCs w:val="44"/>
        </w:rPr>
        <w:t>对象以及报考条件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196"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第十三条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招生对象：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我省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年普通高等学校应届专科毕业生。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具有我省户籍的退役士兵。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196" w:firstLine="63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第十四条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报考条件：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遵守《中华人民共和国宪法》及其他法律法规。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身体健康。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专科学习期间无记过及以上纪律处分，或专科学习期间受到记过或留校察看纪律处分，但报考前已解除处分的。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月底前取得普通专科毕业证书。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应届专科毕业生须通过毕业高校的综合素质测评获得学校推荐资格，或通过报考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我校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的专业综合能力测试获得考生自荐资格；退役士兵（含应往届）均具有报考资格。</w:t>
      </w:r>
    </w:p>
    <w:p w:rsidR="000355DD" w:rsidRDefault="005704A4" w:rsidP="00724132">
      <w:pPr>
        <w:keepNext/>
        <w:keepLines/>
        <w:spacing w:beforeLines="50" w:before="156" w:afterLines="50" w:after="156" w:line="440" w:lineRule="exact"/>
        <w:ind w:firstLineChars="200" w:firstLine="640"/>
        <w:jc w:val="center"/>
        <w:outlineLvl w:val="0"/>
        <w:rPr>
          <w:rFonts w:ascii="Times New Roman" w:hAnsi="Times New Roman"/>
          <w:kern w:val="44"/>
          <w:sz w:val="32"/>
        </w:rPr>
      </w:pPr>
      <w:r>
        <w:rPr>
          <w:rFonts w:ascii="黑体" w:eastAsia="黑体" w:hAnsi="黑体" w:cs="黑体" w:hint="eastAsia"/>
          <w:kern w:val="44"/>
          <w:sz w:val="32"/>
        </w:rPr>
        <w:t>第五章</w:t>
      </w:r>
      <w:r>
        <w:rPr>
          <w:rFonts w:ascii="黑体" w:eastAsia="黑体" w:hAnsi="黑体" w:cs="黑体" w:hint="eastAsia"/>
          <w:kern w:val="44"/>
          <w:sz w:val="32"/>
        </w:rPr>
        <w:t xml:space="preserve">  </w:t>
      </w:r>
      <w:r>
        <w:rPr>
          <w:rFonts w:ascii="黑体" w:eastAsia="黑体" w:hAnsi="黑体" w:cs="黑体" w:hint="eastAsia"/>
          <w:kern w:val="44"/>
          <w:sz w:val="32"/>
        </w:rPr>
        <w:t>招生计划</w:t>
      </w:r>
    </w:p>
    <w:p w:rsidR="000355DD" w:rsidRDefault="005704A4" w:rsidP="00724132">
      <w:pPr>
        <w:spacing w:beforeLines="50" w:before="156" w:afterLines="50" w:after="156" w:line="44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济南大学泉城学院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年专升本各专业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高校推荐考生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招生计划</w:t>
      </w:r>
    </w:p>
    <w:tbl>
      <w:tblPr>
        <w:tblW w:w="99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12"/>
        <w:gridCol w:w="2969"/>
        <w:gridCol w:w="4281"/>
        <w:gridCol w:w="1717"/>
      </w:tblGrid>
      <w:tr w:rsidR="000355DD">
        <w:trPr>
          <w:trHeight w:val="36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招生专业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代码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招生专业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招生计划</w:t>
            </w:r>
          </w:p>
        </w:tc>
      </w:tr>
      <w:tr w:rsidR="000355DD">
        <w:trPr>
          <w:trHeight w:val="364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080202</w:t>
            </w: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机械设计制造及其自动化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80</w:t>
            </w:r>
          </w:p>
        </w:tc>
      </w:tr>
      <w:tr w:rsidR="000355DD">
        <w:trPr>
          <w:trHeight w:val="41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080601</w:t>
            </w: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电气工程及其自动化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0355DD">
        <w:trPr>
          <w:trHeight w:val="364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120202</w:t>
            </w: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市场营销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</w:t>
            </w:r>
          </w:p>
        </w:tc>
      </w:tr>
      <w:tr w:rsidR="000355DD">
        <w:trPr>
          <w:trHeight w:val="364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120204</w:t>
            </w: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财务管理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</w:t>
            </w:r>
          </w:p>
        </w:tc>
      </w:tr>
      <w:tr w:rsidR="000355DD">
        <w:trPr>
          <w:trHeight w:val="364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050101</w:t>
            </w: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汉语言文学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0355DD">
        <w:trPr>
          <w:trHeight w:val="36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050201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英语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0355DD">
        <w:trPr>
          <w:trHeight w:val="36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130502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视觉传达设计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85</w:t>
            </w:r>
          </w:p>
        </w:tc>
      </w:tr>
      <w:tr w:rsidR="000355DD">
        <w:trPr>
          <w:trHeight w:val="36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130503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环境设计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0355DD">
        <w:trPr>
          <w:trHeight w:val="372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DD" w:rsidRDefault="005704A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合计：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625</w:t>
            </w:r>
          </w:p>
        </w:tc>
      </w:tr>
    </w:tbl>
    <w:p w:rsidR="000355DD" w:rsidRDefault="005704A4" w:rsidP="00724132">
      <w:pPr>
        <w:widowControl/>
        <w:spacing w:beforeLines="50" w:before="156" w:afterLines="50" w:after="156" w:line="44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注：最终招生计划以</w:t>
      </w: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山东</w:t>
      </w: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省招考院公布的分专业招生计划为准</w:t>
      </w:r>
    </w:p>
    <w:p w:rsidR="000355DD" w:rsidRDefault="005704A4" w:rsidP="00724132">
      <w:pPr>
        <w:keepNext/>
        <w:keepLines/>
        <w:spacing w:beforeLines="50" w:before="156" w:afterLines="50" w:after="156" w:line="440" w:lineRule="exact"/>
        <w:ind w:firstLineChars="200" w:firstLine="640"/>
        <w:jc w:val="center"/>
        <w:outlineLvl w:val="0"/>
        <w:rPr>
          <w:rFonts w:ascii="黑体" w:eastAsia="黑体" w:hAnsi="黑体" w:cs="黑体"/>
          <w:kern w:val="44"/>
          <w:sz w:val="32"/>
        </w:rPr>
      </w:pPr>
      <w:r>
        <w:rPr>
          <w:rFonts w:ascii="黑体" w:eastAsia="黑体" w:hAnsi="黑体" w:cs="黑体" w:hint="eastAsia"/>
          <w:kern w:val="44"/>
          <w:sz w:val="32"/>
        </w:rPr>
        <w:lastRenderedPageBreak/>
        <w:t>第六章</w:t>
      </w:r>
      <w:r>
        <w:rPr>
          <w:rFonts w:ascii="黑体" w:eastAsia="黑体" w:hAnsi="黑体" w:cs="黑体" w:hint="eastAsia"/>
          <w:kern w:val="44"/>
          <w:sz w:val="32"/>
        </w:rPr>
        <w:t xml:space="preserve">  </w:t>
      </w:r>
      <w:r>
        <w:rPr>
          <w:rFonts w:ascii="黑体" w:eastAsia="黑体" w:hAnsi="黑体" w:cs="黑体" w:hint="eastAsia"/>
          <w:kern w:val="44"/>
          <w:sz w:val="32"/>
        </w:rPr>
        <w:t>录取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第十五条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济南大学泉城学院招生计划通过山东省招生主管部门、学校招生简章、学校网站等多种渠道向社会及考生公布。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第十六条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按教育部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及省教育厅相关文件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要求，实行学校负责，招办监督体制，按考生德、智、体三方面公平、公正、择优录取。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高校推荐考生由省教育招生考试院依据考生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门公共基础课总成绩、所报志愿和分专业招生计划，按照平行志愿规则投档录取。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自荐考生如果达到报考我校有关专业投档分数线，由省教育招生考试院依据考生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门公共基础课总成绩、所报志愿，按照平行志愿规则投档，以增列计划方式录取。未达到报考我校有关专业投档分数线的自荐考生不予投档录取。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退役士兵专升本实行单列计划、单独划线、单独录取，志愿填报、投档录取要求与高校推荐考生相同。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七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外语语种要求：学校只设英语教学，小语种考生填报，如被录取，公共外语课程须改学英语。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八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男女比例：报考各专业对男女比例均无限制。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九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对考生体检身体健康要求：执行《普通高等学校招生体检工作指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导意见》文件规定。</w:t>
      </w:r>
    </w:p>
    <w:p w:rsidR="000355DD" w:rsidRDefault="005704A4" w:rsidP="00724132">
      <w:pPr>
        <w:keepNext/>
        <w:keepLines/>
        <w:spacing w:beforeLines="50" w:before="156" w:afterLines="50" w:after="156" w:line="440" w:lineRule="exact"/>
        <w:ind w:firstLineChars="200" w:firstLine="640"/>
        <w:jc w:val="center"/>
        <w:outlineLvl w:val="0"/>
        <w:rPr>
          <w:rFonts w:ascii="Times New Roman" w:hAnsi="Times New Roman"/>
          <w:kern w:val="44"/>
          <w:sz w:val="32"/>
        </w:rPr>
      </w:pPr>
      <w:r>
        <w:rPr>
          <w:rFonts w:ascii="黑体" w:eastAsia="黑体" w:hAnsi="黑体" w:cs="黑体" w:hint="eastAsia"/>
          <w:kern w:val="44"/>
          <w:sz w:val="32"/>
        </w:rPr>
        <w:t>第七章</w:t>
      </w:r>
      <w:r>
        <w:rPr>
          <w:rFonts w:ascii="黑体" w:eastAsia="黑体" w:hAnsi="黑体" w:cs="黑体" w:hint="eastAsia"/>
          <w:kern w:val="44"/>
          <w:sz w:val="32"/>
        </w:rPr>
        <w:t xml:space="preserve">  </w:t>
      </w:r>
      <w:r>
        <w:rPr>
          <w:rFonts w:ascii="黑体" w:eastAsia="黑体" w:hAnsi="黑体" w:cs="黑体" w:hint="eastAsia"/>
          <w:kern w:val="44"/>
          <w:sz w:val="32"/>
        </w:rPr>
        <w:t>其他</w:t>
      </w:r>
    </w:p>
    <w:p w:rsidR="000355DD" w:rsidRDefault="005704A4" w:rsidP="00724132">
      <w:pPr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二十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收费标准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：</w:t>
      </w:r>
    </w:p>
    <w:p w:rsidR="000355DD" w:rsidRDefault="005704A4" w:rsidP="00724132">
      <w:pPr>
        <w:tabs>
          <w:tab w:val="left" w:pos="2775"/>
        </w:tabs>
        <w:spacing w:beforeLines="50" w:before="156" w:afterLines="50" w:after="156" w:line="440" w:lineRule="exact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根据山东省有关规定，专升本新生学费标准为：电气工程及其自动化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专业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机械设计制造及其自动化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专业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每人每年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000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元，财务管理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专业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市场营销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专业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、英语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专业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、汉语言文学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专业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lastRenderedPageBreak/>
        <w:t>每人每年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15000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，视觉传达设计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专业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环境设计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专业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每人每年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18000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元。学费标准如有变动，届时按山东省新的收费标准执行。</w:t>
      </w:r>
    </w:p>
    <w:p w:rsidR="000355DD" w:rsidRDefault="005704A4" w:rsidP="00724132">
      <w:pPr>
        <w:spacing w:beforeLines="50" w:before="156" w:afterLines="50" w:after="156" w:line="4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宿舍标准：普通四人间，每生每年</w:t>
      </w:r>
      <w:r>
        <w:rPr>
          <w:rFonts w:ascii="仿宋_GB2312" w:eastAsia="仿宋_GB2312" w:hAnsi="宋体" w:hint="eastAsia"/>
          <w:sz w:val="32"/>
          <w:szCs w:val="32"/>
        </w:rPr>
        <w:t>1200</w:t>
      </w:r>
      <w:r>
        <w:rPr>
          <w:rFonts w:ascii="仿宋_GB2312" w:eastAsia="仿宋_GB2312" w:hAnsi="宋体" w:hint="eastAsia"/>
          <w:sz w:val="32"/>
          <w:szCs w:val="32"/>
        </w:rPr>
        <w:t>元；普通六人间，每生每年</w:t>
      </w:r>
      <w:r>
        <w:rPr>
          <w:rFonts w:ascii="仿宋_GB2312" w:eastAsia="仿宋_GB2312" w:hAnsi="宋体" w:hint="eastAsia"/>
          <w:sz w:val="32"/>
          <w:szCs w:val="32"/>
        </w:rPr>
        <w:t>1000</w:t>
      </w:r>
      <w:r>
        <w:rPr>
          <w:rFonts w:ascii="仿宋_GB2312" w:eastAsia="仿宋_GB2312" w:hAnsi="宋体" w:hint="eastAsia"/>
          <w:sz w:val="32"/>
          <w:szCs w:val="32"/>
        </w:rPr>
        <w:t>元；普通八人间，每生每年</w:t>
      </w:r>
      <w:r>
        <w:rPr>
          <w:rFonts w:ascii="仿宋_GB2312" w:eastAsia="仿宋_GB2312" w:hAnsi="宋体" w:hint="eastAsia"/>
          <w:sz w:val="32"/>
          <w:szCs w:val="32"/>
        </w:rPr>
        <w:t>800</w:t>
      </w:r>
      <w:r>
        <w:rPr>
          <w:rFonts w:ascii="仿宋_GB2312" w:eastAsia="仿宋_GB2312" w:hAnsi="宋体" w:hint="eastAsia"/>
          <w:sz w:val="32"/>
          <w:szCs w:val="32"/>
        </w:rPr>
        <w:t>元；公寓式宿舍每生每年</w:t>
      </w:r>
      <w:r>
        <w:rPr>
          <w:rFonts w:ascii="仿宋_GB2312" w:eastAsia="仿宋_GB2312" w:hAnsi="宋体" w:hint="eastAsia"/>
          <w:sz w:val="32"/>
          <w:szCs w:val="32"/>
        </w:rPr>
        <w:t>1000</w:t>
      </w:r>
      <w:r>
        <w:rPr>
          <w:rFonts w:ascii="仿宋_GB2312" w:eastAsia="仿宋_GB2312" w:hAnsi="宋体" w:hint="eastAsia"/>
          <w:sz w:val="32"/>
          <w:szCs w:val="32"/>
        </w:rPr>
        <w:t>元。</w:t>
      </w:r>
    </w:p>
    <w:p w:rsidR="000355DD" w:rsidRDefault="005704A4" w:rsidP="00724132">
      <w:pPr>
        <w:spacing w:beforeLines="50" w:before="156" w:afterLines="50" w:after="156" w:line="4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收费标准如有变化，学校将按照山东省物价局新批准的标准执行。</w:t>
      </w:r>
    </w:p>
    <w:p w:rsidR="000355DD" w:rsidRDefault="005704A4" w:rsidP="00724132">
      <w:pPr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第二十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一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被录取的专升本学生需持录取通知书、准考证、身份证和专科毕业证书等，按规定时间到我校报到，办理入学手续。报到时不能提供专科毕业证书的，不得报到入学，学校将取消其入学资格。</w:t>
      </w:r>
    </w:p>
    <w:p w:rsidR="000355DD" w:rsidRDefault="005704A4" w:rsidP="00724132">
      <w:pPr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第二十二条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在学生报到后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个月内，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学校将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按照有关规定根据招生政策和录取标准对学生进行复查，复查合格者予以注册，取得学籍。凡不符合条件或发现舞弊行为者，不予学籍注册，取消其入学资格。学生在校学习期间，学籍管理按照《普通高等学校学生管理规定》执行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第二十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三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专升本学生的修业年限一般为</w:t>
      </w:r>
      <w:r>
        <w:rPr>
          <w:rFonts w:ascii="仿宋_GB2312" w:eastAsia="仿宋_GB2312" w:hAnsi="宋体" w:cs="宋体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至</w:t>
      </w:r>
      <w:r>
        <w:rPr>
          <w:rFonts w:ascii="仿宋_GB2312" w:eastAsia="仿宋_GB2312" w:hAnsi="宋体" w:cs="宋体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。学生按教学计划修完规定课程，成绩合格，由学校颁发普通高等教育本科毕业证书。专升本学生毕业证书的内容须填写“在本校专科起点××专业本科学习”，学习时间按进入本科阶段学习的实际时间填写。符合学士学位授予条件的授予相应学位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第二十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四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“绿色通道”及奖助学金：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学校已开通“绿色通道”，保证家庭经济困难的学生办理入学手续。学校设立各种类型的奖学金。品学兼优的学生可以申请国家奖学金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8000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/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年、山东省政府奖学金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6000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/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年。家庭经济困难及品学兼优的学生可申请国家励志奖学金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5000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/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年、山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东省政府励志奖学金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5000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/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年。家庭经济困难的学生可以申请国家助学金，金额分别为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4400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3300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2200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元。我校实行生源地信用助学贷款政策，当年录取的新生，入学前可向当地县（市、区）教育行政部门咨询办理助学贷款相关事宜。我校学生服义务兵役依据国家最新文件享受相应的学费补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偿。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第二十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五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退学学费规定：按照山东省教育厅等七部门鲁教财字</w:t>
      </w:r>
      <w:r>
        <w:rPr>
          <w:rFonts w:ascii="仿宋_GB2312" w:hAnsi="Calibri" w:hint="eastAsia"/>
          <w:sz w:val="32"/>
        </w:rPr>
        <w:t>〔</w:t>
      </w:r>
      <w:r>
        <w:rPr>
          <w:rFonts w:ascii="仿宋_GB2312" w:hAnsi="Calibri"/>
          <w:sz w:val="32"/>
        </w:rPr>
        <w:t>2010</w:t>
      </w:r>
      <w:r>
        <w:rPr>
          <w:rFonts w:ascii="仿宋_GB2312" w:hAnsi="Calibri" w:hint="eastAsia"/>
          <w:sz w:val="32"/>
        </w:rPr>
        <w:t>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号文件有关退费规定执行。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第二十六条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本章程若有与上级有关政策不一致之处，以国家和上级有关政策为准。未尽事宜，按上级有关规定执行。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第二十七条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本章程由济南大学泉城学院负责解释。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第二十八条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联系方式：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咨询电话：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0535-5770026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5770027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5770028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5770029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学校网址：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http://www.ujnpl.com/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招生信息网网址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: http://zs.ujnpl.com/</w:t>
      </w:r>
    </w:p>
    <w:p w:rsidR="000355DD" w:rsidRDefault="005704A4" w:rsidP="00724132">
      <w:pPr>
        <w:widowControl/>
        <w:spacing w:beforeLines="50" w:before="156" w:afterLines="50" w:after="156"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通讯地址：山东省蓬莱市海滨西路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号</w:t>
      </w:r>
    </w:p>
    <w:p w:rsidR="000355DD" w:rsidRDefault="005704A4" w:rsidP="000355DD">
      <w:pPr>
        <w:widowControl/>
        <w:spacing w:beforeLines="50" w:before="156" w:afterLines="50" w:after="156"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邮编：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265600</w:t>
      </w:r>
    </w:p>
    <w:sectPr w:rsidR="000355DD"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4A4" w:rsidRDefault="005704A4">
      <w:r>
        <w:separator/>
      </w:r>
    </w:p>
  </w:endnote>
  <w:endnote w:type="continuationSeparator" w:id="0">
    <w:p w:rsidR="005704A4" w:rsidRDefault="0057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5DD" w:rsidRDefault="005704A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55DD" w:rsidRDefault="005704A4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24132">
                            <w:rPr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355DD" w:rsidRDefault="005704A4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724132">
                      <w:rPr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4A4" w:rsidRDefault="005704A4">
      <w:r>
        <w:separator/>
      </w:r>
    </w:p>
  </w:footnote>
  <w:footnote w:type="continuationSeparator" w:id="0">
    <w:p w:rsidR="005704A4" w:rsidRDefault="00570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BD7"/>
    <w:rsid w:val="0000145F"/>
    <w:rsid w:val="00005703"/>
    <w:rsid w:val="000355DD"/>
    <w:rsid w:val="00035C8D"/>
    <w:rsid w:val="000379BA"/>
    <w:rsid w:val="00061787"/>
    <w:rsid w:val="0007105E"/>
    <w:rsid w:val="000A20A7"/>
    <w:rsid w:val="000A247F"/>
    <w:rsid w:val="000A2B4B"/>
    <w:rsid w:val="000C4C98"/>
    <w:rsid w:val="00105DB5"/>
    <w:rsid w:val="00106CAB"/>
    <w:rsid w:val="001423B7"/>
    <w:rsid w:val="00150CBB"/>
    <w:rsid w:val="00153E7C"/>
    <w:rsid w:val="00171BD6"/>
    <w:rsid w:val="001C2F49"/>
    <w:rsid w:val="001C6C93"/>
    <w:rsid w:val="002024B3"/>
    <w:rsid w:val="0020789B"/>
    <w:rsid w:val="00222C8C"/>
    <w:rsid w:val="00250D50"/>
    <w:rsid w:val="00261A8C"/>
    <w:rsid w:val="002A1EC1"/>
    <w:rsid w:val="002A5751"/>
    <w:rsid w:val="002B248F"/>
    <w:rsid w:val="002B2A6B"/>
    <w:rsid w:val="002C4FB9"/>
    <w:rsid w:val="002E14C9"/>
    <w:rsid w:val="002E70AB"/>
    <w:rsid w:val="003028F8"/>
    <w:rsid w:val="00303809"/>
    <w:rsid w:val="0032253E"/>
    <w:rsid w:val="0032447B"/>
    <w:rsid w:val="00333374"/>
    <w:rsid w:val="00341773"/>
    <w:rsid w:val="00346096"/>
    <w:rsid w:val="00352012"/>
    <w:rsid w:val="00352978"/>
    <w:rsid w:val="00355512"/>
    <w:rsid w:val="003746FD"/>
    <w:rsid w:val="0038038F"/>
    <w:rsid w:val="0038176D"/>
    <w:rsid w:val="00393FAB"/>
    <w:rsid w:val="00394A58"/>
    <w:rsid w:val="003B0B64"/>
    <w:rsid w:val="003D3805"/>
    <w:rsid w:val="003D4A9D"/>
    <w:rsid w:val="003F0C32"/>
    <w:rsid w:val="00401A41"/>
    <w:rsid w:val="004123ED"/>
    <w:rsid w:val="00424521"/>
    <w:rsid w:val="00427395"/>
    <w:rsid w:val="00454696"/>
    <w:rsid w:val="00460C51"/>
    <w:rsid w:val="00467FD5"/>
    <w:rsid w:val="004764AF"/>
    <w:rsid w:val="004918DA"/>
    <w:rsid w:val="004A16A5"/>
    <w:rsid w:val="004A7D72"/>
    <w:rsid w:val="004D143D"/>
    <w:rsid w:val="004D14EA"/>
    <w:rsid w:val="004E1399"/>
    <w:rsid w:val="004F175B"/>
    <w:rsid w:val="00504DD7"/>
    <w:rsid w:val="00510AF5"/>
    <w:rsid w:val="005168A1"/>
    <w:rsid w:val="00522EEF"/>
    <w:rsid w:val="005333AA"/>
    <w:rsid w:val="005508CD"/>
    <w:rsid w:val="005704A4"/>
    <w:rsid w:val="0057351E"/>
    <w:rsid w:val="005A31DC"/>
    <w:rsid w:val="005A5EFB"/>
    <w:rsid w:val="005A6ACC"/>
    <w:rsid w:val="005B40C6"/>
    <w:rsid w:val="005C77B6"/>
    <w:rsid w:val="005D366B"/>
    <w:rsid w:val="005E19EB"/>
    <w:rsid w:val="005E23DC"/>
    <w:rsid w:val="0061010F"/>
    <w:rsid w:val="00626100"/>
    <w:rsid w:val="00631A6C"/>
    <w:rsid w:val="00661E6C"/>
    <w:rsid w:val="00680E42"/>
    <w:rsid w:val="00680EEF"/>
    <w:rsid w:val="006863AE"/>
    <w:rsid w:val="006B666F"/>
    <w:rsid w:val="006C106D"/>
    <w:rsid w:val="006E068E"/>
    <w:rsid w:val="006E70B9"/>
    <w:rsid w:val="006F2A2E"/>
    <w:rsid w:val="00722108"/>
    <w:rsid w:val="00724132"/>
    <w:rsid w:val="00735524"/>
    <w:rsid w:val="00742E05"/>
    <w:rsid w:val="00766D7D"/>
    <w:rsid w:val="00772862"/>
    <w:rsid w:val="00774B21"/>
    <w:rsid w:val="00775E6C"/>
    <w:rsid w:val="007779F9"/>
    <w:rsid w:val="0078001A"/>
    <w:rsid w:val="007A72C9"/>
    <w:rsid w:val="007B2509"/>
    <w:rsid w:val="007B742E"/>
    <w:rsid w:val="007C6BD7"/>
    <w:rsid w:val="007C7154"/>
    <w:rsid w:val="007D7EDE"/>
    <w:rsid w:val="00806334"/>
    <w:rsid w:val="00813413"/>
    <w:rsid w:val="00817DDF"/>
    <w:rsid w:val="00821B66"/>
    <w:rsid w:val="00832C7E"/>
    <w:rsid w:val="00835E09"/>
    <w:rsid w:val="00846F04"/>
    <w:rsid w:val="00882E02"/>
    <w:rsid w:val="00894A98"/>
    <w:rsid w:val="00896A6E"/>
    <w:rsid w:val="008D3854"/>
    <w:rsid w:val="008E6E7B"/>
    <w:rsid w:val="00900506"/>
    <w:rsid w:val="009045F7"/>
    <w:rsid w:val="00916D65"/>
    <w:rsid w:val="00942C41"/>
    <w:rsid w:val="009458B2"/>
    <w:rsid w:val="009550AF"/>
    <w:rsid w:val="00971E39"/>
    <w:rsid w:val="00984362"/>
    <w:rsid w:val="009B55AE"/>
    <w:rsid w:val="009C33DA"/>
    <w:rsid w:val="009C4A50"/>
    <w:rsid w:val="009C590B"/>
    <w:rsid w:val="009C705E"/>
    <w:rsid w:val="009D34A5"/>
    <w:rsid w:val="009D5782"/>
    <w:rsid w:val="009D6600"/>
    <w:rsid w:val="009D6FB6"/>
    <w:rsid w:val="009E1B91"/>
    <w:rsid w:val="009E6143"/>
    <w:rsid w:val="009E62D5"/>
    <w:rsid w:val="009E72A8"/>
    <w:rsid w:val="009F17A1"/>
    <w:rsid w:val="00A00516"/>
    <w:rsid w:val="00A060D3"/>
    <w:rsid w:val="00A068B5"/>
    <w:rsid w:val="00A362E4"/>
    <w:rsid w:val="00A4138A"/>
    <w:rsid w:val="00A51E98"/>
    <w:rsid w:val="00A70AAA"/>
    <w:rsid w:val="00AA3F1F"/>
    <w:rsid w:val="00AB15EB"/>
    <w:rsid w:val="00AD17D7"/>
    <w:rsid w:val="00AE6DD5"/>
    <w:rsid w:val="00AF757E"/>
    <w:rsid w:val="00B12503"/>
    <w:rsid w:val="00B242E5"/>
    <w:rsid w:val="00B422F2"/>
    <w:rsid w:val="00B46F37"/>
    <w:rsid w:val="00B60599"/>
    <w:rsid w:val="00B7732E"/>
    <w:rsid w:val="00B82294"/>
    <w:rsid w:val="00B86603"/>
    <w:rsid w:val="00B963D9"/>
    <w:rsid w:val="00BA39AC"/>
    <w:rsid w:val="00BD3BA0"/>
    <w:rsid w:val="00BD7FCD"/>
    <w:rsid w:val="00BE779E"/>
    <w:rsid w:val="00BE7C10"/>
    <w:rsid w:val="00BF71F5"/>
    <w:rsid w:val="00BF7767"/>
    <w:rsid w:val="00C01462"/>
    <w:rsid w:val="00C06D99"/>
    <w:rsid w:val="00C16C68"/>
    <w:rsid w:val="00C210EA"/>
    <w:rsid w:val="00C340B2"/>
    <w:rsid w:val="00C36AB1"/>
    <w:rsid w:val="00C418D5"/>
    <w:rsid w:val="00C518F0"/>
    <w:rsid w:val="00C6524C"/>
    <w:rsid w:val="00C869CA"/>
    <w:rsid w:val="00C961B3"/>
    <w:rsid w:val="00C963B7"/>
    <w:rsid w:val="00CA1757"/>
    <w:rsid w:val="00CA2635"/>
    <w:rsid w:val="00CB47F9"/>
    <w:rsid w:val="00CB771E"/>
    <w:rsid w:val="00CC2BDA"/>
    <w:rsid w:val="00CD48EC"/>
    <w:rsid w:val="00CD5860"/>
    <w:rsid w:val="00CE33E0"/>
    <w:rsid w:val="00CF0B79"/>
    <w:rsid w:val="00CF545C"/>
    <w:rsid w:val="00CF64C9"/>
    <w:rsid w:val="00D044B4"/>
    <w:rsid w:val="00D05103"/>
    <w:rsid w:val="00D07DAF"/>
    <w:rsid w:val="00D345A7"/>
    <w:rsid w:val="00D35E3D"/>
    <w:rsid w:val="00D45F89"/>
    <w:rsid w:val="00D831D0"/>
    <w:rsid w:val="00D9134E"/>
    <w:rsid w:val="00D942A5"/>
    <w:rsid w:val="00D95848"/>
    <w:rsid w:val="00DA1B67"/>
    <w:rsid w:val="00DB0C55"/>
    <w:rsid w:val="00DC13D6"/>
    <w:rsid w:val="00DC217C"/>
    <w:rsid w:val="00DC7032"/>
    <w:rsid w:val="00DD464A"/>
    <w:rsid w:val="00DD70C9"/>
    <w:rsid w:val="00DE799D"/>
    <w:rsid w:val="00DF435E"/>
    <w:rsid w:val="00DF7718"/>
    <w:rsid w:val="00E0426A"/>
    <w:rsid w:val="00E06911"/>
    <w:rsid w:val="00E1503D"/>
    <w:rsid w:val="00E24D19"/>
    <w:rsid w:val="00E42E93"/>
    <w:rsid w:val="00E450DE"/>
    <w:rsid w:val="00E50001"/>
    <w:rsid w:val="00E86D76"/>
    <w:rsid w:val="00E92D34"/>
    <w:rsid w:val="00EA5356"/>
    <w:rsid w:val="00EA6436"/>
    <w:rsid w:val="00EB040B"/>
    <w:rsid w:val="00F1554C"/>
    <w:rsid w:val="00F2225E"/>
    <w:rsid w:val="00F23251"/>
    <w:rsid w:val="00F5015E"/>
    <w:rsid w:val="00F606C3"/>
    <w:rsid w:val="00F63F79"/>
    <w:rsid w:val="00F779AA"/>
    <w:rsid w:val="00F806D8"/>
    <w:rsid w:val="00FA2580"/>
    <w:rsid w:val="00FA6901"/>
    <w:rsid w:val="00FC4136"/>
    <w:rsid w:val="00FE37E7"/>
    <w:rsid w:val="00FE6482"/>
    <w:rsid w:val="02F41F1D"/>
    <w:rsid w:val="032C6D85"/>
    <w:rsid w:val="033D4819"/>
    <w:rsid w:val="03634294"/>
    <w:rsid w:val="036463D1"/>
    <w:rsid w:val="03B34560"/>
    <w:rsid w:val="03FC2CB2"/>
    <w:rsid w:val="04322A8C"/>
    <w:rsid w:val="04560385"/>
    <w:rsid w:val="049111DD"/>
    <w:rsid w:val="04E74098"/>
    <w:rsid w:val="050411AD"/>
    <w:rsid w:val="05D67BEB"/>
    <w:rsid w:val="06AA71FC"/>
    <w:rsid w:val="06F22421"/>
    <w:rsid w:val="077D493C"/>
    <w:rsid w:val="0784539E"/>
    <w:rsid w:val="07AD5E83"/>
    <w:rsid w:val="09354104"/>
    <w:rsid w:val="09495BDC"/>
    <w:rsid w:val="0A4A017A"/>
    <w:rsid w:val="0A66196A"/>
    <w:rsid w:val="0ABB4345"/>
    <w:rsid w:val="0ACE343B"/>
    <w:rsid w:val="0B2C4D69"/>
    <w:rsid w:val="0C4B6D3E"/>
    <w:rsid w:val="0C7B42D3"/>
    <w:rsid w:val="0C8C2623"/>
    <w:rsid w:val="0CB846E8"/>
    <w:rsid w:val="0CDB7C86"/>
    <w:rsid w:val="0D1756D6"/>
    <w:rsid w:val="0D33572D"/>
    <w:rsid w:val="0E683C84"/>
    <w:rsid w:val="0EA07CB5"/>
    <w:rsid w:val="0F5C2B36"/>
    <w:rsid w:val="0F6564BF"/>
    <w:rsid w:val="0FD90138"/>
    <w:rsid w:val="107E4035"/>
    <w:rsid w:val="10C51693"/>
    <w:rsid w:val="12861781"/>
    <w:rsid w:val="13C17BBF"/>
    <w:rsid w:val="14AC7196"/>
    <w:rsid w:val="14BD0252"/>
    <w:rsid w:val="14E46EE2"/>
    <w:rsid w:val="14F800E9"/>
    <w:rsid w:val="15BE120E"/>
    <w:rsid w:val="15C14047"/>
    <w:rsid w:val="16B612A8"/>
    <w:rsid w:val="17901FA0"/>
    <w:rsid w:val="17BD7F6D"/>
    <w:rsid w:val="18712AA9"/>
    <w:rsid w:val="18ED19A3"/>
    <w:rsid w:val="19695596"/>
    <w:rsid w:val="19990BFB"/>
    <w:rsid w:val="19DC35D9"/>
    <w:rsid w:val="1A1702CF"/>
    <w:rsid w:val="1A192E33"/>
    <w:rsid w:val="1A7C4198"/>
    <w:rsid w:val="1A982D42"/>
    <w:rsid w:val="1B4E1523"/>
    <w:rsid w:val="1B952FBB"/>
    <w:rsid w:val="1B9908AF"/>
    <w:rsid w:val="1C197E29"/>
    <w:rsid w:val="1C362780"/>
    <w:rsid w:val="1C844A99"/>
    <w:rsid w:val="1D050D8D"/>
    <w:rsid w:val="1D256430"/>
    <w:rsid w:val="1D3B18FB"/>
    <w:rsid w:val="1D5F0406"/>
    <w:rsid w:val="1E1010AB"/>
    <w:rsid w:val="1FBD5258"/>
    <w:rsid w:val="20263966"/>
    <w:rsid w:val="204D40A8"/>
    <w:rsid w:val="20BB1ED4"/>
    <w:rsid w:val="20C72FC9"/>
    <w:rsid w:val="20E2428F"/>
    <w:rsid w:val="20E631E7"/>
    <w:rsid w:val="20EA2A39"/>
    <w:rsid w:val="21783E95"/>
    <w:rsid w:val="21D53240"/>
    <w:rsid w:val="21FA7B75"/>
    <w:rsid w:val="22131FDD"/>
    <w:rsid w:val="228D500B"/>
    <w:rsid w:val="22A24A9D"/>
    <w:rsid w:val="22AE4E63"/>
    <w:rsid w:val="23382BC9"/>
    <w:rsid w:val="235443A1"/>
    <w:rsid w:val="23F97DFB"/>
    <w:rsid w:val="24AC5839"/>
    <w:rsid w:val="25023008"/>
    <w:rsid w:val="25AA7BC9"/>
    <w:rsid w:val="25AF6952"/>
    <w:rsid w:val="25B85A67"/>
    <w:rsid w:val="25DF1A9E"/>
    <w:rsid w:val="26FE650E"/>
    <w:rsid w:val="29006F34"/>
    <w:rsid w:val="29D90113"/>
    <w:rsid w:val="2A424276"/>
    <w:rsid w:val="2AB9669F"/>
    <w:rsid w:val="2B1B7171"/>
    <w:rsid w:val="2BE07AC7"/>
    <w:rsid w:val="2C161D08"/>
    <w:rsid w:val="2C1A55AB"/>
    <w:rsid w:val="2C635635"/>
    <w:rsid w:val="2D6A3E4D"/>
    <w:rsid w:val="2E053390"/>
    <w:rsid w:val="2E275C73"/>
    <w:rsid w:val="2E984B00"/>
    <w:rsid w:val="2F9014D9"/>
    <w:rsid w:val="3089266C"/>
    <w:rsid w:val="314046CE"/>
    <w:rsid w:val="31760DFA"/>
    <w:rsid w:val="31A31B75"/>
    <w:rsid w:val="31BF5E0E"/>
    <w:rsid w:val="31FA3E28"/>
    <w:rsid w:val="324D58EA"/>
    <w:rsid w:val="33D82B79"/>
    <w:rsid w:val="340D5011"/>
    <w:rsid w:val="340D5F54"/>
    <w:rsid w:val="35304CD8"/>
    <w:rsid w:val="355D5135"/>
    <w:rsid w:val="35E4450E"/>
    <w:rsid w:val="35F2574C"/>
    <w:rsid w:val="37217338"/>
    <w:rsid w:val="3810609B"/>
    <w:rsid w:val="38520B66"/>
    <w:rsid w:val="386E16B1"/>
    <w:rsid w:val="389C5937"/>
    <w:rsid w:val="38E35BD8"/>
    <w:rsid w:val="38ED657A"/>
    <w:rsid w:val="390D708D"/>
    <w:rsid w:val="39147838"/>
    <w:rsid w:val="3A175228"/>
    <w:rsid w:val="3A5A00AF"/>
    <w:rsid w:val="3AFC0EB7"/>
    <w:rsid w:val="3B0D4598"/>
    <w:rsid w:val="3BFB1437"/>
    <w:rsid w:val="3C342E6D"/>
    <w:rsid w:val="3C411501"/>
    <w:rsid w:val="3CE66579"/>
    <w:rsid w:val="3D4F65F3"/>
    <w:rsid w:val="3DA14F7E"/>
    <w:rsid w:val="3E3F39CC"/>
    <w:rsid w:val="3E4D31CF"/>
    <w:rsid w:val="3E5F4474"/>
    <w:rsid w:val="3F240253"/>
    <w:rsid w:val="3F4A1EF0"/>
    <w:rsid w:val="3F9D08AA"/>
    <w:rsid w:val="3FD457C7"/>
    <w:rsid w:val="3FFD7AE8"/>
    <w:rsid w:val="407A59F1"/>
    <w:rsid w:val="414D08E1"/>
    <w:rsid w:val="41C25E35"/>
    <w:rsid w:val="41E01535"/>
    <w:rsid w:val="426D0A02"/>
    <w:rsid w:val="42BF1D98"/>
    <w:rsid w:val="43E2516D"/>
    <w:rsid w:val="43EA5F82"/>
    <w:rsid w:val="446062FD"/>
    <w:rsid w:val="446B0551"/>
    <w:rsid w:val="44FC3DC5"/>
    <w:rsid w:val="452736EB"/>
    <w:rsid w:val="459B57C3"/>
    <w:rsid w:val="45AD312F"/>
    <w:rsid w:val="467D05E9"/>
    <w:rsid w:val="469C5079"/>
    <w:rsid w:val="485A2B9F"/>
    <w:rsid w:val="486D7C8D"/>
    <w:rsid w:val="48791BEE"/>
    <w:rsid w:val="4A9965EA"/>
    <w:rsid w:val="4AB30CD3"/>
    <w:rsid w:val="4AB66354"/>
    <w:rsid w:val="4B166DD7"/>
    <w:rsid w:val="4B19099D"/>
    <w:rsid w:val="4B3364C2"/>
    <w:rsid w:val="4BA04B09"/>
    <w:rsid w:val="4BD0277B"/>
    <w:rsid w:val="4C9C37B5"/>
    <w:rsid w:val="4CD77FCB"/>
    <w:rsid w:val="4CD91925"/>
    <w:rsid w:val="4D7B66C8"/>
    <w:rsid w:val="4DCC788C"/>
    <w:rsid w:val="4E3E3117"/>
    <w:rsid w:val="4EBF6532"/>
    <w:rsid w:val="503149F8"/>
    <w:rsid w:val="509C19D7"/>
    <w:rsid w:val="50A87CB0"/>
    <w:rsid w:val="50B47C68"/>
    <w:rsid w:val="50EC589A"/>
    <w:rsid w:val="51CA684B"/>
    <w:rsid w:val="51D51743"/>
    <w:rsid w:val="51F1533F"/>
    <w:rsid w:val="527C7511"/>
    <w:rsid w:val="52A56B1A"/>
    <w:rsid w:val="52C65BBD"/>
    <w:rsid w:val="53DB69CB"/>
    <w:rsid w:val="5426720F"/>
    <w:rsid w:val="54EE6574"/>
    <w:rsid w:val="55336DA5"/>
    <w:rsid w:val="558F4406"/>
    <w:rsid w:val="559332BB"/>
    <w:rsid w:val="56DC2F5A"/>
    <w:rsid w:val="57E279DC"/>
    <w:rsid w:val="583B32B5"/>
    <w:rsid w:val="58670C39"/>
    <w:rsid w:val="59367C48"/>
    <w:rsid w:val="59533C5A"/>
    <w:rsid w:val="5A534B0D"/>
    <w:rsid w:val="5B0D4D7B"/>
    <w:rsid w:val="5B6B3488"/>
    <w:rsid w:val="5B7E6084"/>
    <w:rsid w:val="5C206427"/>
    <w:rsid w:val="5C784E32"/>
    <w:rsid w:val="5CB13D38"/>
    <w:rsid w:val="5CB631B2"/>
    <w:rsid w:val="5CB74AEA"/>
    <w:rsid w:val="5CD836E8"/>
    <w:rsid w:val="5D437E8D"/>
    <w:rsid w:val="5E2D6F3A"/>
    <w:rsid w:val="5E7A04F0"/>
    <w:rsid w:val="5EEF52F4"/>
    <w:rsid w:val="5EFF46C3"/>
    <w:rsid w:val="5FE44AF7"/>
    <w:rsid w:val="60021F8F"/>
    <w:rsid w:val="60DC7862"/>
    <w:rsid w:val="60EA1DAF"/>
    <w:rsid w:val="614F7DFF"/>
    <w:rsid w:val="62553534"/>
    <w:rsid w:val="62824045"/>
    <w:rsid w:val="62B41711"/>
    <w:rsid w:val="63FB19CF"/>
    <w:rsid w:val="64934C8A"/>
    <w:rsid w:val="65575F6E"/>
    <w:rsid w:val="656E29F6"/>
    <w:rsid w:val="6673467B"/>
    <w:rsid w:val="678263BE"/>
    <w:rsid w:val="67BE07E0"/>
    <w:rsid w:val="67F71C29"/>
    <w:rsid w:val="682B0115"/>
    <w:rsid w:val="6832647E"/>
    <w:rsid w:val="68AA6767"/>
    <w:rsid w:val="69354B13"/>
    <w:rsid w:val="69414EA6"/>
    <w:rsid w:val="69635809"/>
    <w:rsid w:val="6AB33158"/>
    <w:rsid w:val="6B5865EB"/>
    <w:rsid w:val="6B6127F3"/>
    <w:rsid w:val="6BDF6458"/>
    <w:rsid w:val="6C056494"/>
    <w:rsid w:val="6C310196"/>
    <w:rsid w:val="6C5F00C7"/>
    <w:rsid w:val="6C881FE7"/>
    <w:rsid w:val="6CA51F03"/>
    <w:rsid w:val="6CDB69ED"/>
    <w:rsid w:val="6E2038FD"/>
    <w:rsid w:val="6EDF54E2"/>
    <w:rsid w:val="6FC236B4"/>
    <w:rsid w:val="70287C06"/>
    <w:rsid w:val="70751706"/>
    <w:rsid w:val="70C46BB2"/>
    <w:rsid w:val="7111358D"/>
    <w:rsid w:val="713A381B"/>
    <w:rsid w:val="715D4299"/>
    <w:rsid w:val="71B66E83"/>
    <w:rsid w:val="72FD7D89"/>
    <w:rsid w:val="73816C7E"/>
    <w:rsid w:val="73B31594"/>
    <w:rsid w:val="74FB1058"/>
    <w:rsid w:val="74FE144A"/>
    <w:rsid w:val="7536168E"/>
    <w:rsid w:val="755E3B9C"/>
    <w:rsid w:val="75762097"/>
    <w:rsid w:val="75E76E8D"/>
    <w:rsid w:val="76125B55"/>
    <w:rsid w:val="76267BFD"/>
    <w:rsid w:val="766419B2"/>
    <w:rsid w:val="775B500F"/>
    <w:rsid w:val="792E3578"/>
    <w:rsid w:val="79F93C95"/>
    <w:rsid w:val="7A36045B"/>
    <w:rsid w:val="7A5D009D"/>
    <w:rsid w:val="7A643D09"/>
    <w:rsid w:val="7A9E7513"/>
    <w:rsid w:val="7AB1756B"/>
    <w:rsid w:val="7B517201"/>
    <w:rsid w:val="7BB30ACC"/>
    <w:rsid w:val="7BDB2C9A"/>
    <w:rsid w:val="7BFB4974"/>
    <w:rsid w:val="7C205EC6"/>
    <w:rsid w:val="7C3F25BB"/>
    <w:rsid w:val="7C940367"/>
    <w:rsid w:val="7CE354B4"/>
    <w:rsid w:val="7E274B1E"/>
    <w:rsid w:val="7F1B2F26"/>
    <w:rsid w:val="7FDD353B"/>
    <w:rsid w:val="7FEE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Pr>
      <w:rFonts w:ascii="宋体" w:eastAsia="宋体"/>
      <w:kern w:val="0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uiPriority w:val="22"/>
    <w:qFormat/>
    <w:rPr>
      <w:b/>
      <w:bCs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/>
      <w:b/>
      <w:bCs/>
      <w:sz w:val="36"/>
      <w:szCs w:val="36"/>
      <w:lang w:val="zh-CN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qFormat/>
    <w:rPr>
      <w:kern w:val="2"/>
      <w:sz w:val="18"/>
      <w:szCs w:val="18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文档结构图 Char"/>
    <w:link w:val="a3"/>
    <w:uiPriority w:val="99"/>
    <w:qFormat/>
    <w:rPr>
      <w:rFonts w:ascii="宋体" w:eastAsia="宋体"/>
      <w:sz w:val="18"/>
      <w:szCs w:val="18"/>
    </w:rPr>
  </w:style>
  <w:style w:type="character" w:customStyle="1" w:styleId="Char10">
    <w:name w:val="文档结构图 Char1"/>
    <w:basedOn w:val="a0"/>
    <w:uiPriority w:val="99"/>
    <w:semiHidden/>
    <w:qFormat/>
    <w:rPr>
      <w:rFonts w:ascii="宋体" w:eastAsia="宋体"/>
      <w:kern w:val="2"/>
      <w:sz w:val="18"/>
      <w:szCs w:val="18"/>
    </w:rPr>
  </w:style>
  <w:style w:type="character" w:customStyle="1" w:styleId="Char11">
    <w:name w:val="批注框文本 Char1"/>
    <w:basedOn w:val="a0"/>
    <w:uiPriority w:val="99"/>
    <w:semiHidden/>
    <w:qFormat/>
    <w:rPr>
      <w:kern w:val="2"/>
      <w:sz w:val="18"/>
      <w:szCs w:val="18"/>
    </w:rPr>
  </w:style>
  <w:style w:type="character" w:customStyle="1" w:styleId="Char12">
    <w:name w:val="页眉 Char1"/>
    <w:basedOn w:val="a0"/>
    <w:uiPriority w:val="99"/>
    <w:semiHidden/>
    <w:qFormat/>
    <w:rPr>
      <w:kern w:val="2"/>
      <w:sz w:val="18"/>
      <w:szCs w:val="18"/>
    </w:rPr>
  </w:style>
  <w:style w:type="character" w:customStyle="1" w:styleId="Char13">
    <w:name w:val="页脚 Char1"/>
    <w:basedOn w:val="a0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Pr>
      <w:rFonts w:ascii="宋体" w:eastAsia="宋体"/>
      <w:kern w:val="0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uiPriority w:val="22"/>
    <w:qFormat/>
    <w:rPr>
      <w:b/>
      <w:bCs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/>
      <w:b/>
      <w:bCs/>
      <w:sz w:val="36"/>
      <w:szCs w:val="36"/>
      <w:lang w:val="zh-CN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qFormat/>
    <w:rPr>
      <w:kern w:val="2"/>
      <w:sz w:val="18"/>
      <w:szCs w:val="18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文档结构图 Char"/>
    <w:link w:val="a3"/>
    <w:uiPriority w:val="99"/>
    <w:qFormat/>
    <w:rPr>
      <w:rFonts w:ascii="宋体" w:eastAsia="宋体"/>
      <w:sz w:val="18"/>
      <w:szCs w:val="18"/>
    </w:rPr>
  </w:style>
  <w:style w:type="character" w:customStyle="1" w:styleId="Char10">
    <w:name w:val="文档结构图 Char1"/>
    <w:basedOn w:val="a0"/>
    <w:uiPriority w:val="99"/>
    <w:semiHidden/>
    <w:qFormat/>
    <w:rPr>
      <w:rFonts w:ascii="宋体" w:eastAsia="宋体"/>
      <w:kern w:val="2"/>
      <w:sz w:val="18"/>
      <w:szCs w:val="18"/>
    </w:rPr>
  </w:style>
  <w:style w:type="character" w:customStyle="1" w:styleId="Char11">
    <w:name w:val="批注框文本 Char1"/>
    <w:basedOn w:val="a0"/>
    <w:uiPriority w:val="99"/>
    <w:semiHidden/>
    <w:qFormat/>
    <w:rPr>
      <w:kern w:val="2"/>
      <w:sz w:val="18"/>
      <w:szCs w:val="18"/>
    </w:rPr>
  </w:style>
  <w:style w:type="character" w:customStyle="1" w:styleId="Char12">
    <w:name w:val="页眉 Char1"/>
    <w:basedOn w:val="a0"/>
    <w:uiPriority w:val="99"/>
    <w:semiHidden/>
    <w:qFormat/>
    <w:rPr>
      <w:kern w:val="2"/>
      <w:sz w:val="18"/>
      <w:szCs w:val="18"/>
    </w:rPr>
  </w:style>
  <w:style w:type="character" w:customStyle="1" w:styleId="Char13">
    <w:name w:val="页脚 Char1"/>
    <w:basedOn w:val="a0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8396E2-EE32-4F94-9E71-58ACCADC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578</Words>
  <Characters>3299</Characters>
  <Application>Microsoft Office Word</Application>
  <DocSecurity>0</DocSecurity>
  <Lines>27</Lines>
  <Paragraphs>7</Paragraphs>
  <ScaleCrop>false</ScaleCrop>
  <Company>Sky123.Org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裴东升</dc:creator>
  <cp:lastModifiedBy>hukang</cp:lastModifiedBy>
  <cp:revision>2</cp:revision>
  <cp:lastPrinted>2019-01-03T02:35:00Z</cp:lastPrinted>
  <dcterms:created xsi:type="dcterms:W3CDTF">2020-01-22T06:19:00Z</dcterms:created>
  <dcterms:modified xsi:type="dcterms:W3CDTF">2020-01-22T06:19:00Z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