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1" w:line="227" w:lineRule="auto"/>
        <w:rPr>
          <w:rFonts w:ascii="黑体" w:hAnsi="黑体" w:eastAsia="黑体" w:cs="黑体"/>
          <w:color w:val="auto"/>
          <w:sz w:val="31"/>
          <w:szCs w:val="31"/>
        </w:rPr>
      </w:pPr>
      <w:r>
        <w:rPr>
          <w:rFonts w:ascii="黑体" w:hAnsi="黑体" w:eastAsia="黑体" w:cs="黑体"/>
          <w:color w:val="auto"/>
          <w:spacing w:val="-15"/>
          <w:sz w:val="31"/>
          <w:szCs w:val="31"/>
        </w:rPr>
        <w:t>附</w:t>
      </w:r>
      <w:r>
        <w:rPr>
          <w:rFonts w:ascii="黑体" w:hAnsi="黑体" w:eastAsia="黑体" w:cs="黑体"/>
          <w:color w:val="auto"/>
          <w:spacing w:val="-14"/>
          <w:sz w:val="31"/>
          <w:szCs w:val="31"/>
        </w:rPr>
        <w:t>件 1</w:t>
      </w:r>
    </w:p>
    <w:p>
      <w:pPr>
        <w:spacing w:before="185" w:line="186" w:lineRule="auto"/>
        <w:ind w:firstLine="1050" w:firstLineChars="500"/>
        <w:rPr>
          <w:rFonts w:eastAsiaTheme="minorEastAsia"/>
          <w:color w:val="auto"/>
        </w:rPr>
      </w:pPr>
    </w:p>
    <w:p>
      <w:pPr>
        <w:spacing w:before="185" w:line="186" w:lineRule="auto"/>
        <w:ind w:firstLine="1065" w:firstLineChars="250"/>
        <w:rPr>
          <w:rFonts w:ascii="微软雅黑" w:hAnsi="微软雅黑" w:eastAsia="微软雅黑" w:cs="微软雅黑"/>
          <w:color w:val="auto"/>
          <w:sz w:val="43"/>
          <w:szCs w:val="43"/>
        </w:rPr>
      </w:pPr>
      <w:r>
        <w:rPr>
          <w:rFonts w:ascii="微软雅黑" w:hAnsi="微软雅黑" w:eastAsia="微软雅黑" w:cs="微软雅黑"/>
          <w:color w:val="auto"/>
          <w:spacing w:val="-2"/>
          <w:sz w:val="43"/>
          <w:szCs w:val="43"/>
        </w:rPr>
        <w:t>送教上门、</w:t>
      </w:r>
      <w:r>
        <w:rPr>
          <w:rFonts w:ascii="微软雅黑" w:hAnsi="微软雅黑" w:eastAsia="微软雅黑" w:cs="微软雅黑"/>
          <w:color w:val="auto"/>
          <w:spacing w:val="-1"/>
          <w:sz w:val="43"/>
          <w:szCs w:val="43"/>
        </w:rPr>
        <w:t>随班就读优秀案例申报表</w:t>
      </w:r>
    </w:p>
    <w:p>
      <w:pPr>
        <w:rPr>
          <w:color w:val="auto"/>
        </w:rPr>
      </w:pPr>
    </w:p>
    <w:p>
      <w:pPr>
        <w:rPr>
          <w:color w:val="auto"/>
        </w:rPr>
      </w:pPr>
    </w:p>
    <w:p>
      <w:pPr>
        <w:spacing w:line="18" w:lineRule="exact"/>
        <w:rPr>
          <w:color w:val="auto"/>
        </w:rPr>
      </w:pPr>
    </w:p>
    <w:tbl>
      <w:tblPr>
        <w:tblStyle w:val="7"/>
        <w:tblW w:w="9038" w:type="dxa"/>
        <w:tblInd w:w="1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46"/>
        <w:gridCol w:w="1404"/>
        <w:gridCol w:w="2020"/>
        <w:gridCol w:w="664"/>
        <w:gridCol w:w="202"/>
        <w:gridCol w:w="1410"/>
        <w:gridCol w:w="229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 w:hRule="atLeast"/>
        </w:trPr>
        <w:tc>
          <w:tcPr>
            <w:tcW w:w="1046" w:type="dxa"/>
            <w:vAlign w:val="center"/>
          </w:tcPr>
          <w:p>
            <w:pPr>
              <w:spacing w:before="233" w:line="229" w:lineRule="auto"/>
              <w:ind w:left="240"/>
              <w:jc w:val="both"/>
              <w:rPr>
                <w:rFonts w:ascii="楷体" w:hAnsi="楷体" w:eastAsia="楷体" w:cs="楷体"/>
                <w:color w:val="auto"/>
                <w:sz w:val="28"/>
                <w:szCs w:val="28"/>
              </w:rPr>
            </w:pPr>
            <w:r>
              <w:rPr>
                <w:rFonts w:ascii="楷体" w:hAnsi="楷体" w:eastAsia="楷体" w:cs="楷体"/>
                <w:color w:val="auto"/>
                <w:spacing w:val="-2"/>
                <w:sz w:val="28"/>
                <w:szCs w:val="28"/>
              </w:rPr>
              <w:t>姓</w:t>
            </w:r>
            <w:r>
              <w:rPr>
                <w:rFonts w:ascii="楷体" w:hAnsi="楷体" w:eastAsia="楷体" w:cs="楷体"/>
                <w:color w:val="auto"/>
                <w:spacing w:val="-1"/>
                <w:sz w:val="28"/>
                <w:szCs w:val="28"/>
              </w:rPr>
              <w:t>名</w:t>
            </w:r>
          </w:p>
        </w:tc>
        <w:tc>
          <w:tcPr>
            <w:tcW w:w="3424" w:type="dxa"/>
            <w:gridSpan w:val="2"/>
            <w:vAlign w:val="center"/>
          </w:tcPr>
          <w:p>
            <w:pPr>
              <w:jc w:val="both"/>
              <w:rPr>
                <w:rFonts w:eastAsia="宋体"/>
                <w:color w:val="auto"/>
                <w:sz w:val="28"/>
                <w:szCs w:val="28"/>
              </w:rPr>
            </w:pPr>
          </w:p>
          <w:p>
            <w:pPr>
              <w:ind w:firstLine="1036" w:firstLineChars="344"/>
              <w:jc w:val="both"/>
              <w:rPr>
                <w:rFonts w:hint="eastAsia" w:eastAsia="宋体"/>
                <w:color w:val="auto"/>
                <w:sz w:val="28"/>
                <w:szCs w:val="28"/>
                <w:lang w:eastAsia="zh-CN"/>
              </w:rPr>
            </w:pPr>
            <w:r>
              <w:rPr>
                <w:rFonts w:hint="eastAsia" w:ascii="楷体" w:hAnsi="楷体" w:eastAsia="楷体" w:cs="楷体"/>
                <w:b/>
                <w:bCs/>
                <w:color w:val="auto"/>
                <w:sz w:val="30"/>
                <w:szCs w:val="30"/>
                <w:lang w:val="en-US" w:eastAsia="zh-CN"/>
              </w:rPr>
              <w:t>亓保芳</w:t>
            </w:r>
          </w:p>
        </w:tc>
        <w:tc>
          <w:tcPr>
            <w:tcW w:w="866" w:type="dxa"/>
            <w:gridSpan w:val="2"/>
            <w:vAlign w:val="center"/>
          </w:tcPr>
          <w:p>
            <w:pPr>
              <w:spacing w:before="233" w:line="218" w:lineRule="auto"/>
              <w:ind w:left="152"/>
              <w:jc w:val="both"/>
              <w:rPr>
                <w:rFonts w:ascii="楷体" w:hAnsi="楷体" w:eastAsia="楷体" w:cs="楷体"/>
                <w:color w:val="auto"/>
                <w:sz w:val="28"/>
                <w:szCs w:val="28"/>
              </w:rPr>
            </w:pPr>
            <w:r>
              <w:rPr>
                <w:rFonts w:ascii="楷体" w:hAnsi="楷体" w:eastAsia="楷体" w:cs="楷体"/>
                <w:color w:val="auto"/>
                <w:spacing w:val="-2"/>
                <w:sz w:val="28"/>
                <w:szCs w:val="28"/>
              </w:rPr>
              <w:t>单位</w:t>
            </w:r>
          </w:p>
        </w:tc>
        <w:tc>
          <w:tcPr>
            <w:tcW w:w="3702" w:type="dxa"/>
            <w:gridSpan w:val="2"/>
            <w:vAlign w:val="center"/>
          </w:tcPr>
          <w:p>
            <w:pPr>
              <w:jc w:val="both"/>
              <w:rPr>
                <w:rFonts w:eastAsia="宋体"/>
                <w:color w:val="auto"/>
                <w:sz w:val="28"/>
                <w:szCs w:val="28"/>
              </w:rPr>
            </w:pPr>
          </w:p>
          <w:p>
            <w:pPr>
              <w:ind w:firstLine="295" w:firstLineChars="98"/>
              <w:jc w:val="both"/>
              <w:rPr>
                <w:rFonts w:hint="eastAsia" w:eastAsia="宋体"/>
                <w:color w:val="auto"/>
                <w:sz w:val="28"/>
                <w:szCs w:val="28"/>
                <w:lang w:eastAsia="zh-CN"/>
              </w:rPr>
            </w:pPr>
            <w:r>
              <w:rPr>
                <w:rFonts w:hint="eastAsia" w:ascii="楷体" w:hAnsi="楷体" w:eastAsia="楷体" w:cs="楷体"/>
                <w:b/>
                <w:bCs/>
                <w:color w:val="auto"/>
                <w:sz w:val="30"/>
                <w:szCs w:val="30"/>
                <w:lang w:val="en-US" w:eastAsia="zh-CN"/>
              </w:rPr>
              <w:t>枣庄市教育科学研究院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 w:hRule="atLeast"/>
        </w:trPr>
        <w:tc>
          <w:tcPr>
            <w:tcW w:w="2450" w:type="dxa"/>
            <w:gridSpan w:val="2"/>
            <w:vAlign w:val="center"/>
          </w:tcPr>
          <w:p>
            <w:pPr>
              <w:spacing w:before="229" w:line="221" w:lineRule="auto"/>
              <w:ind w:left="663"/>
              <w:jc w:val="both"/>
              <w:rPr>
                <w:rFonts w:ascii="楷体" w:hAnsi="楷体" w:eastAsia="楷体" w:cs="楷体"/>
                <w:color w:val="auto"/>
                <w:sz w:val="28"/>
                <w:szCs w:val="28"/>
              </w:rPr>
            </w:pPr>
            <w:r>
              <w:rPr>
                <w:rFonts w:ascii="楷体" w:hAnsi="楷体" w:eastAsia="楷体" w:cs="楷体"/>
                <w:color w:val="auto"/>
                <w:spacing w:val="-2"/>
                <w:sz w:val="28"/>
                <w:szCs w:val="28"/>
              </w:rPr>
              <w:t>案</w:t>
            </w:r>
            <w:r>
              <w:rPr>
                <w:rFonts w:ascii="楷体" w:hAnsi="楷体" w:eastAsia="楷体" w:cs="楷体"/>
                <w:color w:val="auto"/>
                <w:spacing w:val="-1"/>
                <w:sz w:val="28"/>
                <w:szCs w:val="28"/>
              </w:rPr>
              <w:t>例名称</w:t>
            </w:r>
          </w:p>
        </w:tc>
        <w:tc>
          <w:tcPr>
            <w:tcW w:w="6588" w:type="dxa"/>
            <w:gridSpan w:val="5"/>
            <w:vAlign w:val="center"/>
          </w:tcPr>
          <w:p>
            <w:pPr>
              <w:jc w:val="both"/>
              <w:rPr>
                <w:rFonts w:eastAsia="宋体"/>
                <w:color w:val="auto"/>
                <w:sz w:val="28"/>
                <w:szCs w:val="28"/>
              </w:rPr>
            </w:pPr>
          </w:p>
          <w:p>
            <w:pPr>
              <w:ind w:firstLine="602" w:firstLineChars="200"/>
              <w:jc w:val="both"/>
              <w:rPr>
                <w:rFonts w:eastAsia="宋体"/>
                <w:color w:val="auto"/>
                <w:sz w:val="28"/>
                <w:szCs w:val="28"/>
              </w:rPr>
            </w:pPr>
            <w:r>
              <w:rPr>
                <w:rFonts w:hint="eastAsia" w:ascii="楷体" w:hAnsi="楷体" w:eastAsia="楷体" w:cs="楷体"/>
                <w:b/>
                <w:bCs/>
                <w:sz w:val="30"/>
                <w:szCs w:val="30"/>
                <w:lang w:val="en-US" w:eastAsia="zh-CN"/>
              </w:rPr>
              <w:t>枣庄市送教上门工作探索与实践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 w:hRule="atLeast"/>
        </w:trPr>
        <w:tc>
          <w:tcPr>
            <w:tcW w:w="2450" w:type="dxa"/>
            <w:gridSpan w:val="2"/>
            <w:vAlign w:val="center"/>
          </w:tcPr>
          <w:p>
            <w:pPr>
              <w:spacing w:before="230" w:line="220" w:lineRule="auto"/>
              <w:ind w:left="556"/>
              <w:jc w:val="both"/>
              <w:rPr>
                <w:rFonts w:ascii="楷体" w:hAnsi="楷体" w:eastAsia="楷体" w:cs="楷体"/>
                <w:color w:val="auto"/>
                <w:sz w:val="28"/>
                <w:szCs w:val="28"/>
              </w:rPr>
            </w:pPr>
            <w:r>
              <w:rPr>
                <w:rFonts w:ascii="楷体" w:hAnsi="楷体" w:eastAsia="楷体" w:cs="楷体"/>
                <w:color w:val="auto"/>
                <w:spacing w:val="-10"/>
                <w:sz w:val="28"/>
                <w:szCs w:val="28"/>
              </w:rPr>
              <w:t>申</w:t>
            </w:r>
            <w:r>
              <w:rPr>
                <w:rFonts w:ascii="楷体" w:hAnsi="楷体" w:eastAsia="楷体" w:cs="楷体"/>
                <w:color w:val="auto"/>
                <w:spacing w:val="-7"/>
                <w:sz w:val="28"/>
                <w:szCs w:val="28"/>
              </w:rPr>
              <w:t>报人职称</w:t>
            </w:r>
          </w:p>
        </w:tc>
        <w:tc>
          <w:tcPr>
            <w:tcW w:w="2684" w:type="dxa"/>
            <w:gridSpan w:val="2"/>
            <w:vAlign w:val="center"/>
          </w:tcPr>
          <w:p>
            <w:pPr>
              <w:jc w:val="both"/>
              <w:rPr>
                <w:rFonts w:eastAsia="宋体"/>
                <w:color w:val="auto"/>
                <w:sz w:val="28"/>
                <w:szCs w:val="28"/>
              </w:rPr>
            </w:pPr>
          </w:p>
          <w:p>
            <w:pPr>
              <w:ind w:firstLine="301" w:firstLineChars="100"/>
              <w:jc w:val="both"/>
              <w:rPr>
                <w:rFonts w:eastAsia="宋体"/>
                <w:color w:val="auto"/>
                <w:sz w:val="28"/>
                <w:szCs w:val="28"/>
              </w:rPr>
            </w:pPr>
            <w:r>
              <w:rPr>
                <w:rFonts w:hint="eastAsia" w:ascii="楷体" w:hAnsi="楷体" w:eastAsia="楷体" w:cs="楷体"/>
                <w:b/>
                <w:bCs/>
                <w:color w:val="auto"/>
                <w:sz w:val="30"/>
                <w:szCs w:val="30"/>
              </w:rPr>
              <w:t>中学高级教师</w:t>
            </w:r>
          </w:p>
        </w:tc>
        <w:tc>
          <w:tcPr>
            <w:tcW w:w="1612" w:type="dxa"/>
            <w:gridSpan w:val="2"/>
            <w:vAlign w:val="center"/>
          </w:tcPr>
          <w:p>
            <w:pPr>
              <w:spacing w:before="229" w:line="216" w:lineRule="auto"/>
              <w:ind w:left="111"/>
              <w:jc w:val="both"/>
              <w:rPr>
                <w:rFonts w:ascii="楷体" w:hAnsi="楷体" w:eastAsia="楷体" w:cs="楷体"/>
                <w:color w:val="auto"/>
                <w:sz w:val="28"/>
                <w:szCs w:val="28"/>
              </w:rPr>
            </w:pPr>
            <w:r>
              <w:rPr>
                <w:rFonts w:ascii="楷体" w:hAnsi="楷体" w:eastAsia="楷体" w:cs="楷体"/>
                <w:color w:val="auto"/>
                <w:spacing w:val="-1"/>
                <w:sz w:val="28"/>
                <w:szCs w:val="28"/>
              </w:rPr>
              <w:t>联系</w:t>
            </w:r>
            <w:r>
              <w:rPr>
                <w:rFonts w:ascii="楷体" w:hAnsi="楷体" w:eastAsia="楷体" w:cs="楷体"/>
                <w:color w:val="auto"/>
                <w:sz w:val="28"/>
                <w:szCs w:val="28"/>
              </w:rPr>
              <w:t>电话</w:t>
            </w:r>
          </w:p>
        </w:tc>
        <w:tc>
          <w:tcPr>
            <w:tcW w:w="2292" w:type="dxa"/>
            <w:vAlign w:val="center"/>
          </w:tcPr>
          <w:p>
            <w:pPr>
              <w:jc w:val="both"/>
              <w:rPr>
                <w:rFonts w:eastAsia="宋体"/>
                <w:color w:val="auto"/>
                <w:sz w:val="28"/>
                <w:szCs w:val="28"/>
              </w:rPr>
            </w:pPr>
          </w:p>
          <w:p>
            <w:pPr>
              <w:ind w:firstLine="301" w:firstLineChars="100"/>
              <w:jc w:val="both"/>
              <w:rPr>
                <w:rFonts w:hint="default" w:eastAsia="宋体"/>
                <w:color w:val="auto"/>
                <w:sz w:val="28"/>
                <w:szCs w:val="28"/>
                <w:lang w:val="en-US" w:eastAsia="zh-CN"/>
              </w:rPr>
            </w:pPr>
            <w:r>
              <w:rPr>
                <w:rFonts w:hint="eastAsia" w:ascii="楷体" w:hAnsi="楷体" w:eastAsia="楷体" w:cs="楷体"/>
                <w:b/>
                <w:bCs/>
                <w:color w:val="auto"/>
                <w:sz w:val="30"/>
                <w:szCs w:val="30"/>
                <w:lang w:val="en-US" w:eastAsia="zh-CN"/>
              </w:rPr>
              <w:t>13963286811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14" w:hRule="atLeast"/>
        </w:trPr>
        <w:tc>
          <w:tcPr>
            <w:tcW w:w="9038" w:type="dxa"/>
            <w:gridSpan w:val="7"/>
          </w:tcPr>
          <w:p>
            <w:pPr>
              <w:keepNext w:val="0"/>
              <w:keepLines w:val="0"/>
              <w:pageBreakBefore w:val="0"/>
              <w:numPr>
                <w:ilvl w:val="0"/>
                <w:numId w:val="0"/>
              </w:numPr>
              <w:kinsoku/>
              <w:wordWrap/>
              <w:topLinePunct w:val="0"/>
              <w:autoSpaceDE w:val="0"/>
              <w:autoSpaceDN w:val="0"/>
              <w:bidi w:val="0"/>
              <w:adjustRightInd w:val="0"/>
              <w:spacing w:line="500" w:lineRule="exact"/>
              <w:ind w:firstLine="600" w:firstLineChars="200"/>
              <w:textAlignment w:val="auto"/>
              <w:rPr>
                <w:rFonts w:hint="default" w:ascii="仿宋_GB2312" w:hAnsi="仿宋_GB2312" w:eastAsia="仿宋_GB2312" w:cs="仿宋_GB2312"/>
                <w:color w:val="000000"/>
                <w:kern w:val="0"/>
                <w:sz w:val="30"/>
                <w:szCs w:val="30"/>
                <w:lang w:val="en-US" w:eastAsia="zh-CN"/>
              </w:rPr>
            </w:pPr>
            <w:r>
              <w:rPr>
                <w:rFonts w:hint="eastAsia" w:ascii="仿宋_GB2312" w:hAnsi="仿宋_GB2312" w:eastAsia="仿宋_GB2312" w:cs="仿宋_GB2312"/>
                <w:color w:val="000000"/>
                <w:kern w:val="0"/>
                <w:sz w:val="30"/>
                <w:szCs w:val="30"/>
                <w:lang w:val="en-US" w:eastAsia="zh-CN"/>
              </w:rPr>
              <w:t>残疾儿童少年是社会的最弱势群体，实施“送教上门”是兜底做好重度残疾儿童少年（以下简称重残儿童）接受义务教育的主要形式和途径，是提高残疾儿童少年义务教育普及率的重要举措，也是尊重生命、体现教育公平的一项重要工作。枣庄市</w:t>
            </w:r>
            <w:r>
              <w:rPr>
                <w:rFonts w:hint="default" w:ascii="仿宋_GB2312" w:hAnsi="仿宋_GB2312" w:eastAsia="仿宋_GB2312" w:cs="仿宋_GB2312"/>
                <w:color w:val="000000"/>
                <w:kern w:val="0"/>
                <w:sz w:val="30"/>
                <w:szCs w:val="30"/>
                <w:lang w:val="en-US" w:eastAsia="zh-CN"/>
              </w:rPr>
              <w:t>认真贯彻落实《中华人民共和国义务教育法》《中华人民共和国残疾人保障法》《残疾人教育条例》</w:t>
            </w:r>
            <w:r>
              <w:rPr>
                <w:rFonts w:hint="eastAsia" w:ascii="仿宋_GB2312" w:hAnsi="仿宋_GB2312" w:eastAsia="仿宋_GB2312" w:cs="仿宋_GB2312"/>
                <w:color w:val="000000"/>
                <w:kern w:val="0"/>
                <w:sz w:val="30"/>
                <w:szCs w:val="30"/>
                <w:lang w:val="en-US" w:eastAsia="zh-CN"/>
              </w:rPr>
              <w:t>等法律法规</w:t>
            </w:r>
            <w:r>
              <w:rPr>
                <w:rFonts w:hint="default" w:ascii="仿宋_GB2312" w:hAnsi="仿宋_GB2312" w:eastAsia="仿宋_GB2312" w:cs="仿宋_GB2312"/>
                <w:color w:val="000000"/>
                <w:kern w:val="0"/>
                <w:sz w:val="30"/>
                <w:szCs w:val="30"/>
                <w:lang w:val="en-US" w:eastAsia="zh-CN"/>
              </w:rPr>
              <w:t>，</w:t>
            </w:r>
            <w:r>
              <w:rPr>
                <w:rFonts w:hint="eastAsia" w:ascii="仿宋_GB2312" w:hAnsi="仿宋_GB2312" w:eastAsia="仿宋_GB2312" w:cs="仿宋_GB2312"/>
                <w:color w:val="000000"/>
                <w:kern w:val="0"/>
                <w:sz w:val="30"/>
                <w:szCs w:val="30"/>
                <w:lang w:val="en-US" w:eastAsia="zh-CN"/>
              </w:rPr>
              <w:t>以办好人民满意的教育为目标，</w:t>
            </w:r>
            <w:r>
              <w:rPr>
                <w:rFonts w:hint="default" w:ascii="仿宋_GB2312" w:hAnsi="仿宋_GB2312" w:eastAsia="仿宋_GB2312" w:cs="仿宋_GB2312"/>
                <w:color w:val="000000"/>
                <w:kern w:val="0"/>
                <w:sz w:val="30"/>
                <w:szCs w:val="30"/>
                <w:lang w:val="en-US" w:eastAsia="zh-CN"/>
              </w:rPr>
              <w:t>加</w:t>
            </w:r>
            <w:r>
              <w:rPr>
                <w:rFonts w:hint="eastAsia" w:ascii="仿宋_GB2312" w:hAnsi="仿宋_GB2312" w:eastAsia="仿宋_GB2312" w:cs="仿宋_GB2312"/>
                <w:color w:val="000000"/>
                <w:kern w:val="0"/>
                <w:sz w:val="30"/>
                <w:szCs w:val="30"/>
                <w:lang w:val="en-US" w:eastAsia="zh-CN"/>
              </w:rPr>
              <w:t>大</w:t>
            </w:r>
            <w:r>
              <w:rPr>
                <w:rFonts w:hint="default" w:ascii="仿宋_GB2312" w:hAnsi="仿宋_GB2312" w:eastAsia="仿宋_GB2312" w:cs="仿宋_GB2312"/>
                <w:color w:val="000000"/>
                <w:kern w:val="0"/>
                <w:sz w:val="30"/>
                <w:szCs w:val="30"/>
                <w:lang w:val="en-US" w:eastAsia="zh-CN"/>
              </w:rPr>
              <w:t>义务教育控辍保学</w:t>
            </w:r>
            <w:r>
              <w:rPr>
                <w:rFonts w:hint="eastAsia" w:ascii="仿宋_GB2312" w:hAnsi="仿宋_GB2312" w:eastAsia="仿宋_GB2312" w:cs="仿宋_GB2312"/>
                <w:color w:val="000000"/>
                <w:kern w:val="0"/>
                <w:sz w:val="30"/>
                <w:szCs w:val="30"/>
                <w:lang w:val="en-US" w:eastAsia="zh-CN"/>
              </w:rPr>
              <w:t>力度，实施全纳教育，全面开展重残儿童送教上门服务，积极探索康教融合之路。</w:t>
            </w:r>
          </w:p>
          <w:p>
            <w:pPr>
              <w:keepNext w:val="0"/>
              <w:keepLines w:val="0"/>
              <w:pageBreakBefore w:val="0"/>
              <w:numPr>
                <w:ilvl w:val="0"/>
                <w:numId w:val="0"/>
              </w:numPr>
              <w:kinsoku/>
              <w:wordWrap/>
              <w:topLinePunct w:val="0"/>
              <w:autoSpaceDE w:val="0"/>
              <w:autoSpaceDN w:val="0"/>
              <w:bidi w:val="0"/>
              <w:adjustRightInd w:val="0"/>
              <w:spacing w:line="500" w:lineRule="exact"/>
              <w:ind w:firstLine="600" w:firstLineChars="200"/>
              <w:textAlignment w:val="auto"/>
              <w:rPr>
                <w:rFonts w:hint="eastAsia" w:ascii="黑体" w:hAnsi="黑体" w:eastAsia="黑体" w:cs="黑体"/>
                <w:color w:val="000000"/>
                <w:kern w:val="0"/>
                <w:sz w:val="30"/>
                <w:szCs w:val="30"/>
                <w:lang w:val="en-US" w:eastAsia="zh-CN"/>
              </w:rPr>
            </w:pPr>
            <w:r>
              <w:rPr>
                <w:rFonts w:hint="eastAsia" w:ascii="黑体" w:hAnsi="黑体" w:eastAsia="黑体" w:cs="黑体"/>
                <w:color w:val="000000"/>
                <w:kern w:val="0"/>
                <w:sz w:val="30"/>
                <w:szCs w:val="30"/>
                <w:lang w:val="en-US" w:eastAsia="zh-CN"/>
              </w:rPr>
              <w:t>一、基本情况</w:t>
            </w:r>
          </w:p>
          <w:p>
            <w:pPr>
              <w:keepNext w:val="0"/>
              <w:keepLines w:val="0"/>
              <w:pageBreakBefore w:val="0"/>
              <w:numPr>
                <w:ilvl w:val="0"/>
                <w:numId w:val="0"/>
              </w:numPr>
              <w:kinsoku/>
              <w:wordWrap/>
              <w:topLinePunct w:val="0"/>
              <w:autoSpaceDE w:val="0"/>
              <w:autoSpaceDN w:val="0"/>
              <w:bidi w:val="0"/>
              <w:adjustRightInd w:val="0"/>
              <w:spacing w:line="500" w:lineRule="exact"/>
              <w:ind w:firstLine="600" w:firstLineChars="200"/>
              <w:textAlignment w:val="auto"/>
              <w:rPr>
                <w:rFonts w:hint="default" w:ascii="仿宋_GB2312" w:hAnsi="仿宋_GB2312" w:eastAsia="仿宋_GB2312" w:cs="仿宋_GB2312"/>
                <w:color w:val="000000"/>
                <w:kern w:val="0"/>
                <w:sz w:val="30"/>
                <w:szCs w:val="30"/>
                <w:lang w:val="en-US" w:eastAsia="zh-CN"/>
              </w:rPr>
            </w:pPr>
            <w:r>
              <w:rPr>
                <w:rFonts w:hint="eastAsia" w:ascii="仿宋_GB2312" w:hAnsi="仿宋_GB2312" w:eastAsia="仿宋_GB2312" w:cs="仿宋_GB2312"/>
                <w:color w:val="000000"/>
                <w:kern w:val="0"/>
                <w:sz w:val="30"/>
                <w:szCs w:val="30"/>
                <w:lang w:val="en-US" w:eastAsia="zh-CN"/>
              </w:rPr>
              <w:t>枣庄市现有特殊教育学校6处，特殊教育部2处。全市义务教育段适龄在读残疾儿童少年2702人，其中在特教学校就读521人，随班就读1613人，实施送教上门568人，送教上门学生人数占在读残疾学生的21%。</w:t>
            </w:r>
          </w:p>
          <w:p>
            <w:pPr>
              <w:keepNext w:val="0"/>
              <w:keepLines w:val="0"/>
              <w:pageBreakBefore w:val="0"/>
              <w:numPr>
                <w:ilvl w:val="0"/>
                <w:numId w:val="0"/>
              </w:numPr>
              <w:kinsoku/>
              <w:wordWrap/>
              <w:topLinePunct w:val="0"/>
              <w:autoSpaceDE w:val="0"/>
              <w:autoSpaceDN w:val="0"/>
              <w:bidi w:val="0"/>
              <w:adjustRightInd w:val="0"/>
              <w:spacing w:line="500" w:lineRule="exact"/>
              <w:ind w:firstLine="600" w:firstLineChars="200"/>
              <w:textAlignment w:val="auto"/>
              <w:rPr>
                <w:rFonts w:hint="default" w:ascii="仿宋_GB2312" w:hAnsi="仿宋_GB2312" w:eastAsia="仿宋_GB2312" w:cs="仿宋_GB2312"/>
                <w:color w:val="000000"/>
                <w:kern w:val="0"/>
                <w:sz w:val="30"/>
                <w:szCs w:val="30"/>
                <w:lang w:val="en-US" w:eastAsia="zh-CN"/>
              </w:rPr>
            </w:pPr>
            <w:r>
              <w:rPr>
                <w:rFonts w:hint="eastAsia" w:ascii="黑体" w:hAnsi="黑体" w:eastAsia="黑体" w:cs="黑体"/>
                <w:color w:val="000000"/>
                <w:kern w:val="0"/>
                <w:sz w:val="30"/>
                <w:szCs w:val="30"/>
                <w:lang w:val="en-US" w:eastAsia="zh-CN"/>
              </w:rPr>
              <w:t>二、提高政治站位，依法履职尽责</w:t>
            </w:r>
          </w:p>
          <w:p>
            <w:pPr>
              <w:keepNext w:val="0"/>
              <w:keepLines w:val="0"/>
              <w:pageBreakBefore w:val="0"/>
              <w:numPr>
                <w:ilvl w:val="0"/>
                <w:numId w:val="0"/>
              </w:numPr>
              <w:kinsoku/>
              <w:wordWrap/>
              <w:topLinePunct w:val="0"/>
              <w:autoSpaceDE w:val="0"/>
              <w:autoSpaceDN w:val="0"/>
              <w:bidi w:val="0"/>
              <w:adjustRightInd w:val="0"/>
              <w:spacing w:line="500" w:lineRule="exact"/>
              <w:ind w:firstLine="602" w:firstLineChars="200"/>
              <w:textAlignment w:val="auto"/>
              <w:rPr>
                <w:rFonts w:hint="eastAsia" w:ascii="仿宋_GB2312" w:hAnsi="仿宋_GB2312" w:eastAsia="仿宋_GB2312" w:cs="仿宋_GB2312"/>
                <w:color w:val="000000"/>
                <w:kern w:val="0"/>
                <w:sz w:val="30"/>
                <w:szCs w:val="30"/>
                <w:lang w:val="en-US" w:eastAsia="zh-CN"/>
              </w:rPr>
            </w:pPr>
            <w:r>
              <w:rPr>
                <w:rFonts w:hint="eastAsia" w:ascii="楷体" w:hAnsi="楷体" w:eastAsia="楷体" w:cs="楷体"/>
                <w:b/>
                <w:bCs/>
                <w:color w:val="000000"/>
                <w:kern w:val="0"/>
                <w:sz w:val="30"/>
                <w:szCs w:val="30"/>
                <w:lang w:val="en-US" w:eastAsia="zh-CN"/>
              </w:rPr>
              <w:t>1、建立健全体制机制。</w:t>
            </w:r>
            <w:r>
              <w:rPr>
                <w:rFonts w:hint="eastAsia" w:ascii="仿宋_GB2312" w:hAnsi="仿宋_GB2312" w:eastAsia="仿宋_GB2312" w:cs="仿宋_GB2312"/>
                <w:color w:val="000000"/>
                <w:kern w:val="0"/>
                <w:sz w:val="30"/>
                <w:szCs w:val="30"/>
                <w:lang w:val="en-US" w:eastAsia="zh-CN"/>
              </w:rPr>
              <w:t>将控辍保学、保障适龄残疾儿童少年入学，列入市委市政府、市教育局年度重点任务，纳入市政府对区（市）政府履行教育职责、乡村振兴、义务教育满意度测评等考核评价体系，控辍保学的重点就是保障残疾儿童少年不失学不辍学，对控辍保学工作开展不力、适龄残疾儿童少年入学率达不到规定要求的区</w:t>
            </w:r>
            <w:bookmarkStart w:id="0" w:name="_GoBack"/>
            <w:bookmarkEnd w:id="0"/>
            <w:r>
              <w:rPr>
                <w:rFonts w:hint="eastAsia" w:ascii="仿宋_GB2312" w:hAnsi="仿宋_GB2312" w:eastAsia="仿宋_GB2312" w:cs="仿宋_GB2312"/>
                <w:color w:val="000000"/>
                <w:kern w:val="0"/>
                <w:sz w:val="30"/>
                <w:szCs w:val="30"/>
                <w:lang w:val="en-US" w:eastAsia="zh-CN"/>
              </w:rPr>
              <w:t>（市）给予全市通报批评。</w:t>
            </w:r>
          </w:p>
          <w:p>
            <w:pPr>
              <w:keepNext w:val="0"/>
              <w:keepLines w:val="0"/>
              <w:pageBreakBefore w:val="0"/>
              <w:numPr>
                <w:ilvl w:val="0"/>
                <w:numId w:val="0"/>
              </w:numPr>
              <w:kinsoku/>
              <w:wordWrap/>
              <w:topLinePunct w:val="0"/>
              <w:autoSpaceDE w:val="0"/>
              <w:autoSpaceDN w:val="0"/>
              <w:bidi w:val="0"/>
              <w:adjustRightInd w:val="0"/>
              <w:spacing w:line="500" w:lineRule="exact"/>
              <w:ind w:firstLine="602" w:firstLineChars="200"/>
              <w:textAlignment w:val="auto"/>
              <w:rPr>
                <w:rFonts w:hint="eastAsia" w:ascii="仿宋_GB2312" w:hAnsi="仿宋_GB2312" w:eastAsia="仿宋_GB2312" w:cs="仿宋_GB2312"/>
                <w:color w:val="000000"/>
                <w:kern w:val="0"/>
                <w:sz w:val="30"/>
                <w:szCs w:val="30"/>
                <w:lang w:val="en-US" w:eastAsia="zh-CN"/>
              </w:rPr>
            </w:pPr>
            <w:r>
              <w:rPr>
                <w:rFonts w:hint="eastAsia" w:ascii="楷体" w:hAnsi="楷体" w:eastAsia="楷体" w:cs="楷体"/>
                <w:b/>
                <w:bCs/>
                <w:color w:val="000000"/>
                <w:kern w:val="0"/>
                <w:sz w:val="30"/>
                <w:szCs w:val="30"/>
                <w:lang w:val="en-US" w:eastAsia="zh-CN"/>
              </w:rPr>
              <w:t>2、制定政策依据。</w:t>
            </w:r>
            <w:r>
              <w:rPr>
                <w:rFonts w:hint="eastAsia" w:ascii="仿宋_GB2312" w:hAnsi="仿宋_GB2312" w:eastAsia="仿宋_GB2312" w:cs="仿宋_GB2312"/>
                <w:color w:val="000000"/>
                <w:kern w:val="0"/>
                <w:sz w:val="30"/>
                <w:szCs w:val="30"/>
                <w:lang w:val="en-US" w:eastAsia="zh-CN"/>
              </w:rPr>
              <w:t>下发了《枣庄市教育局等8部门关于印发&lt;第二期特殊教育提升计划（2018—2020年）&gt;的通知》《枣庄市教育局等5部门关于坚决扎实做好义务教育控辍保学工作的通知》《枣庄市教育局办公室关于印发决战决胜教育脱贫攻坚重点任务分工的通知》《枣庄市教育局关于印发全市教育脱贫“回头看”解决“义务教育有保障”实施方案的通知》《枣庄市教育局关于做好全市适龄残疾儿童少年入学情况监测和管理工作的通知》《枣庄市教育局等4部门关于做好残疾儿童少年招生入学工作的通知》《枣庄市教育局关于上报特殊教育儿童接受义务教育情况的通知》《枣庄市教育局等3部门关于做好未入学适龄残疾儿童少年摸底排查和教育安置工作的通知》《枣庄市教育局等4部门关于成立枣庄市残疾人教育专家委员会的通知》等，这些政策的出台，为落实好残疾儿童少年受教育工作提供了政策依据。</w:t>
            </w:r>
          </w:p>
          <w:p>
            <w:pPr>
              <w:keepNext w:val="0"/>
              <w:keepLines w:val="0"/>
              <w:pageBreakBefore w:val="0"/>
              <w:numPr>
                <w:ilvl w:val="0"/>
                <w:numId w:val="0"/>
              </w:numPr>
              <w:kinsoku/>
              <w:wordWrap/>
              <w:topLinePunct w:val="0"/>
              <w:autoSpaceDE w:val="0"/>
              <w:autoSpaceDN w:val="0"/>
              <w:bidi w:val="0"/>
              <w:adjustRightInd w:val="0"/>
              <w:spacing w:line="500" w:lineRule="exact"/>
              <w:ind w:firstLine="602" w:firstLineChars="200"/>
              <w:textAlignment w:val="auto"/>
              <w:rPr>
                <w:rFonts w:hint="eastAsia" w:ascii="仿宋_GB2312" w:hAnsi="仿宋_GB2312" w:eastAsia="仿宋_GB2312" w:cs="仿宋_GB2312"/>
                <w:color w:val="000000"/>
                <w:kern w:val="0"/>
                <w:sz w:val="30"/>
                <w:szCs w:val="30"/>
                <w:lang w:val="en-US" w:eastAsia="zh-CN"/>
              </w:rPr>
            </w:pPr>
            <w:r>
              <w:rPr>
                <w:rFonts w:hint="eastAsia" w:ascii="楷体" w:hAnsi="楷体" w:eastAsia="楷体" w:cs="楷体"/>
                <w:b/>
                <w:bCs/>
                <w:color w:val="000000"/>
                <w:kern w:val="0"/>
                <w:sz w:val="30"/>
                <w:szCs w:val="30"/>
                <w:lang w:val="en-US" w:eastAsia="zh-CN"/>
              </w:rPr>
              <w:t>3、推进政策措施落地落实。</w:t>
            </w:r>
            <w:r>
              <w:rPr>
                <w:rFonts w:hint="eastAsia" w:ascii="仿宋_GB2312" w:hAnsi="仿宋_GB2312" w:eastAsia="仿宋_GB2312" w:cs="仿宋_GB2312"/>
                <w:color w:val="000000"/>
                <w:kern w:val="0"/>
                <w:sz w:val="30"/>
                <w:szCs w:val="30"/>
                <w:lang w:val="en-US" w:eastAsia="zh-CN"/>
              </w:rPr>
              <w:t>市教育局成立控辍保学“清零”工作专班，局长任组长，分管局长任副组长，人事科、规财科、基教科协调配合，按照“项目化、时间表、责任人”的落实机制抓好工作推进；市教育局多次召开教育扶贫、控辍保学推进会、现场会；多次安排副县级领导带队到区（市）督查残疾儿童入学情况；联合新闻媒体，对区（市）教体局长进行控辍保学“清零”专访，向社会公开做出承诺。</w:t>
            </w:r>
          </w:p>
          <w:p>
            <w:pPr>
              <w:keepNext w:val="0"/>
              <w:keepLines w:val="0"/>
              <w:pageBreakBefore w:val="0"/>
              <w:numPr>
                <w:ilvl w:val="0"/>
                <w:numId w:val="0"/>
              </w:numPr>
              <w:kinsoku/>
              <w:wordWrap/>
              <w:topLinePunct w:val="0"/>
              <w:autoSpaceDE w:val="0"/>
              <w:autoSpaceDN w:val="0"/>
              <w:bidi w:val="0"/>
              <w:adjustRightInd w:val="0"/>
              <w:spacing w:line="500" w:lineRule="exact"/>
              <w:ind w:firstLine="602" w:firstLineChars="200"/>
              <w:textAlignment w:val="auto"/>
              <w:rPr>
                <w:rFonts w:hint="default" w:ascii="仿宋_GB2312" w:hAnsi="仿宋_GB2312" w:eastAsia="仿宋_GB2312" w:cs="仿宋_GB2312"/>
                <w:color w:val="000000"/>
                <w:kern w:val="0"/>
                <w:sz w:val="30"/>
                <w:szCs w:val="30"/>
                <w:lang w:val="en-US" w:eastAsia="zh-CN"/>
              </w:rPr>
            </w:pPr>
            <w:r>
              <w:rPr>
                <w:rFonts w:hint="eastAsia" w:ascii="楷体" w:hAnsi="楷体" w:eastAsia="楷体" w:cs="楷体"/>
                <w:b/>
                <w:bCs/>
                <w:color w:val="000000"/>
                <w:kern w:val="0"/>
                <w:sz w:val="30"/>
                <w:szCs w:val="30"/>
                <w:lang w:val="en-US" w:eastAsia="zh-CN"/>
              </w:rPr>
              <w:t>4、加强部门联动。</w:t>
            </w:r>
            <w:r>
              <w:rPr>
                <w:rFonts w:hint="eastAsia" w:ascii="仿宋_GB2312" w:hAnsi="仿宋_GB2312" w:eastAsia="仿宋_GB2312" w:cs="仿宋_GB2312"/>
                <w:color w:val="000000"/>
                <w:kern w:val="0"/>
                <w:sz w:val="30"/>
                <w:szCs w:val="30"/>
                <w:lang w:val="en-US" w:eastAsia="zh-CN"/>
              </w:rPr>
              <w:t>教育部门牵头、联合残联、卫健、民政等部门相继成立市、区（市）残疾人教育专家委员会，明确职责分工，全面开展残疾儿童少年受教育能力评估认定工作，提出个性化的教育、康复、入学安置建议，向残疾学生家长提交安置意见，统一工作步调，形成工作合力。</w:t>
            </w:r>
          </w:p>
          <w:p>
            <w:pPr>
              <w:keepNext w:val="0"/>
              <w:keepLines w:val="0"/>
              <w:pageBreakBefore w:val="0"/>
              <w:numPr>
                <w:ilvl w:val="0"/>
                <w:numId w:val="0"/>
              </w:numPr>
              <w:kinsoku/>
              <w:wordWrap/>
              <w:topLinePunct w:val="0"/>
              <w:autoSpaceDE w:val="0"/>
              <w:autoSpaceDN w:val="0"/>
              <w:bidi w:val="0"/>
              <w:adjustRightInd w:val="0"/>
              <w:spacing w:line="500" w:lineRule="exact"/>
              <w:ind w:firstLine="602" w:firstLineChars="200"/>
              <w:textAlignment w:val="auto"/>
              <w:rPr>
                <w:rFonts w:hint="eastAsia" w:ascii="黑体" w:hAnsi="黑体" w:eastAsia="黑体" w:cs="黑体"/>
                <w:b/>
                <w:bCs/>
                <w:color w:val="000000"/>
                <w:kern w:val="0"/>
                <w:sz w:val="30"/>
                <w:szCs w:val="30"/>
                <w:lang w:val="en-US" w:eastAsia="zh-CN"/>
              </w:rPr>
            </w:pPr>
            <w:r>
              <w:rPr>
                <w:rFonts w:hint="eastAsia" w:ascii="黑体" w:hAnsi="黑体" w:eastAsia="黑体" w:cs="黑体"/>
                <w:b/>
                <w:bCs/>
                <w:color w:val="000000"/>
                <w:kern w:val="0"/>
                <w:sz w:val="30"/>
                <w:szCs w:val="30"/>
                <w:lang w:val="en-US" w:eastAsia="zh-CN"/>
              </w:rPr>
              <w:t>二、精准施策，分类安置</w:t>
            </w:r>
          </w:p>
          <w:p>
            <w:pPr>
              <w:keepNext w:val="0"/>
              <w:keepLines w:val="0"/>
              <w:pageBreakBefore w:val="0"/>
              <w:numPr>
                <w:ilvl w:val="0"/>
                <w:numId w:val="0"/>
              </w:numPr>
              <w:kinsoku/>
              <w:wordWrap/>
              <w:topLinePunct w:val="0"/>
              <w:autoSpaceDE w:val="0"/>
              <w:autoSpaceDN w:val="0"/>
              <w:bidi w:val="0"/>
              <w:adjustRightInd w:val="0"/>
              <w:spacing w:line="500" w:lineRule="exact"/>
              <w:ind w:firstLine="602" w:firstLineChars="200"/>
              <w:textAlignment w:val="auto"/>
              <w:rPr>
                <w:rFonts w:hint="eastAsia" w:ascii="仿宋_GB2312" w:hAnsi="仿宋_GB2312" w:eastAsia="仿宋_GB2312" w:cs="仿宋_GB2312"/>
                <w:color w:val="000000"/>
                <w:kern w:val="0"/>
                <w:sz w:val="30"/>
                <w:szCs w:val="30"/>
                <w:lang w:val="en-US" w:eastAsia="zh-CN"/>
              </w:rPr>
            </w:pPr>
            <w:r>
              <w:rPr>
                <w:rFonts w:hint="eastAsia" w:ascii="楷体" w:hAnsi="楷体" w:eastAsia="楷体" w:cs="楷体"/>
                <w:b/>
                <w:bCs/>
                <w:color w:val="000000"/>
                <w:kern w:val="0"/>
                <w:sz w:val="30"/>
                <w:szCs w:val="30"/>
                <w:lang w:val="en-US" w:eastAsia="zh-CN"/>
              </w:rPr>
              <w:t>1、精准核查。</w:t>
            </w:r>
            <w:r>
              <w:rPr>
                <w:rFonts w:hint="eastAsia" w:ascii="仿宋_GB2312" w:hAnsi="仿宋_GB2312" w:eastAsia="仿宋_GB2312" w:cs="仿宋_GB2312"/>
                <w:color w:val="000000"/>
                <w:kern w:val="0"/>
                <w:sz w:val="30"/>
                <w:szCs w:val="30"/>
                <w:lang w:val="en-US" w:eastAsia="zh-CN"/>
              </w:rPr>
              <w:t>市教育局积极协调残联、卫健、民政、公安、大数据等部门全面核查适龄残疾儿童少年数据，形成义务教育入学安置的基础性数据并在招生开始前下发给学校，实现义务教育招生入学数据共享。结合市教育局开展的“万师访万家”活动，以学校为单位，学校教师分工包片，入户家访，电话沟通，反复与家长联系，苦口婆心做工作，逐一核实适龄残疾儿童少年信息，保存过程性材料。</w:t>
            </w:r>
          </w:p>
          <w:p>
            <w:pPr>
              <w:keepNext w:val="0"/>
              <w:keepLines w:val="0"/>
              <w:pageBreakBefore w:val="0"/>
              <w:numPr>
                <w:ilvl w:val="0"/>
                <w:numId w:val="0"/>
              </w:numPr>
              <w:kinsoku/>
              <w:wordWrap/>
              <w:topLinePunct w:val="0"/>
              <w:autoSpaceDE w:val="0"/>
              <w:autoSpaceDN w:val="0"/>
              <w:bidi w:val="0"/>
              <w:adjustRightInd w:val="0"/>
              <w:spacing w:line="500" w:lineRule="exact"/>
              <w:ind w:firstLine="602" w:firstLineChars="200"/>
              <w:textAlignment w:val="auto"/>
              <w:rPr>
                <w:rFonts w:hint="default" w:ascii="仿宋_GB2312" w:hAnsi="仿宋_GB2312" w:eastAsia="仿宋_GB2312" w:cs="仿宋_GB2312"/>
                <w:color w:val="000000"/>
                <w:kern w:val="0"/>
                <w:sz w:val="30"/>
                <w:szCs w:val="30"/>
                <w:lang w:val="en-US" w:eastAsia="zh-CN"/>
              </w:rPr>
            </w:pPr>
            <w:r>
              <w:rPr>
                <w:rFonts w:hint="eastAsia" w:ascii="楷体" w:hAnsi="楷体" w:eastAsia="楷体" w:cs="楷体"/>
                <w:b/>
                <w:bCs/>
                <w:color w:val="000000"/>
                <w:kern w:val="0"/>
                <w:sz w:val="30"/>
                <w:szCs w:val="30"/>
                <w:lang w:val="en-US" w:eastAsia="zh-CN"/>
              </w:rPr>
              <w:t>2、科学评估。</w:t>
            </w:r>
            <w:r>
              <w:rPr>
                <w:rFonts w:hint="eastAsia" w:ascii="仿宋_GB2312" w:hAnsi="仿宋_GB2312" w:eastAsia="仿宋_GB2312" w:cs="仿宋_GB2312"/>
                <w:color w:val="000000"/>
                <w:kern w:val="0"/>
                <w:sz w:val="30"/>
                <w:szCs w:val="30"/>
                <w:lang w:val="en-US" w:eastAsia="zh-CN"/>
              </w:rPr>
              <w:t>发挥残疾人教育专家委员会的作用，组织专家对所有适龄残疾儿童少年接受义务教育的方式进行全面评估认定，提出教育安置建议。对残疾程度重、不能到校就读的重残儿童专门建立台账，确保“一个不能少”。</w:t>
            </w:r>
          </w:p>
          <w:p>
            <w:pPr>
              <w:keepNext w:val="0"/>
              <w:keepLines w:val="0"/>
              <w:pageBreakBefore w:val="0"/>
              <w:numPr>
                <w:ilvl w:val="0"/>
                <w:numId w:val="0"/>
              </w:numPr>
              <w:kinsoku/>
              <w:wordWrap/>
              <w:topLinePunct w:val="0"/>
              <w:autoSpaceDE w:val="0"/>
              <w:autoSpaceDN w:val="0"/>
              <w:bidi w:val="0"/>
              <w:adjustRightInd w:val="0"/>
              <w:spacing w:line="500" w:lineRule="exact"/>
              <w:ind w:firstLine="602" w:firstLineChars="200"/>
              <w:textAlignment w:val="auto"/>
              <w:rPr>
                <w:rFonts w:hint="eastAsia" w:ascii="仿宋_GB2312" w:hAnsi="仿宋_GB2312" w:eastAsia="仿宋_GB2312" w:cs="仿宋_GB2312"/>
                <w:color w:val="000000"/>
                <w:kern w:val="0"/>
                <w:sz w:val="30"/>
                <w:szCs w:val="30"/>
                <w:lang w:val="en-US" w:eastAsia="zh-CN"/>
              </w:rPr>
            </w:pPr>
            <w:r>
              <w:rPr>
                <w:rFonts w:hint="eastAsia" w:ascii="楷体" w:hAnsi="楷体" w:eastAsia="楷体" w:cs="楷体"/>
                <w:b/>
                <w:bCs/>
                <w:color w:val="000000"/>
                <w:kern w:val="0"/>
                <w:sz w:val="30"/>
                <w:szCs w:val="30"/>
                <w:lang w:val="en-US" w:eastAsia="zh-CN"/>
              </w:rPr>
              <w:t>3、分类安置。</w:t>
            </w:r>
            <w:r>
              <w:rPr>
                <w:rFonts w:hint="eastAsia" w:ascii="仿宋_GB2312" w:hAnsi="仿宋_GB2312" w:eastAsia="仿宋_GB2312" w:cs="仿宋_GB2312"/>
                <w:color w:val="000000"/>
                <w:kern w:val="0"/>
                <w:sz w:val="30"/>
                <w:szCs w:val="30"/>
                <w:lang w:val="en-US" w:eastAsia="zh-CN"/>
              </w:rPr>
              <w:t>完善以普通学校随班就读为主体、特殊教育学校为骨干、送教上门和远程教育为补充的办学体系。按照“一人一案、分类安置”原则，在综合考虑适龄重残儿童家长的教育意愿、残疾人教育专家委员会的入学安置建议以及区域特殊教育资源（包括普通教育学校和特殊教育学校）的基础上，确定重残儿童的送教学校，做到“零拒绝”“全覆盖”。所有接受送教上门服务的残疾儿童全部纳入学籍系统，学籍由承担送教上门服务的学校负责建立，教育部门统一管理。</w:t>
            </w:r>
          </w:p>
          <w:p>
            <w:pPr>
              <w:keepNext w:val="0"/>
              <w:keepLines w:val="0"/>
              <w:pageBreakBefore w:val="0"/>
              <w:numPr>
                <w:ilvl w:val="0"/>
                <w:numId w:val="0"/>
              </w:numPr>
              <w:kinsoku/>
              <w:wordWrap/>
              <w:topLinePunct w:val="0"/>
              <w:autoSpaceDE w:val="0"/>
              <w:autoSpaceDN w:val="0"/>
              <w:bidi w:val="0"/>
              <w:adjustRightInd w:val="0"/>
              <w:spacing w:line="500" w:lineRule="exact"/>
              <w:ind w:firstLine="600" w:firstLineChars="200"/>
              <w:textAlignment w:val="auto"/>
              <w:rPr>
                <w:rFonts w:hint="default" w:ascii="仿宋_GB2312" w:hAnsi="仿宋_GB2312" w:eastAsia="仿宋_GB2312" w:cs="仿宋_GB2312"/>
                <w:b w:val="0"/>
                <w:bCs w:val="0"/>
                <w:color w:val="000000"/>
                <w:kern w:val="0"/>
                <w:sz w:val="30"/>
                <w:szCs w:val="30"/>
                <w:lang w:val="en-US" w:eastAsia="zh-CN"/>
              </w:rPr>
            </w:pPr>
            <w:r>
              <w:rPr>
                <w:rFonts w:hint="eastAsia" w:ascii="黑体" w:hAnsi="黑体" w:eastAsia="黑体" w:cs="黑体"/>
                <w:b w:val="0"/>
                <w:bCs w:val="0"/>
                <w:color w:val="000000"/>
                <w:kern w:val="0"/>
                <w:sz w:val="30"/>
                <w:szCs w:val="30"/>
                <w:lang w:val="en-US" w:eastAsia="zh-CN"/>
              </w:rPr>
              <w:t>三、康教融合、规范实施送教上门服务</w:t>
            </w:r>
          </w:p>
          <w:p>
            <w:pPr>
              <w:keepNext w:val="0"/>
              <w:keepLines w:val="0"/>
              <w:pageBreakBefore w:val="0"/>
              <w:numPr>
                <w:ilvl w:val="0"/>
                <w:numId w:val="0"/>
              </w:numPr>
              <w:kinsoku/>
              <w:wordWrap/>
              <w:topLinePunct w:val="0"/>
              <w:autoSpaceDE w:val="0"/>
              <w:autoSpaceDN w:val="0"/>
              <w:bidi w:val="0"/>
              <w:adjustRightInd w:val="0"/>
              <w:spacing w:line="500" w:lineRule="exact"/>
              <w:ind w:firstLine="602" w:firstLineChars="200"/>
              <w:textAlignment w:val="auto"/>
              <w:rPr>
                <w:rFonts w:hint="eastAsia" w:ascii="仿宋_GB2312" w:hAnsi="仿宋_GB2312" w:eastAsia="仿宋_GB2312" w:cs="仿宋_GB2312"/>
                <w:color w:val="000000"/>
                <w:kern w:val="0"/>
                <w:sz w:val="30"/>
                <w:szCs w:val="30"/>
                <w:lang w:val="en-US" w:eastAsia="zh-CN"/>
              </w:rPr>
            </w:pPr>
            <w:r>
              <w:rPr>
                <w:rFonts w:hint="eastAsia" w:ascii="楷体" w:hAnsi="楷体" w:eastAsia="楷体" w:cs="楷体"/>
                <w:b/>
                <w:bCs/>
                <w:color w:val="000000"/>
                <w:kern w:val="0"/>
                <w:sz w:val="30"/>
                <w:szCs w:val="30"/>
                <w:lang w:val="en-US" w:eastAsia="zh-CN"/>
              </w:rPr>
              <w:t>1、送教制度规范化。</w:t>
            </w:r>
            <w:r>
              <w:rPr>
                <w:rFonts w:hint="eastAsia" w:ascii="仿宋_GB2312" w:hAnsi="仿宋_GB2312" w:eastAsia="仿宋_GB2312" w:cs="仿宋_GB2312"/>
                <w:color w:val="000000"/>
                <w:kern w:val="0"/>
                <w:sz w:val="30"/>
                <w:szCs w:val="30"/>
                <w:lang w:val="en-US" w:eastAsia="zh-CN"/>
              </w:rPr>
              <w:t>规范送教课时，对不具备入校学习能力而居家生活的重残儿童，安排特教学校或普通中小学教师实施送教上门。</w:t>
            </w:r>
            <w:r>
              <w:rPr>
                <w:rFonts w:hint="default" w:ascii="仿宋_GB2312" w:hAnsi="仿宋_GB2312" w:eastAsia="仿宋_GB2312" w:cs="仿宋_GB2312"/>
                <w:color w:val="000000"/>
                <w:kern w:val="0"/>
                <w:sz w:val="30"/>
                <w:szCs w:val="30"/>
                <w:lang w:val="en-US" w:eastAsia="zh-CN"/>
              </w:rPr>
              <w:t>一般每月不少于 2 次，每次不少于 3 课时；在</w:t>
            </w:r>
            <w:r>
              <w:rPr>
                <w:rFonts w:hint="eastAsia" w:ascii="仿宋_GB2312" w:hAnsi="仿宋_GB2312" w:eastAsia="仿宋_GB2312" w:cs="仿宋_GB2312"/>
                <w:color w:val="000000"/>
                <w:kern w:val="0"/>
                <w:sz w:val="30"/>
                <w:szCs w:val="30"/>
                <w:lang w:val="en-US" w:eastAsia="zh-CN"/>
              </w:rPr>
              <w:t>医院等</w:t>
            </w:r>
            <w:r>
              <w:rPr>
                <w:rFonts w:hint="default" w:ascii="仿宋_GB2312" w:hAnsi="仿宋_GB2312" w:eastAsia="仿宋_GB2312" w:cs="仿宋_GB2312"/>
                <w:color w:val="000000"/>
                <w:kern w:val="0"/>
                <w:sz w:val="30"/>
                <w:szCs w:val="30"/>
                <w:lang w:val="en-US" w:eastAsia="zh-CN"/>
              </w:rPr>
              <w:t>不具备办学条件的专业康复机构接受康复救治的，由</w:t>
            </w:r>
            <w:r>
              <w:rPr>
                <w:rFonts w:hint="eastAsia" w:ascii="仿宋_GB2312" w:hAnsi="仿宋_GB2312" w:eastAsia="仿宋_GB2312" w:cs="仿宋_GB2312"/>
                <w:color w:val="000000"/>
                <w:kern w:val="0"/>
                <w:sz w:val="30"/>
                <w:szCs w:val="30"/>
                <w:lang w:val="en-US" w:eastAsia="zh-CN"/>
              </w:rPr>
              <w:t>特教学校或普通中小学教师开展</w:t>
            </w:r>
            <w:r>
              <w:rPr>
                <w:rFonts w:hint="default" w:ascii="仿宋_GB2312" w:hAnsi="仿宋_GB2312" w:eastAsia="仿宋_GB2312" w:cs="仿宋_GB2312"/>
                <w:color w:val="000000"/>
                <w:kern w:val="0"/>
                <w:sz w:val="30"/>
                <w:szCs w:val="30"/>
                <w:lang w:val="en-US" w:eastAsia="zh-CN"/>
              </w:rPr>
              <w:t>集中送教指导，一般每周不少于2 次，每次不少于 3 课时，每年送教</w:t>
            </w:r>
            <w:r>
              <w:rPr>
                <w:rFonts w:hint="eastAsia" w:ascii="仿宋_GB2312" w:hAnsi="仿宋_GB2312" w:eastAsia="仿宋_GB2312" w:cs="仿宋_GB2312"/>
                <w:color w:val="000000"/>
                <w:kern w:val="0"/>
                <w:sz w:val="30"/>
                <w:szCs w:val="30"/>
                <w:lang w:val="en-US" w:eastAsia="zh-CN"/>
              </w:rPr>
              <w:t>要求在</w:t>
            </w:r>
            <w:r>
              <w:rPr>
                <w:rFonts w:hint="default" w:ascii="仿宋_GB2312" w:hAnsi="仿宋_GB2312" w:eastAsia="仿宋_GB2312" w:cs="仿宋_GB2312"/>
                <w:color w:val="000000"/>
                <w:kern w:val="0"/>
                <w:sz w:val="30"/>
                <w:szCs w:val="30"/>
                <w:lang w:val="en-US" w:eastAsia="zh-CN"/>
              </w:rPr>
              <w:t>216 课时以上。</w:t>
            </w:r>
            <w:r>
              <w:rPr>
                <w:rFonts w:hint="eastAsia" w:ascii="仿宋_GB2312" w:hAnsi="仿宋_GB2312" w:eastAsia="仿宋_GB2312" w:cs="仿宋_GB2312"/>
                <w:color w:val="000000"/>
                <w:kern w:val="0"/>
                <w:sz w:val="30"/>
                <w:szCs w:val="30"/>
                <w:lang w:val="en-US" w:eastAsia="zh-CN"/>
              </w:rPr>
              <w:t>校长是送教上门工作的第一责任人，送教上门必须纳入学校教育教学的整体计划，统筹考虑送教上门教师的工作量，纳入绩效考核。枣庄市特教学校编写了《送教上门工作手册》《送教上门工作管理制度》《送教上门考核细则》等，把送教工作纳入学校教师课时量考核管理体系。</w:t>
            </w:r>
          </w:p>
          <w:p>
            <w:pPr>
              <w:keepNext w:val="0"/>
              <w:keepLines w:val="0"/>
              <w:pageBreakBefore w:val="0"/>
              <w:numPr>
                <w:ilvl w:val="0"/>
                <w:numId w:val="0"/>
              </w:numPr>
              <w:kinsoku/>
              <w:wordWrap/>
              <w:topLinePunct w:val="0"/>
              <w:autoSpaceDE w:val="0"/>
              <w:autoSpaceDN w:val="0"/>
              <w:bidi w:val="0"/>
              <w:adjustRightInd w:val="0"/>
              <w:spacing w:line="500" w:lineRule="exact"/>
              <w:ind w:firstLine="602" w:firstLineChars="200"/>
              <w:textAlignment w:val="auto"/>
              <w:rPr>
                <w:rFonts w:hint="eastAsia" w:ascii="仿宋_GB2312" w:hAnsi="仿宋_GB2312" w:eastAsia="仿宋_GB2312" w:cs="仿宋_GB2312"/>
                <w:color w:val="000000"/>
                <w:kern w:val="0"/>
                <w:sz w:val="30"/>
                <w:szCs w:val="30"/>
                <w:lang w:val="en-US" w:eastAsia="zh-CN"/>
              </w:rPr>
            </w:pPr>
            <w:r>
              <w:rPr>
                <w:rFonts w:hint="eastAsia" w:ascii="楷体" w:hAnsi="楷体" w:eastAsia="楷体" w:cs="楷体"/>
                <w:b/>
                <w:bCs/>
                <w:color w:val="000000"/>
                <w:kern w:val="0"/>
                <w:sz w:val="30"/>
                <w:szCs w:val="30"/>
                <w:lang w:val="en-US" w:eastAsia="zh-CN"/>
              </w:rPr>
              <w:t>2、送教课程生活化。</w:t>
            </w:r>
            <w:r>
              <w:rPr>
                <w:rFonts w:hint="eastAsia" w:ascii="仿宋_GB2312" w:hAnsi="仿宋_GB2312" w:eastAsia="仿宋_GB2312" w:cs="仿宋_GB2312"/>
                <w:color w:val="000000"/>
                <w:kern w:val="0"/>
                <w:sz w:val="30"/>
                <w:szCs w:val="30"/>
                <w:lang w:val="en-US" w:eastAsia="zh-CN"/>
              </w:rPr>
              <w:t>对于智力正常的重残儿童（肢体残疾等），学校应按照国家制定的特殊教育课程计划实施送教上门教学活动；但送教上门的学生多数是重度智力残疾、多重残疾等重残儿童，学校应以学生生活为核心，以学生生活中的需要和问题为出发点，遵循学生生活的逻辑及其身心发展特点，围绕学生个人生活、家庭生活与社会生活构建课程体系。对于长期居家的残疾学生来说，教学的终极目标就是提高他们的生活质量。送教工作应着力于构建生活化课堂，尽量选取与学生生活相关的内容进行教学，这样，学生既可以增长知识，又学到生存、生活的技能和本领，提高了生活自理能力。</w:t>
            </w:r>
          </w:p>
          <w:p>
            <w:pPr>
              <w:keepNext w:val="0"/>
              <w:keepLines w:val="0"/>
              <w:pageBreakBefore w:val="0"/>
              <w:numPr>
                <w:ilvl w:val="0"/>
                <w:numId w:val="0"/>
              </w:numPr>
              <w:kinsoku/>
              <w:wordWrap/>
              <w:topLinePunct w:val="0"/>
              <w:autoSpaceDE w:val="0"/>
              <w:autoSpaceDN w:val="0"/>
              <w:bidi w:val="0"/>
              <w:adjustRightInd w:val="0"/>
              <w:spacing w:line="500" w:lineRule="exact"/>
              <w:ind w:firstLine="602" w:firstLineChars="200"/>
              <w:textAlignment w:val="auto"/>
              <w:rPr>
                <w:rFonts w:hint="eastAsia" w:ascii="仿宋_GB2312" w:hAnsi="仿宋_GB2312" w:eastAsia="仿宋_GB2312" w:cs="仿宋_GB2312"/>
                <w:color w:val="000000"/>
                <w:kern w:val="0"/>
                <w:sz w:val="30"/>
                <w:szCs w:val="30"/>
                <w:lang w:val="en-US" w:eastAsia="zh-CN"/>
              </w:rPr>
            </w:pPr>
            <w:r>
              <w:rPr>
                <w:rFonts w:hint="eastAsia" w:ascii="楷体" w:hAnsi="楷体" w:eastAsia="楷体" w:cs="楷体"/>
                <w:b/>
                <w:bCs/>
                <w:color w:val="000000"/>
                <w:kern w:val="0"/>
                <w:sz w:val="30"/>
                <w:szCs w:val="30"/>
                <w:lang w:val="en-US" w:eastAsia="zh-CN"/>
              </w:rPr>
              <w:t xml:space="preserve"> 3、送教服务差异化。</w:t>
            </w:r>
            <w:r>
              <w:rPr>
                <w:rFonts w:hint="eastAsia" w:ascii="仿宋_GB2312" w:hAnsi="仿宋_GB2312" w:eastAsia="仿宋_GB2312" w:cs="仿宋_GB2312"/>
                <w:color w:val="000000"/>
                <w:kern w:val="0"/>
                <w:sz w:val="30"/>
                <w:szCs w:val="30"/>
                <w:lang w:val="en-US" w:eastAsia="zh-CN"/>
              </w:rPr>
              <w:t>提高特殊教育的针对性和时效性，针对残疾儿童的个体化差异，学校在个别化教育方案制定过程中，评估环节至关重要，送教教师要在充分观察、了解、沟通、评估的基础上，制定恰当的个别化教育计划，确保教学内容有章可循，教学目标落到实处，学生的学习更容易取得效果。</w:t>
            </w:r>
          </w:p>
          <w:p>
            <w:pPr>
              <w:keepNext w:val="0"/>
              <w:keepLines w:val="0"/>
              <w:pageBreakBefore w:val="0"/>
              <w:numPr>
                <w:ilvl w:val="0"/>
                <w:numId w:val="0"/>
              </w:numPr>
              <w:kinsoku/>
              <w:wordWrap/>
              <w:topLinePunct w:val="0"/>
              <w:autoSpaceDE w:val="0"/>
              <w:autoSpaceDN w:val="0"/>
              <w:bidi w:val="0"/>
              <w:adjustRightInd w:val="0"/>
              <w:spacing w:line="500" w:lineRule="exact"/>
              <w:ind w:firstLine="602" w:firstLineChars="200"/>
              <w:textAlignment w:val="auto"/>
              <w:rPr>
                <w:rFonts w:hint="eastAsia" w:ascii="仿宋_GB2312" w:hAnsi="仿宋_GB2312" w:eastAsia="仿宋_GB2312" w:cs="仿宋_GB2312"/>
                <w:color w:val="000000"/>
                <w:kern w:val="0"/>
                <w:sz w:val="30"/>
                <w:szCs w:val="30"/>
                <w:lang w:val="en-US" w:eastAsia="zh-CN"/>
              </w:rPr>
            </w:pPr>
            <w:r>
              <w:rPr>
                <w:rFonts w:hint="eastAsia" w:ascii="楷体" w:hAnsi="楷体" w:eastAsia="楷体" w:cs="楷体"/>
                <w:b/>
                <w:bCs/>
                <w:color w:val="000000"/>
                <w:kern w:val="0"/>
                <w:sz w:val="30"/>
                <w:szCs w:val="30"/>
                <w:lang w:val="en-US" w:eastAsia="zh-CN"/>
              </w:rPr>
              <w:t>4、送教教师专业化。</w:t>
            </w:r>
            <w:r>
              <w:rPr>
                <w:rFonts w:hint="default" w:ascii="仿宋_GB2312" w:hAnsi="仿宋_GB2312" w:eastAsia="仿宋_GB2312" w:cs="仿宋_GB2312"/>
                <w:color w:val="000000"/>
                <w:kern w:val="0"/>
                <w:sz w:val="30"/>
                <w:szCs w:val="30"/>
                <w:lang w:val="en-US" w:eastAsia="zh-CN"/>
              </w:rPr>
              <w:t>选派业务能力强、有爱心和责任心的优秀教师承担</w:t>
            </w:r>
            <w:r>
              <w:rPr>
                <w:rFonts w:hint="eastAsia" w:ascii="仿宋_GB2312" w:hAnsi="仿宋_GB2312" w:eastAsia="仿宋_GB2312" w:cs="仿宋_GB2312"/>
                <w:color w:val="000000"/>
                <w:kern w:val="0"/>
                <w:sz w:val="30"/>
                <w:szCs w:val="30"/>
                <w:lang w:val="en-US" w:eastAsia="zh-CN"/>
              </w:rPr>
              <w:t>送教</w:t>
            </w:r>
            <w:r>
              <w:rPr>
                <w:rFonts w:hint="default" w:ascii="仿宋_GB2312" w:hAnsi="仿宋_GB2312" w:eastAsia="仿宋_GB2312" w:cs="仿宋_GB2312"/>
                <w:color w:val="000000"/>
                <w:kern w:val="0"/>
                <w:sz w:val="30"/>
                <w:szCs w:val="30"/>
                <w:lang w:val="en-US" w:eastAsia="zh-CN"/>
              </w:rPr>
              <w:t>上门服务工作</w:t>
            </w:r>
            <w:r>
              <w:rPr>
                <w:rFonts w:hint="eastAsia" w:ascii="仿宋_GB2312" w:hAnsi="仿宋_GB2312" w:eastAsia="仿宋_GB2312" w:cs="仿宋_GB2312"/>
                <w:color w:val="000000"/>
                <w:kern w:val="0"/>
                <w:sz w:val="30"/>
                <w:szCs w:val="30"/>
                <w:lang w:val="en-US" w:eastAsia="zh-CN"/>
              </w:rPr>
              <w:t>。举办全市首届特殊教育教师基本功大赛，举办全市首届残疾儿童康复救助专业人员技能大赛，以赛促训、进一步提升了我市特殊教育教师、康复救助专业人员的教学技能和专业素养。</w:t>
            </w:r>
            <w:r>
              <w:rPr>
                <w:rFonts w:hint="default" w:ascii="仿宋_GB2312" w:hAnsi="仿宋_GB2312" w:eastAsia="仿宋_GB2312" w:cs="仿宋_GB2312"/>
                <w:color w:val="000000"/>
                <w:kern w:val="0"/>
                <w:sz w:val="30"/>
                <w:szCs w:val="30"/>
                <w:lang w:val="en-US" w:eastAsia="zh-CN"/>
              </w:rPr>
              <w:t>加大</w:t>
            </w:r>
            <w:r>
              <w:rPr>
                <w:rFonts w:hint="eastAsia" w:ascii="仿宋_GB2312" w:hAnsi="仿宋_GB2312" w:eastAsia="仿宋_GB2312" w:cs="仿宋_GB2312"/>
                <w:color w:val="000000"/>
                <w:kern w:val="0"/>
                <w:sz w:val="30"/>
                <w:szCs w:val="30"/>
                <w:lang w:val="en-US" w:eastAsia="zh-CN"/>
              </w:rPr>
              <w:t>送教教师</w:t>
            </w:r>
            <w:r>
              <w:rPr>
                <w:rFonts w:hint="default" w:ascii="仿宋_GB2312" w:hAnsi="仿宋_GB2312" w:eastAsia="仿宋_GB2312" w:cs="仿宋_GB2312"/>
                <w:color w:val="000000"/>
                <w:kern w:val="0"/>
                <w:sz w:val="30"/>
                <w:szCs w:val="30"/>
                <w:lang w:val="en-US" w:eastAsia="zh-CN"/>
              </w:rPr>
              <w:t>培训力度，</w:t>
            </w:r>
            <w:r>
              <w:rPr>
                <w:rFonts w:hint="eastAsia" w:ascii="仿宋_GB2312" w:hAnsi="仿宋_GB2312" w:eastAsia="仿宋_GB2312" w:cs="仿宋_GB2312"/>
                <w:color w:val="000000"/>
                <w:kern w:val="0"/>
                <w:sz w:val="30"/>
                <w:szCs w:val="30"/>
                <w:lang w:val="en-US" w:eastAsia="zh-CN"/>
              </w:rPr>
              <w:t>召开全市送教上门服务工作会议，围绕送教上门的核心问题，即“为什么送”“给谁送”“送什么”“怎么送”“送教档案怎么做”等方面进行培训，全面提高送教上门教师的专业化水平。</w:t>
            </w:r>
          </w:p>
          <w:p>
            <w:pPr>
              <w:keepNext w:val="0"/>
              <w:keepLines w:val="0"/>
              <w:pageBreakBefore w:val="0"/>
              <w:numPr>
                <w:ilvl w:val="0"/>
                <w:numId w:val="0"/>
              </w:numPr>
              <w:kinsoku/>
              <w:wordWrap/>
              <w:topLinePunct w:val="0"/>
              <w:autoSpaceDE w:val="0"/>
              <w:autoSpaceDN w:val="0"/>
              <w:bidi w:val="0"/>
              <w:adjustRightInd w:val="0"/>
              <w:spacing w:line="500" w:lineRule="exact"/>
              <w:ind w:firstLine="602" w:firstLineChars="200"/>
              <w:textAlignment w:val="auto"/>
              <w:rPr>
                <w:rFonts w:hint="default" w:ascii="仿宋_GB2312" w:hAnsi="仿宋_GB2312" w:eastAsia="仿宋_GB2312" w:cs="仿宋_GB2312"/>
                <w:color w:val="000000"/>
                <w:kern w:val="0"/>
                <w:sz w:val="30"/>
                <w:szCs w:val="30"/>
                <w:lang w:val="en-US" w:eastAsia="zh-CN"/>
              </w:rPr>
            </w:pPr>
            <w:r>
              <w:rPr>
                <w:rFonts w:hint="eastAsia" w:ascii="楷体" w:hAnsi="楷体" w:eastAsia="楷体" w:cs="楷体"/>
                <w:b/>
                <w:bCs/>
                <w:color w:val="000000"/>
                <w:kern w:val="0"/>
                <w:sz w:val="30"/>
                <w:szCs w:val="30"/>
                <w:lang w:val="en-US" w:eastAsia="zh-CN"/>
              </w:rPr>
              <w:t>5、送教形式多样化。</w:t>
            </w:r>
            <w:r>
              <w:rPr>
                <w:rFonts w:hint="eastAsia" w:ascii="仿宋_GB2312" w:hAnsi="仿宋_GB2312" w:eastAsia="仿宋_GB2312" w:cs="仿宋_GB2312"/>
                <w:color w:val="000000"/>
                <w:kern w:val="0"/>
                <w:sz w:val="30"/>
                <w:szCs w:val="30"/>
                <w:lang w:val="en-US" w:eastAsia="zh-CN"/>
              </w:rPr>
              <w:t>创新送教形式，实行多点入户送教，集中送教，点面结合送教。对于长期</w:t>
            </w:r>
            <w:r>
              <w:rPr>
                <w:rFonts w:hint="default" w:ascii="仿宋_GB2312" w:hAnsi="仿宋_GB2312" w:eastAsia="仿宋_GB2312" w:cs="仿宋_GB2312"/>
                <w:color w:val="000000"/>
                <w:kern w:val="0"/>
                <w:sz w:val="30"/>
                <w:szCs w:val="30"/>
                <w:lang w:val="en-US" w:eastAsia="zh-CN"/>
              </w:rPr>
              <w:t>在</w:t>
            </w:r>
            <w:r>
              <w:rPr>
                <w:rFonts w:hint="eastAsia" w:ascii="仿宋_GB2312" w:hAnsi="仿宋_GB2312" w:eastAsia="仿宋_GB2312" w:cs="仿宋_GB2312"/>
                <w:color w:val="000000"/>
                <w:kern w:val="0"/>
                <w:sz w:val="30"/>
                <w:szCs w:val="30"/>
                <w:lang w:val="en-US" w:eastAsia="zh-CN"/>
              </w:rPr>
              <w:t>医院等</w:t>
            </w:r>
            <w:r>
              <w:rPr>
                <w:rFonts w:hint="default" w:ascii="仿宋_GB2312" w:hAnsi="仿宋_GB2312" w:eastAsia="仿宋_GB2312" w:cs="仿宋_GB2312"/>
                <w:color w:val="000000"/>
                <w:kern w:val="0"/>
                <w:sz w:val="30"/>
                <w:szCs w:val="30"/>
                <w:lang w:val="en-US" w:eastAsia="zh-CN"/>
              </w:rPr>
              <w:t>不具备办学条件的专业康复机构接受康复救治的</w:t>
            </w:r>
            <w:r>
              <w:rPr>
                <w:rFonts w:hint="eastAsia" w:ascii="仿宋_GB2312" w:hAnsi="仿宋_GB2312" w:eastAsia="仿宋_GB2312" w:cs="仿宋_GB2312"/>
                <w:color w:val="000000"/>
                <w:kern w:val="0"/>
                <w:sz w:val="30"/>
                <w:szCs w:val="30"/>
                <w:lang w:val="en-US" w:eastAsia="zh-CN"/>
              </w:rPr>
              <w:t>残疾儿童，开展联合上门送教服务。滕州市特教中心与滕州市人民医院、滕州市妇幼保健院、滕州市中医院建立共建关系，对存在语言、认知、运动等缺陷、</w:t>
            </w:r>
            <w:r>
              <w:rPr>
                <w:rFonts w:hint="default" w:ascii="仿宋_GB2312" w:hAnsi="仿宋_GB2312" w:eastAsia="仿宋_GB2312" w:cs="仿宋_GB2312"/>
                <w:color w:val="000000"/>
                <w:kern w:val="0"/>
                <w:sz w:val="30"/>
                <w:szCs w:val="30"/>
                <w:lang w:val="en-US" w:eastAsia="zh-CN"/>
              </w:rPr>
              <w:t>长期在</w:t>
            </w:r>
            <w:r>
              <w:rPr>
                <w:rFonts w:hint="eastAsia" w:ascii="仿宋_GB2312" w:hAnsi="仿宋_GB2312" w:eastAsia="仿宋_GB2312" w:cs="仿宋_GB2312"/>
                <w:color w:val="000000"/>
                <w:kern w:val="0"/>
                <w:sz w:val="30"/>
                <w:szCs w:val="30"/>
                <w:lang w:val="en-US" w:eastAsia="zh-CN"/>
              </w:rPr>
              <w:t>医院</w:t>
            </w:r>
            <w:r>
              <w:rPr>
                <w:rFonts w:hint="default" w:ascii="仿宋_GB2312" w:hAnsi="仿宋_GB2312" w:eastAsia="仿宋_GB2312" w:cs="仿宋_GB2312"/>
                <w:color w:val="000000"/>
                <w:kern w:val="0"/>
                <w:sz w:val="30"/>
                <w:szCs w:val="30"/>
                <w:lang w:val="en-US" w:eastAsia="zh-CN"/>
              </w:rPr>
              <w:t>接受康复</w:t>
            </w:r>
            <w:r>
              <w:rPr>
                <w:rFonts w:hint="eastAsia" w:ascii="仿宋_GB2312" w:hAnsi="仿宋_GB2312" w:eastAsia="仿宋_GB2312" w:cs="仿宋_GB2312"/>
                <w:color w:val="000000"/>
                <w:kern w:val="0"/>
                <w:sz w:val="30"/>
                <w:szCs w:val="30"/>
                <w:lang w:val="en-US" w:eastAsia="zh-CN"/>
              </w:rPr>
              <w:t>治疗</w:t>
            </w:r>
            <w:r>
              <w:rPr>
                <w:rFonts w:hint="default" w:ascii="仿宋_GB2312" w:hAnsi="仿宋_GB2312" w:eastAsia="仿宋_GB2312" w:cs="仿宋_GB2312"/>
                <w:color w:val="000000"/>
                <w:kern w:val="0"/>
                <w:sz w:val="30"/>
                <w:szCs w:val="30"/>
                <w:lang w:val="en-US" w:eastAsia="zh-CN"/>
              </w:rPr>
              <w:t>的适龄重残儿童，</w:t>
            </w:r>
            <w:r>
              <w:rPr>
                <w:rFonts w:hint="eastAsia" w:ascii="仿宋_GB2312" w:hAnsi="仿宋_GB2312" w:eastAsia="仿宋_GB2312" w:cs="仿宋_GB2312"/>
                <w:color w:val="000000"/>
                <w:kern w:val="0"/>
                <w:sz w:val="30"/>
                <w:szCs w:val="30"/>
                <w:lang w:val="en-US" w:eastAsia="zh-CN"/>
              </w:rPr>
              <w:t>送教教师到医院</w:t>
            </w:r>
            <w:r>
              <w:rPr>
                <w:rFonts w:hint="default" w:ascii="仿宋_GB2312" w:hAnsi="仿宋_GB2312" w:eastAsia="仿宋_GB2312" w:cs="仿宋_GB2312"/>
                <w:color w:val="000000"/>
                <w:kern w:val="0"/>
                <w:sz w:val="30"/>
                <w:szCs w:val="30"/>
                <w:lang w:val="en-US" w:eastAsia="zh-CN"/>
              </w:rPr>
              <w:t>集中</w:t>
            </w:r>
            <w:r>
              <w:rPr>
                <w:rFonts w:hint="eastAsia" w:ascii="仿宋_GB2312" w:hAnsi="仿宋_GB2312" w:eastAsia="仿宋_GB2312" w:cs="仿宋_GB2312"/>
                <w:color w:val="000000"/>
                <w:kern w:val="0"/>
                <w:sz w:val="30"/>
                <w:szCs w:val="30"/>
                <w:lang w:val="en-US" w:eastAsia="zh-CN"/>
              </w:rPr>
              <w:t>开展</w:t>
            </w:r>
            <w:r>
              <w:rPr>
                <w:rFonts w:hint="default" w:ascii="仿宋_GB2312" w:hAnsi="仿宋_GB2312" w:eastAsia="仿宋_GB2312" w:cs="仿宋_GB2312"/>
                <w:color w:val="000000"/>
                <w:kern w:val="0"/>
                <w:sz w:val="30"/>
                <w:szCs w:val="30"/>
                <w:lang w:val="en-US" w:eastAsia="zh-CN"/>
              </w:rPr>
              <w:t>送教指导</w:t>
            </w:r>
            <w:r>
              <w:rPr>
                <w:rFonts w:hint="eastAsia" w:ascii="仿宋_GB2312" w:hAnsi="仿宋_GB2312" w:eastAsia="仿宋_GB2312" w:cs="仿宋_GB2312"/>
                <w:color w:val="000000"/>
                <w:kern w:val="0"/>
                <w:sz w:val="30"/>
                <w:szCs w:val="30"/>
                <w:lang w:val="en-US" w:eastAsia="zh-CN"/>
              </w:rPr>
              <w:t>，节约了家长来回往返的时间。</w:t>
            </w:r>
          </w:p>
          <w:p>
            <w:pPr>
              <w:keepNext w:val="0"/>
              <w:keepLines w:val="0"/>
              <w:pageBreakBefore w:val="0"/>
              <w:numPr>
                <w:ilvl w:val="0"/>
                <w:numId w:val="0"/>
              </w:numPr>
              <w:kinsoku/>
              <w:wordWrap/>
              <w:topLinePunct w:val="0"/>
              <w:autoSpaceDE w:val="0"/>
              <w:autoSpaceDN w:val="0"/>
              <w:bidi w:val="0"/>
              <w:adjustRightInd w:val="0"/>
              <w:spacing w:line="500" w:lineRule="exact"/>
              <w:ind w:firstLine="600" w:firstLineChars="200"/>
              <w:textAlignment w:val="auto"/>
              <w:rPr>
                <w:rFonts w:hint="eastAsia" w:ascii="黑体" w:hAnsi="黑体" w:eastAsia="黑体" w:cs="黑体"/>
                <w:color w:val="000000"/>
                <w:kern w:val="0"/>
                <w:sz w:val="30"/>
                <w:szCs w:val="30"/>
                <w:lang w:val="en-US" w:eastAsia="zh-CN"/>
              </w:rPr>
            </w:pPr>
            <w:r>
              <w:rPr>
                <w:rFonts w:hint="eastAsia" w:ascii="黑体" w:hAnsi="黑体" w:eastAsia="黑体" w:cs="黑体"/>
                <w:color w:val="000000"/>
                <w:kern w:val="0"/>
                <w:sz w:val="30"/>
                <w:szCs w:val="30"/>
                <w:lang w:val="en-US" w:eastAsia="zh-CN"/>
              </w:rPr>
              <w:t>四、守住初心、砥砺前行</w:t>
            </w:r>
          </w:p>
          <w:p>
            <w:pPr>
              <w:keepNext w:val="0"/>
              <w:keepLines w:val="0"/>
              <w:pageBreakBefore w:val="0"/>
              <w:numPr>
                <w:ilvl w:val="0"/>
                <w:numId w:val="0"/>
              </w:numPr>
              <w:kinsoku/>
              <w:wordWrap/>
              <w:topLinePunct w:val="0"/>
              <w:autoSpaceDE w:val="0"/>
              <w:autoSpaceDN w:val="0"/>
              <w:bidi w:val="0"/>
              <w:adjustRightInd w:val="0"/>
              <w:spacing w:line="500" w:lineRule="exact"/>
              <w:ind w:firstLine="602" w:firstLineChars="200"/>
              <w:textAlignment w:val="auto"/>
              <w:rPr>
                <w:rFonts w:hint="eastAsia" w:ascii="仿宋_GB2312" w:hAnsi="仿宋_GB2312" w:eastAsia="仿宋_GB2312" w:cs="仿宋_GB2312"/>
                <w:color w:val="000000"/>
                <w:kern w:val="0"/>
                <w:sz w:val="30"/>
                <w:szCs w:val="30"/>
                <w:lang w:val="en-US" w:eastAsia="zh-CN"/>
              </w:rPr>
            </w:pPr>
            <w:r>
              <w:rPr>
                <w:rFonts w:hint="eastAsia" w:ascii="楷体" w:hAnsi="楷体" w:eastAsia="楷体" w:cs="楷体"/>
                <w:b/>
                <w:bCs/>
                <w:color w:val="000000"/>
                <w:kern w:val="0"/>
                <w:sz w:val="30"/>
                <w:szCs w:val="30"/>
                <w:lang w:val="en-US" w:eastAsia="zh-CN"/>
              </w:rPr>
              <w:t>1、做亮“送教路上党旗红”品牌。</w:t>
            </w:r>
            <w:r>
              <w:rPr>
                <w:rFonts w:hint="eastAsia" w:ascii="仿宋_GB2312" w:hAnsi="仿宋_GB2312" w:eastAsia="仿宋_GB2312" w:cs="仿宋_GB2312"/>
                <w:color w:val="000000"/>
                <w:kern w:val="0"/>
                <w:sz w:val="30"/>
                <w:szCs w:val="30"/>
                <w:lang w:val="en-US" w:eastAsia="zh-CN"/>
              </w:rPr>
              <w:t xml:space="preserve"> 枣庄市特殊教育学校以创建“送教路上党旗红”党建品牌为载体，不断创新送教模式，把送教上门与精准扶贫相结合，学校送教以“送温暖、送康复、送知识、送培训、送安全”菜单式的“五送”模式，让党旗飘扬在特殊教育的第一线。2019年10 月“山东省特殊教育学校送教上门服务工作研讨会”在枣庄市特殊教育学校召开，学校在研讨会上做了典型发言。2022年8月学校被评为枣庄市中小学“一校一品”党建品牌示范校。</w:t>
            </w:r>
          </w:p>
          <w:p>
            <w:pPr>
              <w:keepNext w:val="0"/>
              <w:keepLines w:val="0"/>
              <w:pageBreakBefore w:val="0"/>
              <w:numPr>
                <w:ilvl w:val="0"/>
                <w:numId w:val="0"/>
              </w:numPr>
              <w:kinsoku/>
              <w:wordWrap/>
              <w:topLinePunct w:val="0"/>
              <w:autoSpaceDE w:val="0"/>
              <w:autoSpaceDN w:val="0"/>
              <w:bidi w:val="0"/>
              <w:adjustRightInd w:val="0"/>
              <w:spacing w:line="500" w:lineRule="exact"/>
              <w:ind w:firstLine="602" w:firstLineChars="200"/>
              <w:textAlignment w:val="auto"/>
              <w:rPr>
                <w:rFonts w:hint="eastAsia" w:ascii="仿宋_GB2312" w:hAnsi="仿宋_GB2312" w:eastAsia="仿宋_GB2312" w:cs="仿宋_GB2312"/>
                <w:color w:val="000000"/>
                <w:kern w:val="0"/>
                <w:sz w:val="30"/>
                <w:szCs w:val="30"/>
                <w:lang w:val="en-US" w:eastAsia="zh-CN"/>
              </w:rPr>
            </w:pPr>
            <w:r>
              <w:rPr>
                <w:rFonts w:hint="eastAsia" w:ascii="楷体" w:hAnsi="楷体" w:eastAsia="楷体" w:cs="楷体"/>
                <w:b/>
                <w:bCs/>
                <w:color w:val="000000"/>
                <w:kern w:val="0"/>
                <w:sz w:val="30"/>
                <w:szCs w:val="30"/>
                <w:lang w:val="en-US" w:eastAsia="zh-CN"/>
              </w:rPr>
              <w:t>2、探索康教融合新模式。</w:t>
            </w:r>
            <w:r>
              <w:rPr>
                <w:rFonts w:hint="eastAsia" w:ascii="仿宋_GB2312" w:hAnsi="仿宋_GB2312" w:eastAsia="仿宋_GB2312" w:cs="仿宋_GB2312"/>
                <w:color w:val="000000"/>
                <w:kern w:val="0"/>
                <w:sz w:val="30"/>
                <w:szCs w:val="30"/>
                <w:lang w:val="en-US" w:eastAsia="zh-CN"/>
              </w:rPr>
              <w:t>充分考虑重残儿童类别的多样性、教育与康复工作的复杂性和</w:t>
            </w:r>
            <w:r>
              <w:rPr>
                <w:rFonts w:hint="default" w:ascii="仿宋_GB2312" w:hAnsi="仿宋_GB2312" w:eastAsia="仿宋_GB2312" w:cs="仿宋_GB2312"/>
                <w:color w:val="000000"/>
                <w:kern w:val="0"/>
                <w:sz w:val="30"/>
                <w:szCs w:val="30"/>
                <w:lang w:val="en-US" w:eastAsia="zh-CN"/>
              </w:rPr>
              <w:t>专业性，</w:t>
            </w:r>
            <w:r>
              <w:rPr>
                <w:rFonts w:hint="eastAsia" w:ascii="仿宋_GB2312" w:hAnsi="仿宋_GB2312" w:eastAsia="仿宋_GB2312" w:cs="仿宋_GB2312"/>
                <w:color w:val="000000"/>
                <w:kern w:val="0"/>
                <w:sz w:val="30"/>
                <w:szCs w:val="30"/>
                <w:lang w:val="en-US" w:eastAsia="zh-CN"/>
              </w:rPr>
              <w:t>积极扩增特殊教育资源，在全省率先探索康教融合新模式，支持市儿童福利院、市残疾人综合康复中心等机构成立特殊教育部，将文化知识、康复训练、生活自理等内容结合，解决了在市儿童福利院集中供养和在市残疾人综合康复中心长期接受康复训练的适龄重残儿童的受教育问题，做到康复教育两不误、两融合、两促进，</w:t>
            </w:r>
            <w:r>
              <w:rPr>
                <w:rFonts w:hint="default" w:ascii="仿宋_GB2312" w:hAnsi="仿宋_GB2312" w:eastAsia="仿宋_GB2312" w:cs="仿宋_GB2312"/>
                <w:color w:val="000000"/>
                <w:kern w:val="0"/>
                <w:sz w:val="30"/>
                <w:szCs w:val="30"/>
                <w:lang w:val="en-US" w:eastAsia="zh-CN"/>
              </w:rPr>
              <w:t>努力将教育与康复服务覆盖到所有重残儿童，</w:t>
            </w:r>
            <w:r>
              <w:rPr>
                <w:rFonts w:hint="eastAsia" w:ascii="仿宋_GB2312" w:hAnsi="仿宋_GB2312" w:eastAsia="仿宋_GB2312" w:cs="仿宋_GB2312"/>
                <w:color w:val="000000"/>
                <w:kern w:val="0"/>
                <w:sz w:val="30"/>
                <w:szCs w:val="30"/>
                <w:lang w:val="en-US" w:eastAsia="zh-CN"/>
              </w:rPr>
              <w:t>保障</w:t>
            </w:r>
            <w:r>
              <w:rPr>
                <w:rFonts w:hint="default" w:ascii="仿宋_GB2312" w:hAnsi="仿宋_GB2312" w:eastAsia="仿宋_GB2312" w:cs="仿宋_GB2312"/>
                <w:color w:val="000000"/>
                <w:kern w:val="0"/>
                <w:sz w:val="30"/>
                <w:szCs w:val="30"/>
                <w:lang w:val="en-US" w:eastAsia="zh-CN"/>
              </w:rPr>
              <w:t xml:space="preserve">重残儿童最大程度地融入社会生活。 </w:t>
            </w:r>
          </w:p>
          <w:p>
            <w:pPr>
              <w:keepNext w:val="0"/>
              <w:keepLines w:val="0"/>
              <w:pageBreakBefore w:val="0"/>
              <w:numPr>
                <w:ilvl w:val="0"/>
                <w:numId w:val="0"/>
              </w:numPr>
              <w:kinsoku/>
              <w:wordWrap/>
              <w:topLinePunct w:val="0"/>
              <w:autoSpaceDE w:val="0"/>
              <w:autoSpaceDN w:val="0"/>
              <w:bidi w:val="0"/>
              <w:adjustRightInd w:val="0"/>
              <w:spacing w:line="500" w:lineRule="exact"/>
              <w:ind w:firstLine="602" w:firstLineChars="200"/>
              <w:textAlignment w:val="auto"/>
              <w:rPr>
                <w:rFonts w:hint="eastAsia" w:ascii="仿宋_GB2312" w:hAnsi="仿宋_GB2312" w:eastAsia="仿宋_GB2312" w:cs="仿宋_GB2312"/>
                <w:color w:val="000000"/>
                <w:kern w:val="0"/>
                <w:sz w:val="30"/>
                <w:szCs w:val="30"/>
                <w:lang w:val="en-US" w:eastAsia="zh-CN"/>
              </w:rPr>
            </w:pPr>
            <w:r>
              <w:rPr>
                <w:rFonts w:hint="eastAsia" w:ascii="楷体" w:hAnsi="楷体" w:eastAsia="楷体" w:cs="楷体"/>
                <w:b/>
                <w:bCs/>
                <w:color w:val="000000"/>
                <w:kern w:val="0"/>
                <w:sz w:val="30"/>
                <w:szCs w:val="30"/>
                <w:lang w:val="en-US" w:eastAsia="zh-CN"/>
              </w:rPr>
              <w:t>3、让每个星星都灿烂。</w:t>
            </w:r>
            <w:r>
              <w:rPr>
                <w:rFonts w:hint="eastAsia" w:ascii="仿宋_GB2312" w:hAnsi="仿宋_GB2312" w:eastAsia="仿宋_GB2312" w:cs="仿宋_GB2312"/>
                <w:color w:val="000000"/>
                <w:kern w:val="0"/>
                <w:sz w:val="30"/>
                <w:szCs w:val="30"/>
                <w:lang w:val="en-US" w:eastAsia="zh-CN"/>
              </w:rPr>
              <w:t>送教上门让越来越多的残疾儿童少年享有公平而有质量的教育，让残疾儿童少年家庭真切感受到党和政府的温暖，保障了残疾儿童少年受教育权利。学校因材施教，因人施教的方式，为不同类别的残疾儿童少年提供了适合的教育。学校送教教师充分发掘残疾儿童少年健全部分的潜能，近几年，累计有200余名残疾儿童少年经过康复训练进入普通学校随班就读，很多送教学生找回了自信，走出家门，走进校园，融入社会。</w:t>
            </w:r>
            <w:r>
              <w:rPr>
                <w:rFonts w:hint="eastAsia" w:ascii="仿宋_GB2312" w:hAnsi="仿宋_GB2312" w:eastAsia="仿宋_GB2312" w:cs="仿宋_GB2312"/>
                <w:color w:val="000000"/>
                <w:kern w:val="0"/>
                <w:sz w:val="30"/>
                <w:szCs w:val="30"/>
                <w:lang w:val="zh-CN" w:eastAsia="zh-CN"/>
              </w:rPr>
              <w:t>脑瘫学生赵东晨</w:t>
            </w:r>
            <w:r>
              <w:rPr>
                <w:rFonts w:hint="eastAsia" w:ascii="仿宋_GB2312" w:hAnsi="仿宋_GB2312" w:eastAsia="仿宋_GB2312" w:cs="仿宋_GB2312"/>
                <w:color w:val="000000"/>
                <w:kern w:val="0"/>
                <w:sz w:val="30"/>
                <w:szCs w:val="30"/>
                <w:lang w:val="en-US" w:eastAsia="zh-CN"/>
              </w:rPr>
              <w:t>从送教上门到走进学校用了2年多时间，凭借顽强毅力，</w:t>
            </w:r>
            <w:r>
              <w:rPr>
                <w:rFonts w:hint="eastAsia" w:ascii="仿宋_GB2312" w:hAnsi="仿宋_GB2312" w:eastAsia="仿宋_GB2312" w:cs="仿宋_GB2312"/>
                <w:color w:val="000000"/>
                <w:kern w:val="0"/>
                <w:sz w:val="30"/>
                <w:szCs w:val="30"/>
                <w:lang w:val="zh-CN" w:eastAsia="zh-CN"/>
              </w:rPr>
              <w:t>在山东省青少年残疾人田径投掷比赛中取得2块银牌好成绩，</w:t>
            </w:r>
            <w:r>
              <w:rPr>
                <w:rFonts w:hint="eastAsia" w:ascii="仿宋_GB2312" w:hAnsi="仿宋_GB2312" w:eastAsia="仿宋_GB2312" w:cs="仿宋_GB2312"/>
                <w:color w:val="000000"/>
                <w:kern w:val="0"/>
                <w:sz w:val="30"/>
                <w:szCs w:val="30"/>
                <w:lang w:val="en-US" w:eastAsia="zh-CN"/>
              </w:rPr>
              <w:t>圆了他和爸爸妈妈多年梦想</w:t>
            </w:r>
            <w:r>
              <w:rPr>
                <w:rFonts w:hint="eastAsia" w:ascii="仿宋_GB2312" w:hAnsi="仿宋_GB2312" w:eastAsia="仿宋_GB2312" w:cs="仿宋_GB2312"/>
                <w:color w:val="000000"/>
                <w:kern w:val="0"/>
                <w:sz w:val="30"/>
                <w:szCs w:val="30"/>
                <w:lang w:val="zh-CN" w:eastAsia="zh-CN"/>
              </w:rPr>
              <w:t>。</w:t>
            </w:r>
          </w:p>
          <w:p>
            <w:pPr>
              <w:keepNext w:val="0"/>
              <w:keepLines w:val="0"/>
              <w:pageBreakBefore w:val="0"/>
              <w:numPr>
                <w:ilvl w:val="0"/>
                <w:numId w:val="0"/>
              </w:numPr>
              <w:kinsoku/>
              <w:wordWrap/>
              <w:topLinePunct w:val="0"/>
              <w:autoSpaceDE w:val="0"/>
              <w:autoSpaceDN w:val="0"/>
              <w:bidi w:val="0"/>
              <w:adjustRightInd w:val="0"/>
              <w:spacing w:line="500" w:lineRule="exact"/>
              <w:ind w:firstLine="600" w:firstLineChars="200"/>
              <w:textAlignment w:val="auto"/>
              <w:rPr>
                <w:rFonts w:hint="eastAsia" w:ascii="仿宋_GB2312" w:hAnsi="仿宋_GB2312" w:eastAsia="仿宋_GB2312" w:cs="仿宋_GB2312"/>
                <w:color w:val="000000"/>
                <w:kern w:val="0"/>
                <w:sz w:val="30"/>
                <w:szCs w:val="30"/>
                <w:lang w:val="en-US" w:eastAsia="zh-CN"/>
              </w:rPr>
            </w:pPr>
          </w:p>
          <w:p>
            <w:pPr>
              <w:keepNext w:val="0"/>
              <w:keepLines w:val="0"/>
              <w:pageBreakBefore w:val="0"/>
              <w:numPr>
                <w:ilvl w:val="0"/>
                <w:numId w:val="0"/>
              </w:numPr>
              <w:kinsoku/>
              <w:wordWrap/>
              <w:topLinePunct w:val="0"/>
              <w:autoSpaceDE w:val="0"/>
              <w:autoSpaceDN w:val="0"/>
              <w:bidi w:val="0"/>
              <w:adjustRightInd w:val="0"/>
              <w:spacing w:line="500" w:lineRule="exact"/>
              <w:ind w:firstLine="600" w:firstLineChars="200"/>
              <w:textAlignment w:val="auto"/>
              <w:rPr>
                <w:rFonts w:hint="eastAsia" w:ascii="仿宋_GB2312" w:hAnsi="仿宋_GB2312" w:eastAsia="仿宋_GB2312" w:cs="仿宋_GB2312"/>
                <w:color w:val="000000"/>
                <w:kern w:val="0"/>
                <w:sz w:val="30"/>
                <w:szCs w:val="30"/>
                <w:lang w:val="en-US" w:eastAsia="zh-CN"/>
              </w:rPr>
            </w:pPr>
          </w:p>
          <w:p>
            <w:pPr>
              <w:keepNext w:val="0"/>
              <w:keepLines w:val="0"/>
              <w:pageBreakBefore w:val="0"/>
              <w:numPr>
                <w:ilvl w:val="0"/>
                <w:numId w:val="0"/>
              </w:numPr>
              <w:kinsoku/>
              <w:wordWrap/>
              <w:topLinePunct w:val="0"/>
              <w:autoSpaceDE w:val="0"/>
              <w:autoSpaceDN w:val="0"/>
              <w:bidi w:val="0"/>
              <w:adjustRightInd w:val="0"/>
              <w:spacing w:line="500" w:lineRule="exact"/>
              <w:ind w:firstLine="600" w:firstLineChars="200"/>
              <w:textAlignment w:val="auto"/>
              <w:rPr>
                <w:rFonts w:hint="eastAsia" w:ascii="仿宋_GB2312" w:hAnsi="仿宋_GB2312" w:eastAsia="仿宋_GB2312" w:cs="仿宋_GB2312"/>
                <w:color w:val="000000"/>
                <w:kern w:val="0"/>
                <w:sz w:val="30"/>
                <w:szCs w:val="30"/>
                <w:lang w:val="en-US" w:eastAsia="zh-CN"/>
              </w:rPr>
            </w:pPr>
          </w:p>
          <w:p>
            <w:pPr>
              <w:keepNext w:val="0"/>
              <w:keepLines w:val="0"/>
              <w:pageBreakBefore w:val="0"/>
              <w:numPr>
                <w:ilvl w:val="0"/>
                <w:numId w:val="0"/>
              </w:numPr>
              <w:kinsoku/>
              <w:wordWrap/>
              <w:topLinePunct w:val="0"/>
              <w:autoSpaceDE w:val="0"/>
              <w:autoSpaceDN w:val="0"/>
              <w:bidi w:val="0"/>
              <w:adjustRightInd w:val="0"/>
              <w:spacing w:line="500" w:lineRule="exact"/>
              <w:ind w:firstLine="600" w:firstLineChars="200"/>
              <w:textAlignment w:val="auto"/>
              <w:rPr>
                <w:rFonts w:hint="eastAsia" w:ascii="仿宋_GB2312" w:hAnsi="仿宋_GB2312" w:eastAsia="仿宋_GB2312" w:cs="仿宋_GB2312"/>
                <w:color w:val="000000"/>
                <w:kern w:val="0"/>
                <w:sz w:val="30"/>
                <w:szCs w:val="30"/>
                <w:lang w:val="en-US" w:eastAsia="zh-CN"/>
              </w:rPr>
            </w:pPr>
          </w:p>
          <w:p>
            <w:pPr>
              <w:keepNext w:val="0"/>
              <w:keepLines w:val="0"/>
              <w:pageBreakBefore w:val="0"/>
              <w:numPr>
                <w:ilvl w:val="0"/>
                <w:numId w:val="0"/>
              </w:numPr>
              <w:kinsoku/>
              <w:wordWrap/>
              <w:topLinePunct w:val="0"/>
              <w:autoSpaceDE w:val="0"/>
              <w:autoSpaceDN w:val="0"/>
              <w:bidi w:val="0"/>
              <w:adjustRightInd w:val="0"/>
              <w:spacing w:line="500" w:lineRule="exact"/>
              <w:ind w:firstLine="600" w:firstLineChars="200"/>
              <w:textAlignment w:val="auto"/>
              <w:rPr>
                <w:rFonts w:hint="eastAsia" w:ascii="仿宋_GB2312" w:hAnsi="仿宋_GB2312" w:eastAsia="仿宋_GB2312" w:cs="仿宋_GB2312"/>
                <w:color w:val="000000"/>
                <w:kern w:val="0"/>
                <w:sz w:val="30"/>
                <w:szCs w:val="30"/>
                <w:lang w:val="en-US" w:eastAsia="zh-CN"/>
              </w:rPr>
            </w:pPr>
          </w:p>
          <w:p>
            <w:pPr>
              <w:keepNext w:val="0"/>
              <w:keepLines w:val="0"/>
              <w:pageBreakBefore w:val="0"/>
              <w:numPr>
                <w:ilvl w:val="0"/>
                <w:numId w:val="0"/>
              </w:numPr>
              <w:kinsoku/>
              <w:wordWrap/>
              <w:topLinePunct w:val="0"/>
              <w:autoSpaceDE w:val="0"/>
              <w:autoSpaceDN w:val="0"/>
              <w:bidi w:val="0"/>
              <w:adjustRightInd w:val="0"/>
              <w:spacing w:line="500" w:lineRule="exact"/>
              <w:ind w:firstLine="600" w:firstLineChars="200"/>
              <w:textAlignment w:val="auto"/>
              <w:rPr>
                <w:rFonts w:hint="eastAsia" w:ascii="仿宋_GB2312" w:hAnsi="仿宋_GB2312" w:eastAsia="仿宋_GB2312" w:cs="仿宋_GB2312"/>
                <w:color w:val="000000"/>
                <w:kern w:val="0"/>
                <w:sz w:val="30"/>
                <w:szCs w:val="30"/>
                <w:lang w:val="en-US" w:eastAsia="zh-CN"/>
              </w:rPr>
            </w:pPr>
          </w:p>
          <w:p>
            <w:pPr>
              <w:keepNext w:val="0"/>
              <w:keepLines w:val="0"/>
              <w:pageBreakBefore w:val="0"/>
              <w:numPr>
                <w:ilvl w:val="0"/>
                <w:numId w:val="0"/>
              </w:numPr>
              <w:kinsoku/>
              <w:wordWrap/>
              <w:topLinePunct w:val="0"/>
              <w:autoSpaceDE w:val="0"/>
              <w:autoSpaceDN w:val="0"/>
              <w:bidi w:val="0"/>
              <w:adjustRightInd w:val="0"/>
              <w:spacing w:line="500" w:lineRule="exact"/>
              <w:textAlignment w:val="auto"/>
              <w:rPr>
                <w:rFonts w:hint="eastAsia" w:ascii="仿宋_GB2312" w:hAnsi="仿宋_GB2312" w:eastAsia="仿宋_GB2312" w:cs="仿宋_GB2312"/>
                <w:color w:val="000000"/>
                <w:kern w:val="0"/>
                <w:sz w:val="30"/>
                <w:szCs w:val="30"/>
                <w:lang w:val="en-US" w:eastAsia="zh-CN"/>
              </w:rPr>
            </w:pPr>
          </w:p>
          <w:p>
            <w:pPr>
              <w:keepNext w:val="0"/>
              <w:keepLines w:val="0"/>
              <w:pageBreakBefore w:val="0"/>
              <w:numPr>
                <w:ilvl w:val="0"/>
                <w:numId w:val="0"/>
              </w:numPr>
              <w:kinsoku/>
              <w:wordWrap/>
              <w:topLinePunct w:val="0"/>
              <w:autoSpaceDE w:val="0"/>
              <w:autoSpaceDN w:val="0"/>
              <w:bidi w:val="0"/>
              <w:adjustRightInd w:val="0"/>
              <w:spacing w:line="500" w:lineRule="exact"/>
              <w:textAlignment w:val="auto"/>
              <w:rPr>
                <w:rFonts w:hint="eastAsia" w:ascii="仿宋_GB2312" w:hAnsi="仿宋_GB2312" w:eastAsia="仿宋_GB2312" w:cs="仿宋_GB2312"/>
                <w:color w:val="000000"/>
                <w:kern w:val="0"/>
                <w:sz w:val="30"/>
                <w:szCs w:val="30"/>
                <w:lang w:val="en-US" w:eastAsia="zh-CN"/>
              </w:rPr>
            </w:pPr>
          </w:p>
          <w:p>
            <w:pPr>
              <w:keepNext w:val="0"/>
              <w:keepLines w:val="0"/>
              <w:pageBreakBefore w:val="0"/>
              <w:numPr>
                <w:ilvl w:val="0"/>
                <w:numId w:val="0"/>
              </w:numPr>
              <w:kinsoku/>
              <w:wordWrap/>
              <w:topLinePunct w:val="0"/>
              <w:autoSpaceDE w:val="0"/>
              <w:autoSpaceDN w:val="0"/>
              <w:bidi w:val="0"/>
              <w:adjustRightInd w:val="0"/>
              <w:spacing w:line="500" w:lineRule="exact"/>
              <w:ind w:firstLine="600" w:firstLineChars="200"/>
              <w:textAlignment w:val="auto"/>
              <w:rPr>
                <w:rFonts w:hint="eastAsia" w:ascii="仿宋_GB2312" w:hAnsi="仿宋_GB2312" w:eastAsia="仿宋_GB2312" w:cs="仿宋_GB2312"/>
                <w:color w:val="000000"/>
                <w:kern w:val="0"/>
                <w:sz w:val="30"/>
                <w:szCs w:val="30"/>
                <w:lang w:val="en-US" w:eastAsia="zh-CN"/>
              </w:rPr>
            </w:pPr>
          </w:p>
          <w:p>
            <w:pPr>
              <w:keepNext w:val="0"/>
              <w:keepLines w:val="0"/>
              <w:pageBreakBefore w:val="0"/>
              <w:numPr>
                <w:ilvl w:val="0"/>
                <w:numId w:val="0"/>
              </w:numPr>
              <w:kinsoku/>
              <w:wordWrap/>
              <w:topLinePunct w:val="0"/>
              <w:autoSpaceDE w:val="0"/>
              <w:autoSpaceDN w:val="0"/>
              <w:bidi w:val="0"/>
              <w:adjustRightInd w:val="0"/>
              <w:spacing w:line="500" w:lineRule="exact"/>
              <w:ind w:firstLine="600" w:firstLineChars="200"/>
              <w:textAlignment w:val="auto"/>
              <w:rPr>
                <w:rFonts w:hint="eastAsia" w:ascii="仿宋_GB2312" w:hAnsi="仿宋_GB2312" w:eastAsia="仿宋_GB2312" w:cs="仿宋_GB2312"/>
                <w:color w:val="000000"/>
                <w:kern w:val="0"/>
                <w:sz w:val="30"/>
                <w:szCs w:val="30"/>
                <w:lang w:val="en-US" w:eastAsia="zh-CN"/>
              </w:rPr>
            </w:pPr>
            <w:r>
              <w:rPr>
                <w:rFonts w:hint="eastAsia" w:ascii="仿宋_GB2312" w:hAnsi="仿宋_GB2312" w:eastAsia="仿宋_GB2312" w:cs="仿宋_GB2312"/>
                <w:color w:val="000000"/>
                <w:kern w:val="0"/>
                <w:sz w:val="30"/>
                <w:szCs w:val="30"/>
                <w:lang w:val="en-US" w:eastAsia="zh-CN"/>
              </w:rPr>
              <w:t xml:space="preserve">  </w:t>
            </w:r>
            <w:r>
              <w:rPr>
                <w:rFonts w:hint="eastAsia" w:ascii="仿宋_GB2312" w:hAnsi="仿宋_GB2312" w:eastAsia="仿宋_GB2312" w:cs="仿宋_GB2312"/>
                <w:color w:val="000000"/>
                <w:kern w:val="0"/>
                <w:sz w:val="30"/>
                <w:szCs w:val="30"/>
                <w:lang w:val="en-US" w:eastAsia="zh-CN"/>
              </w:rPr>
              <w:pict>
                <v:shape id="_x0000_s1029" o:spid="_x0000_s1029" o:spt="202" type="#_x0000_t202" style="position:absolute;left:0pt;margin-left:239.75pt;margin-top:0.05pt;height:32.65pt;width:193.25pt;z-index:251662336;mso-width-relative:page;mso-height-relative:page;" filled="f" stroked="f" coordsize="21600,21600" o:gfxdata="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LWHA91QAAAAcBAAAPAAAAAAAAAAEA&#10;IAAAACIAAABkcnMvZG93bnJldi54bWxQSwECFAAUAAAACACHTuJAqA1wsdkBAACiAwAADgAAAAAA&#10;AAABACAAAAAkAQAAZHJzL2Uyb0RvYy54bWxQSwUGAAAAAAYABgBZAQAAbwUAAAAA&#10;">
                  <v:path/>
                  <v:fill on="f" focussize="0,0"/>
                  <v:stroke on="f" joinstyle="miter"/>
                  <v:imagedata o:title=""/>
                  <o:lock v:ext="edit"/>
                  <v:textbox>
                    <w:txbxContent>
                      <w:p>
                        <w:pPr>
                          <w:numPr>
                            <w:ilvl w:val="0"/>
                            <w:numId w:val="1"/>
                          </w:numPr>
                          <w:kinsoku/>
                          <w:rPr>
                            <w:sz w:val="36"/>
                          </w:rPr>
                        </w:pPr>
                        <w:r>
                          <w:rPr>
                            <w:rFonts w:ascii="宋体" w:eastAsia="宋体" w:hAnsiTheme="minorBidi"/>
                            <w:color w:val="000000" w:themeColor="text1"/>
                            <w:kern w:val="24"/>
                            <w:sz w:val="28"/>
                            <w:szCs w:val="28"/>
                          </w:rPr>
                          <w:t xml:space="preserve"> </w:t>
                        </w:r>
                      </w:p>
                      <w:p>
                        <w:pPr>
                          <w:numPr>
                            <w:ilvl w:val="0"/>
                            <w:numId w:val="1"/>
                          </w:numPr>
                          <w:kinsoku/>
                          <w:rPr>
                            <w:sz w:val="36"/>
                          </w:rPr>
                        </w:pPr>
                        <w:r>
                          <w:rPr>
                            <w:rFonts w:ascii="宋体" w:eastAsia="宋体" w:hAnsiTheme="minorBidi"/>
                            <w:color w:val="000000" w:themeColor="text1"/>
                            <w:kern w:val="24"/>
                            <w:sz w:val="28"/>
                            <w:szCs w:val="28"/>
                          </w:rPr>
                          <w:t xml:space="preserve"> </w:t>
                        </w:r>
                      </w:p>
                    </w:txbxContent>
                  </v:textbox>
                </v:shape>
              </w:pict>
            </w:r>
            <w:r>
              <w:rPr>
                <w:rFonts w:hint="eastAsia" w:ascii="仿宋_GB2312" w:hAnsi="仿宋_GB2312" w:eastAsia="仿宋_GB2312" w:cs="仿宋_GB2312"/>
                <w:color w:val="000000"/>
                <w:kern w:val="0"/>
                <w:sz w:val="30"/>
                <w:szCs w:val="30"/>
                <w:lang w:val="en-US" w:eastAsia="zh-CN"/>
              </w:rPr>
              <w:pict>
                <v:rect id="_x0000_s1028" o:spid="_x0000_s1028" o:spt="1" style="position:absolute;left:0pt;margin-left:0.85pt;margin-top:60.1pt;height:115.75pt;width:612pt;z-index:251660288;v-text-anchor:middle;mso-width-relative:page;mso-height-relative:page;" filled="f" stroked="f" coordsize="21600,21600" o:gfxdata="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eAy9x0wAAAAoBAAAPAAAAAAAAAAEAIAAAACIAAABkcnMvZG93bnJldi54&#10;bWxQSwECFAAUAAAACACHTuJAb+Uq+MYBAACNAwAADgAAAAAAAAABACAAAAAiAQAAZHJzL2Uyb0Rv&#10;Yy54bWxQSwUGAAAAAAYABgBZAQAAWgUAAAAA&#10;">
                  <v:path/>
                  <v:fill on="f" focussize="0,0"/>
                  <v:stroke on="f"/>
                  <v:imagedata o:title=""/>
                  <o:lock v:ext="edit" grouping="t"/>
                  <v:textbox>
                    <w:txbxContent>
                      <w:p>
                        <w:pPr>
                          <w:numPr>
                            <w:ilvl w:val="0"/>
                            <w:numId w:val="2"/>
                          </w:numPr>
                          <w:kinsoku/>
                          <w:jc w:val="center"/>
                        </w:pPr>
                      </w:p>
                      <w:p>
                        <w:pPr>
                          <w:numPr>
                            <w:ilvl w:val="0"/>
                            <w:numId w:val="2"/>
                          </w:numPr>
                          <w:kinsoku/>
                          <w:jc w:val="center"/>
                        </w:pPr>
                      </w:p>
                      <w:p>
                        <w:pPr>
                          <w:numPr>
                            <w:ilvl w:val="0"/>
                            <w:numId w:val="2"/>
                          </w:numPr>
                          <w:kinsoku/>
                          <w:jc w:val="center"/>
                        </w:pPr>
                      </w:p>
                      <w:p>
                        <w:pPr>
                          <w:numPr>
                            <w:ilvl w:val="0"/>
                            <w:numId w:val="2"/>
                          </w:numPr>
                          <w:kinsoku/>
                          <w:jc w:val="center"/>
                        </w:pPr>
                      </w:p>
                      <w:p>
                        <w:pPr>
                          <w:numPr>
                            <w:ilvl w:val="0"/>
                            <w:numId w:val="2"/>
                          </w:numPr>
                          <w:kinsoku/>
                          <w:jc w:val="center"/>
                        </w:pPr>
                      </w:p>
                    </w:txbxContent>
                  </v:textbox>
                </v:rect>
              </w:pict>
            </w:r>
            <w:r>
              <w:rPr>
                <w:rFonts w:hint="eastAsia" w:ascii="仿宋_GB2312" w:hAnsi="仿宋_GB2312" w:eastAsia="仿宋_GB2312" w:cs="仿宋_GB2312"/>
                <w:color w:val="000000"/>
                <w:kern w:val="0"/>
                <w:sz w:val="30"/>
                <w:szCs w:val="30"/>
                <w:lang w:val="en-US" w:eastAsia="zh-CN"/>
              </w:rPr>
              <w:pict>
                <v:rect id="_x0000_s1027" o:spid="_x0000_s1027" o:spt="1" style="position:absolute;left:0pt;margin-left:54.85pt;margin-top:198.35pt;height:138pt;width:504pt;z-index:251661312;mso-width-relative:page;mso-height-relative:page;" filled="f" stroked="f" coordsize="21600,21600" o:gfxdata="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1lHJz2wAAAAwBAAAPAAAAAAAAAAEAIAAAACIAAABkcnMvZG93bnJl&#10;di54bWxQSwECFAAUAAAACACHTuJAKT9FicEBAACAAwAADgAAAAAAAAABACAAAAAqAQAAZHJzL2Uy&#10;b0RvYy54bWxQSwUGAAAAAAYABgBZAQAAXQUAAAAA&#10;">
                  <v:path/>
                  <v:fill on="f" focussize="0,0"/>
                  <v:stroke on="f"/>
                  <v:imagedata o:title=""/>
                  <o:lock v:ext="edit" grouping="t"/>
                </v:rect>
              </w:pict>
            </w:r>
          </w:p>
        </w:tc>
      </w:tr>
    </w:tbl>
    <w:p>
      <w:pPr>
        <w:rPr>
          <w:color w:val="auto"/>
        </w:rPr>
        <w:sectPr>
          <w:footerReference r:id="rId3" w:type="default"/>
          <w:pgSz w:w="11907" w:h="16839"/>
          <w:pgMar w:top="400" w:right="1459" w:bottom="1783" w:left="1451" w:header="0" w:footer="1533" w:gutter="0"/>
          <w:pgNumType w:fmt="decimal"/>
          <w:cols w:space="720" w:num="1"/>
        </w:sectPr>
      </w:pPr>
    </w:p>
    <w:tbl>
      <w:tblPr>
        <w:tblStyle w:val="7"/>
        <w:tblpPr w:leftFromText="180" w:rightFromText="180" w:vertAnchor="text" w:horzAnchor="page" w:tblpX="1450" w:tblpY="113"/>
        <w:tblOverlap w:val="never"/>
        <w:tblW w:w="898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694"/>
        <w:gridCol w:w="628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1" w:hRule="atLeast"/>
        </w:trPr>
        <w:tc>
          <w:tcPr>
            <w:tcW w:w="8982" w:type="dxa"/>
            <w:gridSpan w:val="2"/>
          </w:tcPr>
          <w:p>
            <w:pPr>
              <w:spacing w:before="83" w:line="219" w:lineRule="auto"/>
              <w:ind w:left="134"/>
              <w:rPr>
                <w:rFonts w:ascii="黑体" w:hAnsi="黑体" w:eastAsia="黑体" w:cs="黑体"/>
                <w:color w:val="auto"/>
                <w:spacing w:val="-9"/>
                <w:sz w:val="30"/>
                <w:szCs w:val="30"/>
              </w:rPr>
            </w:pPr>
            <w:r>
              <w:rPr>
                <w:rFonts w:ascii="黑体" w:hAnsi="黑体" w:eastAsia="黑体" w:cs="黑体"/>
                <w:color w:val="auto"/>
                <w:spacing w:val="-13"/>
                <w:sz w:val="30"/>
                <w:szCs w:val="30"/>
              </w:rPr>
              <w:t>宣</w:t>
            </w:r>
            <w:r>
              <w:rPr>
                <w:rFonts w:ascii="黑体" w:hAnsi="黑体" w:eastAsia="黑体" w:cs="黑体"/>
                <w:color w:val="auto"/>
                <w:spacing w:val="-9"/>
                <w:sz w:val="30"/>
                <w:szCs w:val="30"/>
              </w:rPr>
              <w:t>传推广情况：</w:t>
            </w:r>
          </w:p>
          <w:p>
            <w:pPr>
              <w:spacing w:before="83" w:line="219" w:lineRule="auto"/>
              <w:ind w:left="134"/>
              <w:rPr>
                <w:rFonts w:ascii="黑体" w:hAnsi="黑体" w:eastAsia="黑体" w:cs="黑体"/>
                <w:color w:val="auto"/>
                <w:spacing w:val="-9"/>
                <w:sz w:val="28"/>
                <w:szCs w:val="28"/>
              </w:rPr>
            </w:pPr>
          </w:p>
          <w:p>
            <w:pPr>
              <w:spacing w:line="360" w:lineRule="auto"/>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1、2019年10月</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“山东省特殊教育学校送教上门服务工作研讨会”在枣庄市</w:t>
            </w:r>
            <w:r>
              <w:rPr>
                <w:rFonts w:hint="eastAsia" w:ascii="仿宋" w:hAnsi="仿宋" w:eastAsia="仿宋" w:cs="仿宋"/>
                <w:color w:val="auto"/>
                <w:sz w:val="30"/>
                <w:szCs w:val="30"/>
                <w:lang w:val="en-US" w:eastAsia="zh-CN"/>
              </w:rPr>
              <w:t>举行，枣庄市特殊教育学校在</w:t>
            </w:r>
            <w:r>
              <w:rPr>
                <w:rFonts w:hint="eastAsia" w:ascii="仿宋" w:hAnsi="仿宋" w:eastAsia="仿宋" w:cs="仿宋"/>
                <w:color w:val="auto"/>
                <w:sz w:val="30"/>
                <w:szCs w:val="30"/>
              </w:rPr>
              <w:t>研讨会上做典型发言。</w:t>
            </w:r>
          </w:p>
          <w:p>
            <w:pPr>
              <w:spacing w:line="360" w:lineRule="auto"/>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2、</w:t>
            </w:r>
            <w:r>
              <w:rPr>
                <w:rFonts w:hint="eastAsia" w:ascii="仿宋" w:hAnsi="仿宋" w:eastAsia="仿宋" w:cs="仿宋"/>
                <w:color w:val="auto"/>
                <w:sz w:val="30"/>
                <w:szCs w:val="30"/>
                <w:lang w:val="en-US" w:eastAsia="zh-CN"/>
              </w:rPr>
              <w:t>2022年8月，</w:t>
            </w:r>
            <w:r>
              <w:rPr>
                <w:rFonts w:hint="eastAsia" w:ascii="仿宋" w:hAnsi="仿宋" w:eastAsia="仿宋" w:cs="仿宋"/>
                <w:color w:val="auto"/>
                <w:sz w:val="30"/>
                <w:szCs w:val="30"/>
              </w:rPr>
              <w:t>枣庄市特殊教育学校“送教路上党旗红”品牌，</w:t>
            </w:r>
            <w:r>
              <w:rPr>
                <w:rFonts w:hint="eastAsia" w:ascii="仿宋" w:hAnsi="仿宋" w:eastAsia="仿宋" w:cs="仿宋"/>
                <w:color w:val="auto"/>
                <w:sz w:val="30"/>
                <w:szCs w:val="30"/>
                <w:lang w:val="en-US" w:eastAsia="zh-CN"/>
              </w:rPr>
              <w:t>被评为枣庄市中小学“一校一品”党建品牌示范校</w:t>
            </w:r>
            <w:r>
              <w:rPr>
                <w:rFonts w:hint="eastAsia" w:ascii="仿宋" w:hAnsi="仿宋" w:eastAsia="仿宋" w:cs="仿宋"/>
                <w:color w:val="auto"/>
                <w:sz w:val="30"/>
                <w:szCs w:val="30"/>
              </w:rPr>
              <w:t>。</w:t>
            </w:r>
          </w:p>
          <w:p>
            <w:pPr>
              <w:spacing w:line="360" w:lineRule="auto"/>
              <w:ind w:firstLine="600" w:firstLineChars="200"/>
              <w:rPr>
                <w:rFonts w:hint="eastAsia" w:ascii="仿宋" w:hAnsi="仿宋" w:eastAsia="仿宋" w:cs="仿宋"/>
                <w:color w:val="auto"/>
                <w:sz w:val="30"/>
                <w:szCs w:val="30"/>
              </w:rPr>
            </w:pPr>
          </w:p>
          <w:p>
            <w:pPr>
              <w:spacing w:line="360" w:lineRule="auto"/>
              <w:ind w:firstLine="600" w:firstLineChars="200"/>
              <w:rPr>
                <w:rFonts w:hint="eastAsia" w:ascii="仿宋" w:hAnsi="仿宋" w:eastAsia="仿宋" w:cs="仿宋"/>
                <w:color w:val="auto"/>
                <w:sz w:val="30"/>
                <w:szCs w:val="30"/>
              </w:rPr>
            </w:pPr>
          </w:p>
          <w:p>
            <w:pPr>
              <w:spacing w:line="360" w:lineRule="auto"/>
              <w:rPr>
                <w:rFonts w:hint="eastAsia" w:ascii="仿宋" w:hAnsi="仿宋" w:eastAsia="仿宋" w:cs="仿宋"/>
                <w:color w:val="auto"/>
                <w:sz w:val="30"/>
                <w:szCs w:val="30"/>
              </w:rPr>
            </w:pPr>
          </w:p>
          <w:p>
            <w:pPr>
              <w:spacing w:line="360" w:lineRule="auto"/>
              <w:rPr>
                <w:rFonts w:hint="eastAsia" w:ascii="仿宋" w:hAnsi="仿宋" w:eastAsia="仿宋" w:cs="仿宋"/>
                <w:color w:val="auto"/>
                <w:sz w:val="30"/>
                <w:szCs w:val="30"/>
              </w:rPr>
            </w:pPr>
          </w:p>
          <w:p>
            <w:pPr>
              <w:spacing w:before="83" w:line="219" w:lineRule="auto"/>
              <w:rPr>
                <w:rFonts w:ascii="黑体" w:hAnsi="黑体" w:eastAsia="黑体" w:cs="黑体"/>
                <w:color w:val="auto"/>
                <w:spacing w:val="-9"/>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2694" w:type="dxa"/>
          </w:tcPr>
          <w:p>
            <w:pPr>
              <w:spacing w:line="290" w:lineRule="auto"/>
              <w:rPr>
                <w:color w:val="auto"/>
              </w:rPr>
            </w:pPr>
          </w:p>
          <w:p>
            <w:pPr>
              <w:spacing w:line="290" w:lineRule="auto"/>
              <w:rPr>
                <w:color w:val="auto"/>
              </w:rPr>
            </w:pPr>
          </w:p>
          <w:p>
            <w:pPr>
              <w:spacing w:line="290" w:lineRule="auto"/>
              <w:rPr>
                <w:color w:val="auto"/>
              </w:rPr>
            </w:pPr>
          </w:p>
          <w:p>
            <w:pPr>
              <w:spacing w:line="291" w:lineRule="auto"/>
              <w:rPr>
                <w:color w:val="auto"/>
              </w:rPr>
            </w:pPr>
          </w:p>
          <w:p>
            <w:pPr>
              <w:spacing w:before="91" w:line="217" w:lineRule="auto"/>
              <w:ind w:left="520"/>
              <w:rPr>
                <w:rFonts w:ascii="楷体" w:hAnsi="楷体" w:eastAsia="楷体" w:cs="楷体"/>
                <w:color w:val="auto"/>
                <w:sz w:val="28"/>
                <w:szCs w:val="28"/>
              </w:rPr>
            </w:pPr>
            <w:r>
              <w:rPr>
                <w:rFonts w:ascii="楷体" w:hAnsi="楷体" w:eastAsia="楷体" w:cs="楷体"/>
                <w:color w:val="auto"/>
                <w:spacing w:val="-4"/>
                <w:sz w:val="28"/>
                <w:szCs w:val="28"/>
              </w:rPr>
              <w:t>所</w:t>
            </w:r>
            <w:r>
              <w:rPr>
                <w:rFonts w:ascii="楷体" w:hAnsi="楷体" w:eastAsia="楷体" w:cs="楷体"/>
                <w:color w:val="auto"/>
                <w:spacing w:val="-2"/>
                <w:sz w:val="28"/>
                <w:szCs w:val="28"/>
              </w:rPr>
              <w:t>在学校意见</w:t>
            </w:r>
          </w:p>
        </w:tc>
        <w:tc>
          <w:tcPr>
            <w:tcW w:w="6288" w:type="dxa"/>
          </w:tcPr>
          <w:p>
            <w:pPr>
              <w:spacing w:line="267" w:lineRule="auto"/>
              <w:rPr>
                <w:color w:val="auto"/>
              </w:rPr>
            </w:pPr>
          </w:p>
          <w:p>
            <w:pPr>
              <w:spacing w:line="267" w:lineRule="auto"/>
              <w:rPr>
                <w:color w:val="auto"/>
              </w:rPr>
            </w:pPr>
          </w:p>
          <w:p>
            <w:pPr>
              <w:spacing w:line="267" w:lineRule="auto"/>
              <w:rPr>
                <w:color w:val="auto"/>
              </w:rPr>
            </w:pPr>
          </w:p>
          <w:p>
            <w:pPr>
              <w:spacing w:line="267" w:lineRule="auto"/>
              <w:rPr>
                <w:color w:val="auto"/>
              </w:rPr>
            </w:pPr>
          </w:p>
          <w:p>
            <w:pPr>
              <w:spacing w:line="267" w:lineRule="auto"/>
              <w:rPr>
                <w:color w:val="auto"/>
              </w:rPr>
            </w:pPr>
          </w:p>
          <w:p>
            <w:pPr>
              <w:spacing w:line="267" w:lineRule="auto"/>
              <w:rPr>
                <w:color w:val="auto"/>
              </w:rPr>
            </w:pPr>
          </w:p>
          <w:p>
            <w:pPr>
              <w:spacing w:line="267" w:lineRule="auto"/>
              <w:rPr>
                <w:color w:val="auto"/>
              </w:rPr>
            </w:pPr>
          </w:p>
          <w:p>
            <w:pPr>
              <w:spacing w:before="91" w:line="218" w:lineRule="auto"/>
              <w:ind w:left="3520"/>
              <w:rPr>
                <w:rFonts w:ascii="楷体" w:hAnsi="楷体" w:eastAsia="楷体" w:cs="楷体"/>
                <w:color w:val="auto"/>
                <w:sz w:val="28"/>
                <w:szCs w:val="28"/>
              </w:rPr>
            </w:pPr>
            <w:r>
              <w:rPr>
                <w:rFonts w:ascii="楷体" w:hAnsi="楷体" w:eastAsia="楷体" w:cs="楷体"/>
                <w:color w:val="auto"/>
                <w:spacing w:val="37"/>
                <w:sz w:val="28"/>
                <w:szCs w:val="28"/>
              </w:rPr>
              <w:t>(</w:t>
            </w:r>
            <w:r>
              <w:rPr>
                <w:rFonts w:ascii="楷体" w:hAnsi="楷体" w:eastAsia="楷体" w:cs="楷体"/>
                <w:color w:val="auto"/>
                <w:spacing w:val="35"/>
                <w:sz w:val="28"/>
                <w:szCs w:val="28"/>
              </w:rPr>
              <w:t>盖章)</w:t>
            </w:r>
          </w:p>
          <w:p>
            <w:pPr>
              <w:spacing w:before="168" w:line="208" w:lineRule="auto"/>
              <w:ind w:left="4033"/>
              <w:rPr>
                <w:rFonts w:ascii="楷体" w:hAnsi="楷体" w:eastAsia="楷体" w:cs="楷体"/>
                <w:color w:val="auto"/>
                <w:sz w:val="28"/>
                <w:szCs w:val="28"/>
              </w:rPr>
            </w:pPr>
            <w:r>
              <w:rPr>
                <w:rFonts w:ascii="楷体" w:hAnsi="楷体" w:eastAsia="楷体" w:cs="楷体"/>
                <w:color w:val="auto"/>
                <w:spacing w:val="10"/>
                <w:sz w:val="28"/>
                <w:szCs w:val="28"/>
              </w:rPr>
              <w:t>年</w:t>
            </w:r>
            <w:r>
              <w:rPr>
                <w:rFonts w:ascii="楷体" w:hAnsi="楷体" w:eastAsia="楷体" w:cs="楷体"/>
                <w:color w:val="auto"/>
                <w:spacing w:val="8"/>
                <w:sz w:val="28"/>
                <w:szCs w:val="28"/>
              </w:rPr>
              <w:t xml:space="preserve">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35" w:hRule="atLeast"/>
        </w:trPr>
        <w:tc>
          <w:tcPr>
            <w:tcW w:w="2694" w:type="dxa"/>
          </w:tcPr>
          <w:p>
            <w:pPr>
              <w:spacing w:line="244" w:lineRule="auto"/>
              <w:rPr>
                <w:color w:val="auto"/>
              </w:rPr>
            </w:pPr>
          </w:p>
          <w:p>
            <w:pPr>
              <w:spacing w:line="244" w:lineRule="auto"/>
              <w:rPr>
                <w:color w:val="auto"/>
              </w:rPr>
            </w:pPr>
          </w:p>
          <w:p>
            <w:pPr>
              <w:spacing w:line="244" w:lineRule="auto"/>
              <w:rPr>
                <w:color w:val="auto"/>
              </w:rPr>
            </w:pPr>
          </w:p>
          <w:p>
            <w:pPr>
              <w:spacing w:line="244" w:lineRule="auto"/>
              <w:rPr>
                <w:color w:val="auto"/>
              </w:rPr>
            </w:pPr>
          </w:p>
          <w:p>
            <w:pPr>
              <w:spacing w:before="91" w:line="251" w:lineRule="auto"/>
              <w:ind w:left="789" w:right="502" w:hanging="277"/>
              <w:rPr>
                <w:rFonts w:ascii="楷体" w:hAnsi="楷体" w:eastAsia="楷体" w:cs="楷体"/>
                <w:color w:val="auto"/>
                <w:sz w:val="28"/>
                <w:szCs w:val="28"/>
              </w:rPr>
            </w:pPr>
            <w:r>
              <w:rPr>
                <w:rFonts w:ascii="楷体" w:hAnsi="楷体" w:eastAsia="楷体" w:cs="楷体"/>
                <w:color w:val="auto"/>
                <w:spacing w:val="-2"/>
                <w:sz w:val="28"/>
                <w:szCs w:val="28"/>
              </w:rPr>
              <w:t>县</w:t>
            </w:r>
            <w:r>
              <w:rPr>
                <w:rFonts w:ascii="楷体" w:hAnsi="楷体" w:eastAsia="楷体" w:cs="楷体"/>
                <w:color w:val="auto"/>
                <w:spacing w:val="-1"/>
                <w:sz w:val="28"/>
                <w:szCs w:val="28"/>
              </w:rPr>
              <w:t>级教育行政</w:t>
            </w:r>
            <w:r>
              <w:rPr>
                <w:rFonts w:ascii="楷体" w:hAnsi="楷体" w:eastAsia="楷体" w:cs="楷体"/>
                <w:color w:val="auto"/>
                <w:sz w:val="28"/>
                <w:szCs w:val="28"/>
              </w:rPr>
              <w:t xml:space="preserve"> </w:t>
            </w:r>
            <w:r>
              <w:rPr>
                <w:rFonts w:ascii="楷体" w:hAnsi="楷体" w:eastAsia="楷体" w:cs="楷体"/>
                <w:color w:val="auto"/>
                <w:spacing w:val="-1"/>
                <w:sz w:val="28"/>
                <w:szCs w:val="28"/>
              </w:rPr>
              <w:t>部门</w:t>
            </w:r>
            <w:r>
              <w:rPr>
                <w:rFonts w:ascii="楷体" w:hAnsi="楷体" w:eastAsia="楷体" w:cs="楷体"/>
                <w:color w:val="auto"/>
                <w:sz w:val="28"/>
                <w:szCs w:val="28"/>
              </w:rPr>
              <w:t>意见</w:t>
            </w:r>
          </w:p>
        </w:tc>
        <w:tc>
          <w:tcPr>
            <w:tcW w:w="6288" w:type="dxa"/>
          </w:tcPr>
          <w:p>
            <w:pPr>
              <w:spacing w:line="265" w:lineRule="auto"/>
              <w:rPr>
                <w:color w:val="auto"/>
              </w:rPr>
            </w:pPr>
          </w:p>
          <w:p>
            <w:pPr>
              <w:spacing w:line="265" w:lineRule="auto"/>
              <w:rPr>
                <w:color w:val="auto"/>
              </w:rPr>
            </w:pPr>
          </w:p>
          <w:p>
            <w:pPr>
              <w:spacing w:line="265" w:lineRule="auto"/>
              <w:rPr>
                <w:color w:val="auto"/>
              </w:rPr>
            </w:pPr>
          </w:p>
          <w:p>
            <w:pPr>
              <w:spacing w:line="265" w:lineRule="auto"/>
              <w:rPr>
                <w:color w:val="auto"/>
              </w:rPr>
            </w:pPr>
          </w:p>
          <w:p>
            <w:pPr>
              <w:spacing w:line="265" w:lineRule="auto"/>
              <w:rPr>
                <w:color w:val="auto"/>
              </w:rPr>
            </w:pPr>
          </w:p>
          <w:p>
            <w:pPr>
              <w:spacing w:line="265" w:lineRule="auto"/>
              <w:rPr>
                <w:color w:val="auto"/>
              </w:rPr>
            </w:pPr>
          </w:p>
          <w:p>
            <w:pPr>
              <w:spacing w:before="91" w:line="218" w:lineRule="auto"/>
              <w:ind w:left="3590"/>
              <w:rPr>
                <w:rFonts w:ascii="楷体" w:hAnsi="楷体" w:eastAsia="楷体" w:cs="楷体"/>
                <w:color w:val="auto"/>
                <w:sz w:val="28"/>
                <w:szCs w:val="28"/>
              </w:rPr>
            </w:pPr>
            <w:r>
              <w:rPr>
                <w:rFonts w:ascii="楷体" w:hAnsi="楷体" w:eastAsia="楷体" w:cs="楷体"/>
                <w:color w:val="auto"/>
                <w:spacing w:val="37"/>
                <w:sz w:val="28"/>
                <w:szCs w:val="28"/>
              </w:rPr>
              <w:t>(</w:t>
            </w:r>
            <w:r>
              <w:rPr>
                <w:rFonts w:ascii="楷体" w:hAnsi="楷体" w:eastAsia="楷体" w:cs="楷体"/>
                <w:color w:val="auto"/>
                <w:spacing w:val="35"/>
                <w:sz w:val="28"/>
                <w:szCs w:val="28"/>
              </w:rPr>
              <w:t>盖章)</w:t>
            </w:r>
          </w:p>
          <w:p>
            <w:pPr>
              <w:spacing w:before="168" w:line="218" w:lineRule="auto"/>
              <w:ind w:left="4033"/>
              <w:rPr>
                <w:rFonts w:ascii="楷体" w:hAnsi="楷体" w:eastAsia="楷体" w:cs="楷体"/>
                <w:color w:val="auto"/>
                <w:sz w:val="28"/>
                <w:szCs w:val="28"/>
              </w:rPr>
            </w:pPr>
            <w:r>
              <w:rPr>
                <w:rFonts w:ascii="楷体" w:hAnsi="楷体" w:eastAsia="楷体" w:cs="楷体"/>
                <w:color w:val="auto"/>
                <w:spacing w:val="10"/>
                <w:sz w:val="28"/>
                <w:szCs w:val="28"/>
              </w:rPr>
              <w:t>年</w:t>
            </w:r>
            <w:r>
              <w:rPr>
                <w:rFonts w:ascii="楷体" w:hAnsi="楷体" w:eastAsia="楷体" w:cs="楷体"/>
                <w:color w:val="auto"/>
                <w:spacing w:val="8"/>
                <w:sz w:val="28"/>
                <w:szCs w:val="28"/>
              </w:rPr>
              <w:t xml:space="preserve">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7" w:hRule="atLeast"/>
        </w:trPr>
        <w:tc>
          <w:tcPr>
            <w:tcW w:w="2694" w:type="dxa"/>
          </w:tcPr>
          <w:p>
            <w:pPr>
              <w:spacing w:line="298" w:lineRule="auto"/>
              <w:rPr>
                <w:color w:val="auto"/>
              </w:rPr>
            </w:pPr>
          </w:p>
          <w:p>
            <w:pPr>
              <w:spacing w:line="299" w:lineRule="auto"/>
              <w:rPr>
                <w:color w:val="auto"/>
              </w:rPr>
            </w:pPr>
          </w:p>
          <w:p>
            <w:pPr>
              <w:spacing w:line="299" w:lineRule="auto"/>
              <w:rPr>
                <w:color w:val="auto"/>
              </w:rPr>
            </w:pPr>
          </w:p>
          <w:p>
            <w:pPr>
              <w:spacing w:line="299" w:lineRule="auto"/>
              <w:rPr>
                <w:color w:val="auto"/>
              </w:rPr>
            </w:pPr>
          </w:p>
          <w:p>
            <w:pPr>
              <w:spacing w:before="91" w:line="251" w:lineRule="auto"/>
              <w:ind w:left="789" w:right="502" w:hanging="263"/>
              <w:rPr>
                <w:rFonts w:ascii="楷体" w:hAnsi="楷体" w:eastAsia="楷体" w:cs="楷体"/>
                <w:color w:val="auto"/>
                <w:sz w:val="28"/>
                <w:szCs w:val="28"/>
              </w:rPr>
            </w:pPr>
            <w:r>
              <w:rPr>
                <w:rFonts w:ascii="楷体" w:hAnsi="楷体" w:eastAsia="楷体" w:cs="楷体"/>
                <w:color w:val="auto"/>
                <w:spacing w:val="-6"/>
                <w:sz w:val="28"/>
                <w:szCs w:val="28"/>
              </w:rPr>
              <w:t>市</w:t>
            </w:r>
            <w:r>
              <w:rPr>
                <w:rFonts w:ascii="楷体" w:hAnsi="楷体" w:eastAsia="楷体" w:cs="楷体"/>
                <w:color w:val="auto"/>
                <w:spacing w:val="-3"/>
                <w:sz w:val="28"/>
                <w:szCs w:val="28"/>
              </w:rPr>
              <w:t>级教育行政</w:t>
            </w:r>
            <w:r>
              <w:rPr>
                <w:rFonts w:ascii="楷体" w:hAnsi="楷体" w:eastAsia="楷体" w:cs="楷体"/>
                <w:color w:val="auto"/>
                <w:sz w:val="28"/>
                <w:szCs w:val="28"/>
              </w:rPr>
              <w:t xml:space="preserve"> </w:t>
            </w:r>
            <w:r>
              <w:rPr>
                <w:rFonts w:ascii="楷体" w:hAnsi="楷体" w:eastAsia="楷体" w:cs="楷体"/>
                <w:color w:val="auto"/>
                <w:spacing w:val="-1"/>
                <w:sz w:val="28"/>
                <w:szCs w:val="28"/>
              </w:rPr>
              <w:t>部门</w:t>
            </w:r>
            <w:r>
              <w:rPr>
                <w:rFonts w:ascii="楷体" w:hAnsi="楷体" w:eastAsia="楷体" w:cs="楷体"/>
                <w:color w:val="auto"/>
                <w:sz w:val="28"/>
                <w:szCs w:val="28"/>
              </w:rPr>
              <w:t>意见</w:t>
            </w:r>
          </w:p>
        </w:tc>
        <w:tc>
          <w:tcPr>
            <w:tcW w:w="6288" w:type="dxa"/>
          </w:tcPr>
          <w:p>
            <w:pPr>
              <w:spacing w:line="255" w:lineRule="auto"/>
              <w:rPr>
                <w:color w:val="auto"/>
              </w:rPr>
            </w:pPr>
          </w:p>
          <w:p>
            <w:pPr>
              <w:spacing w:line="255" w:lineRule="auto"/>
              <w:rPr>
                <w:color w:val="auto"/>
              </w:rPr>
            </w:pPr>
          </w:p>
          <w:p>
            <w:pPr>
              <w:spacing w:line="255" w:lineRule="auto"/>
              <w:rPr>
                <w:color w:val="auto"/>
              </w:rPr>
            </w:pPr>
          </w:p>
          <w:p>
            <w:pPr>
              <w:spacing w:line="255" w:lineRule="auto"/>
              <w:rPr>
                <w:color w:val="auto"/>
              </w:rPr>
            </w:pPr>
          </w:p>
          <w:p>
            <w:pPr>
              <w:spacing w:line="255" w:lineRule="auto"/>
              <w:rPr>
                <w:color w:val="auto"/>
              </w:rPr>
            </w:pPr>
          </w:p>
          <w:p>
            <w:pPr>
              <w:spacing w:line="255" w:lineRule="auto"/>
              <w:rPr>
                <w:color w:val="auto"/>
              </w:rPr>
            </w:pPr>
          </w:p>
          <w:p>
            <w:pPr>
              <w:spacing w:line="255" w:lineRule="auto"/>
              <w:rPr>
                <w:color w:val="auto"/>
              </w:rPr>
            </w:pPr>
          </w:p>
          <w:p>
            <w:pPr>
              <w:spacing w:line="255" w:lineRule="auto"/>
              <w:rPr>
                <w:color w:val="auto"/>
              </w:rPr>
            </w:pPr>
          </w:p>
          <w:p>
            <w:pPr>
              <w:spacing w:line="255" w:lineRule="auto"/>
              <w:rPr>
                <w:color w:val="auto"/>
              </w:rPr>
            </w:pPr>
          </w:p>
          <w:p>
            <w:pPr>
              <w:spacing w:before="91" w:line="218" w:lineRule="auto"/>
              <w:ind w:left="3590"/>
              <w:rPr>
                <w:rFonts w:ascii="楷体" w:hAnsi="楷体" w:eastAsia="楷体" w:cs="楷体"/>
                <w:color w:val="auto"/>
                <w:sz w:val="28"/>
                <w:szCs w:val="28"/>
              </w:rPr>
            </w:pPr>
            <w:r>
              <w:rPr>
                <w:rFonts w:ascii="楷体" w:hAnsi="楷体" w:eastAsia="楷体" w:cs="楷体"/>
                <w:color w:val="auto"/>
                <w:spacing w:val="37"/>
                <w:sz w:val="28"/>
                <w:szCs w:val="28"/>
              </w:rPr>
              <w:t>(</w:t>
            </w:r>
            <w:r>
              <w:rPr>
                <w:rFonts w:ascii="楷体" w:hAnsi="楷体" w:eastAsia="楷体" w:cs="楷体"/>
                <w:color w:val="auto"/>
                <w:spacing w:val="35"/>
                <w:sz w:val="28"/>
                <w:szCs w:val="28"/>
              </w:rPr>
              <w:t>盖章)</w:t>
            </w:r>
          </w:p>
          <w:p>
            <w:pPr>
              <w:spacing w:before="168" w:line="209" w:lineRule="auto"/>
              <w:ind w:left="4033"/>
              <w:rPr>
                <w:rFonts w:ascii="楷体" w:hAnsi="楷体" w:eastAsia="楷体" w:cs="楷体"/>
                <w:color w:val="auto"/>
                <w:sz w:val="28"/>
                <w:szCs w:val="28"/>
              </w:rPr>
            </w:pPr>
            <w:r>
              <w:rPr>
                <w:rFonts w:ascii="楷体" w:hAnsi="楷体" w:eastAsia="楷体" w:cs="楷体"/>
                <w:color w:val="auto"/>
                <w:spacing w:val="10"/>
                <w:sz w:val="28"/>
                <w:szCs w:val="28"/>
              </w:rPr>
              <w:t>年</w:t>
            </w:r>
            <w:r>
              <w:rPr>
                <w:rFonts w:ascii="楷体" w:hAnsi="楷体" w:eastAsia="楷体" w:cs="楷体"/>
                <w:color w:val="auto"/>
                <w:spacing w:val="8"/>
                <w:sz w:val="28"/>
                <w:szCs w:val="28"/>
              </w:rPr>
              <w:t xml:space="preserve">  月  日</w:t>
            </w:r>
          </w:p>
        </w:tc>
      </w:tr>
    </w:tbl>
    <w:p>
      <w:pPr>
        <w:rPr>
          <w:rFonts w:eastAsiaTheme="minorEastAsia"/>
          <w:color w:val="auto"/>
        </w:rPr>
        <w:sectPr>
          <w:footerReference r:id="rId4" w:type="default"/>
          <w:pgSz w:w="11907" w:h="16839"/>
          <w:pgMar w:top="400" w:right="1459" w:bottom="1783" w:left="1459" w:header="0" w:footer="1533" w:gutter="0"/>
          <w:pgNumType w:fmt="decimal"/>
          <w:cols w:space="720" w:num="1"/>
        </w:sectPr>
      </w:pPr>
    </w:p>
    <w:p>
      <w:pPr>
        <w:rPr>
          <w:rFonts w:eastAsiaTheme="minorEastAsia"/>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268"/>
      <w:rPr>
        <w:rFonts w:ascii="Times New Roman" w:hAnsi="Times New Roman" w:eastAsia="Times New Roman" w:cs="Times New Roman"/>
        <w:sz w:val="28"/>
        <w:szCs w:val="28"/>
      </w:rPr>
    </w:pPr>
    <w:r>
      <w:rPr>
        <w:sz w:val="28"/>
      </w:rPr>
      <w:pict>
        <v:shape id="_x0000_s2050" o:spid="_x0000_s2050" o:spt="202" type="#_x0000_t202" style="position:absolute;left:0pt;margin-top:0pt;height:144pt;width:144pt;mso-position-horizontal:right;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6</w:t>
                </w:r>
                <w:r>
                  <w:fldChar w:fldCharType="end"/>
                </w:r>
                <w:r>
                  <w:t xml:space="preserve"> —</w:t>
                </w:r>
              </w:p>
            </w:txbxContent>
          </v:textbox>
        </v:shape>
      </w:pic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pacing w:val="1"/>
        <w:sz w:val="28"/>
        <w:szCs w:val="28"/>
      </w:rPr>
      <w:t>4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F7CD61"/>
    <w:multiLevelType w:val="multilevel"/>
    <w:tmpl w:val="5AF7CD61"/>
    <w:lvl w:ilvl="0" w:tentative="0">
      <w:start w:val="0"/>
      <w:numFmt w:val="decimal"/>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687E617E"/>
    <w:multiLevelType w:val="multilevel"/>
    <w:tmpl w:val="687E617E"/>
    <w:lvl w:ilvl="0" w:tentative="0">
      <w:start w:val="0"/>
      <w:numFmt w:val="decimal"/>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UyNTVmZmZiNDVlMWRlN2ZlZGRhNTFlYjE0Y2U0MDEifQ=="/>
  </w:docVars>
  <w:rsids>
    <w:rsidRoot w:val="00842D12"/>
    <w:rsid w:val="000F0C61"/>
    <w:rsid w:val="0013704E"/>
    <w:rsid w:val="00213C8A"/>
    <w:rsid w:val="0021578A"/>
    <w:rsid w:val="00264DF0"/>
    <w:rsid w:val="00305AB3"/>
    <w:rsid w:val="0039365D"/>
    <w:rsid w:val="004A3728"/>
    <w:rsid w:val="005400BB"/>
    <w:rsid w:val="005828F0"/>
    <w:rsid w:val="005873C2"/>
    <w:rsid w:val="0059023E"/>
    <w:rsid w:val="006A744F"/>
    <w:rsid w:val="00740D3E"/>
    <w:rsid w:val="007956A8"/>
    <w:rsid w:val="007C2E8C"/>
    <w:rsid w:val="007F0F77"/>
    <w:rsid w:val="00842D12"/>
    <w:rsid w:val="00846DD5"/>
    <w:rsid w:val="008506FB"/>
    <w:rsid w:val="008677D2"/>
    <w:rsid w:val="00876CA4"/>
    <w:rsid w:val="00907020"/>
    <w:rsid w:val="00910526"/>
    <w:rsid w:val="00AD754D"/>
    <w:rsid w:val="00AF3E77"/>
    <w:rsid w:val="00AF7C16"/>
    <w:rsid w:val="00B176CD"/>
    <w:rsid w:val="00B1787C"/>
    <w:rsid w:val="00B26E6B"/>
    <w:rsid w:val="00B27034"/>
    <w:rsid w:val="00BB0890"/>
    <w:rsid w:val="00C87F89"/>
    <w:rsid w:val="00CD0A7E"/>
    <w:rsid w:val="00CE4725"/>
    <w:rsid w:val="00D06843"/>
    <w:rsid w:val="00D2479B"/>
    <w:rsid w:val="00D35CB4"/>
    <w:rsid w:val="00D83AAB"/>
    <w:rsid w:val="00D879BD"/>
    <w:rsid w:val="00DB5303"/>
    <w:rsid w:val="00DF6DF7"/>
    <w:rsid w:val="00E41692"/>
    <w:rsid w:val="00E4710E"/>
    <w:rsid w:val="00E7406F"/>
    <w:rsid w:val="00EF16EC"/>
    <w:rsid w:val="00F03B89"/>
    <w:rsid w:val="00F0741A"/>
    <w:rsid w:val="00F12571"/>
    <w:rsid w:val="00F74B90"/>
    <w:rsid w:val="0D866FFB"/>
    <w:rsid w:val="0F860EAA"/>
    <w:rsid w:val="10322050"/>
    <w:rsid w:val="15E23B4D"/>
    <w:rsid w:val="1FAC4F5C"/>
    <w:rsid w:val="23EC013E"/>
    <w:rsid w:val="2B220473"/>
    <w:rsid w:val="32F11609"/>
    <w:rsid w:val="3321758E"/>
    <w:rsid w:val="33AC1889"/>
    <w:rsid w:val="418B4A9B"/>
    <w:rsid w:val="446C2633"/>
    <w:rsid w:val="478C3E25"/>
    <w:rsid w:val="4D2B6D85"/>
    <w:rsid w:val="4E794D2B"/>
    <w:rsid w:val="52623ABC"/>
    <w:rsid w:val="57022C79"/>
    <w:rsid w:val="57802260"/>
    <w:rsid w:val="5BB12B84"/>
    <w:rsid w:val="5D5021A9"/>
    <w:rsid w:val="6CA64085"/>
    <w:rsid w:val="725B27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iPriority w:val="0"/>
    <w:rPr>
      <w:sz w:val="18"/>
      <w:szCs w:val="18"/>
    </w:rPr>
  </w:style>
  <w:style w:type="paragraph" w:styleId="3">
    <w:name w:val="footer"/>
    <w:basedOn w:val="1"/>
    <w:link w:val="11"/>
    <w:qFormat/>
    <w:uiPriority w:val="0"/>
    <w:pPr>
      <w:tabs>
        <w:tab w:val="center" w:pos="4153"/>
        <w:tab w:val="right" w:pos="8306"/>
      </w:tabs>
    </w:pPr>
    <w:rPr>
      <w:sz w:val="18"/>
      <w:szCs w:val="18"/>
    </w:rPr>
  </w:style>
  <w:style w:type="paragraph" w:styleId="4">
    <w:name w:val="header"/>
    <w:basedOn w:val="1"/>
    <w:link w:val="10"/>
    <w:qFormat/>
    <w:uiPriority w:val="0"/>
    <w:pPr>
      <w:pBdr>
        <w:bottom w:val="single" w:color="auto" w:sz="6" w:space="1"/>
      </w:pBdr>
      <w:tabs>
        <w:tab w:val="center" w:pos="4153"/>
        <w:tab w:val="right" w:pos="8306"/>
      </w:tabs>
      <w:jc w:val="center"/>
    </w:pPr>
    <w:rPr>
      <w:sz w:val="18"/>
      <w:szCs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styleId="8">
    <w:name w:val="List Paragraph"/>
    <w:basedOn w:val="1"/>
    <w:unhideWhenUsed/>
    <w:qFormat/>
    <w:uiPriority w:val="99"/>
    <w:pPr>
      <w:ind w:firstLine="420" w:firstLineChars="200"/>
    </w:pPr>
  </w:style>
  <w:style w:type="character" w:customStyle="1" w:styleId="9">
    <w:name w:val="批注框文本 Char"/>
    <w:basedOn w:val="6"/>
    <w:link w:val="2"/>
    <w:qFormat/>
    <w:uiPriority w:val="0"/>
    <w:rPr>
      <w:rFonts w:ascii="Arial" w:hAnsi="Arial" w:eastAsia="Arial" w:cs="Arial"/>
      <w:snapToGrid w:val="0"/>
      <w:color w:val="000000"/>
      <w:sz w:val="18"/>
      <w:szCs w:val="18"/>
    </w:rPr>
  </w:style>
  <w:style w:type="character" w:customStyle="1" w:styleId="10">
    <w:name w:val="页眉 Char"/>
    <w:basedOn w:val="6"/>
    <w:link w:val="4"/>
    <w:qFormat/>
    <w:uiPriority w:val="0"/>
    <w:rPr>
      <w:rFonts w:ascii="Arial" w:hAnsi="Arial" w:eastAsia="Arial" w:cs="Arial"/>
      <w:snapToGrid w:val="0"/>
      <w:color w:val="000000"/>
      <w:sz w:val="18"/>
      <w:szCs w:val="18"/>
    </w:rPr>
  </w:style>
  <w:style w:type="character" w:customStyle="1" w:styleId="11">
    <w:name w:val="页脚 Char"/>
    <w:basedOn w:val="6"/>
    <w:link w:val="3"/>
    <w:qFormat/>
    <w:uiPriority w:val="0"/>
    <w:rPr>
      <w:rFonts w:ascii="Arial" w:hAnsi="Arial" w:eastAsia="Arial" w:cs="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textRotate="1"/>
    <customShpInfo spid="_x0000_s2050" textRotate="1"/>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5432C5-D516-4688-AE99-E3499FB15776}">
  <ds:schemaRefs/>
</ds:datastoreItem>
</file>

<file path=docProps/app.xml><?xml version="1.0" encoding="utf-8"?>
<Properties xmlns="http://schemas.openxmlformats.org/officeDocument/2006/extended-properties" xmlns:vt="http://schemas.openxmlformats.org/officeDocument/2006/docPropsVTypes">
  <Template>Normal</Template>
  <Pages>7</Pages>
  <Words>3680</Words>
  <Characters>3726</Characters>
  <Lines>22</Lines>
  <Paragraphs>6</Paragraphs>
  <TotalTime>13</TotalTime>
  <ScaleCrop>false</ScaleCrop>
  <LinksUpToDate>false</LinksUpToDate>
  <CharactersWithSpaces>3755</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2022-08-17T01:17:00Z</dcterms:created>
  <dc:creator>Administrator</dc:creator>
  <cp:lastModifiedBy>Administrator</cp:lastModifiedBy>
  <cp:lastPrinted>2022-09-05T01:48:18Z</cp:lastPrinted>
  <dcterms:modified xsi:type="dcterms:W3CDTF">2022-09-05T01:52:43Z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1AD84775009B4ACD8A95D07EFE3346F7</vt:lpwstr>
  </property>
</Properties>
</file>