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355" w:firstLineChars="308"/>
        <w:jc w:val="left"/>
      </w:pPr>
      <w:bookmarkStart w:id="0" w:name="_GoBack"/>
      <w:bookmarkEnd w:id="0"/>
      <w:r>
        <w:t>送教上门、随班就读优秀案例申报表</w:t>
      </w:r>
    </w:p>
    <w:p>
      <w:pPr>
        <w:pStyle w:val="3"/>
        <w:spacing w:before="16" w:after="1"/>
        <w:rPr>
          <w:rFonts w:ascii="方正小标宋简体"/>
          <w:sz w:val="24"/>
        </w:rPr>
      </w:pPr>
    </w:p>
    <w:tbl>
      <w:tblPr>
        <w:tblStyle w:val="7"/>
        <w:tblW w:w="0" w:type="auto"/>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37"/>
        <w:gridCol w:w="1395"/>
        <w:gridCol w:w="2009"/>
        <w:gridCol w:w="661"/>
        <w:gridCol w:w="202"/>
        <w:gridCol w:w="1402"/>
        <w:gridCol w:w="22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037" w:type="dxa"/>
            <w:vAlign w:val="center"/>
          </w:tcPr>
          <w:p>
            <w:pPr>
              <w:pStyle w:val="12"/>
              <w:jc w:val="center"/>
              <w:rPr>
                <w:rFonts w:ascii="楷体" w:hAnsi="楷体" w:eastAsia="楷体" w:cstheme="minorEastAsia"/>
                <w:sz w:val="32"/>
                <w:szCs w:val="32"/>
                <w:lang w:val="en-US"/>
              </w:rPr>
            </w:pPr>
            <w:r>
              <w:rPr>
                <w:rFonts w:hint="eastAsia" w:ascii="楷体" w:hAnsi="楷体" w:eastAsia="楷体" w:cstheme="minorEastAsia"/>
                <w:sz w:val="32"/>
                <w:szCs w:val="32"/>
                <w:lang w:val="en-US"/>
              </w:rPr>
              <w:t>姓名</w:t>
            </w:r>
          </w:p>
        </w:tc>
        <w:tc>
          <w:tcPr>
            <w:tcW w:w="3404" w:type="dxa"/>
            <w:gridSpan w:val="2"/>
            <w:vAlign w:val="center"/>
          </w:tcPr>
          <w:p>
            <w:pPr>
              <w:pStyle w:val="12"/>
              <w:jc w:val="both"/>
              <w:rPr>
                <w:rFonts w:ascii="仿宋_GB2312" w:eastAsia="仿宋_GB2312" w:hAnsiTheme="minorEastAsia" w:cstheme="minorEastAsia"/>
                <w:sz w:val="32"/>
                <w:szCs w:val="32"/>
                <w:lang w:val="en-US"/>
              </w:rPr>
            </w:pPr>
            <w:r>
              <w:rPr>
                <w:rFonts w:hint="eastAsia" w:ascii="仿宋_GB2312" w:eastAsia="仿宋_GB2312" w:hAnsiTheme="minorEastAsia" w:cstheme="minorEastAsia"/>
                <w:sz w:val="32"/>
                <w:szCs w:val="32"/>
                <w:lang w:val="en-US"/>
              </w:rPr>
              <w:t>云  伟 李海龙 孙其华 李启源</w:t>
            </w:r>
          </w:p>
        </w:tc>
        <w:tc>
          <w:tcPr>
            <w:tcW w:w="863" w:type="dxa"/>
            <w:gridSpan w:val="2"/>
            <w:vAlign w:val="center"/>
          </w:tcPr>
          <w:p>
            <w:pPr>
              <w:pStyle w:val="12"/>
              <w:jc w:val="center"/>
              <w:rPr>
                <w:rFonts w:asciiTheme="minorEastAsia" w:hAnsiTheme="minorEastAsia" w:cstheme="minorEastAsia"/>
                <w:sz w:val="24"/>
                <w:szCs w:val="24"/>
                <w:lang w:val="en-US"/>
              </w:rPr>
            </w:pPr>
            <w:r>
              <w:rPr>
                <w:rFonts w:hint="eastAsia" w:ascii="楷体" w:hAnsi="楷体" w:eastAsia="楷体" w:cstheme="minorEastAsia"/>
                <w:sz w:val="32"/>
                <w:szCs w:val="32"/>
                <w:lang w:val="en-US"/>
              </w:rPr>
              <w:t>单位</w:t>
            </w:r>
          </w:p>
        </w:tc>
        <w:tc>
          <w:tcPr>
            <w:tcW w:w="3676" w:type="dxa"/>
            <w:gridSpan w:val="2"/>
            <w:vAlign w:val="center"/>
          </w:tcPr>
          <w:p>
            <w:pPr>
              <w:pStyle w:val="12"/>
              <w:jc w:val="center"/>
              <w:rPr>
                <w:rFonts w:ascii="仿宋_GB2312" w:eastAsia="仿宋_GB2312" w:hAnsiTheme="minorEastAsia" w:cstheme="minorEastAsia"/>
                <w:sz w:val="32"/>
                <w:szCs w:val="32"/>
                <w:lang w:val="en-US"/>
              </w:rPr>
            </w:pPr>
            <w:r>
              <w:rPr>
                <w:rFonts w:hint="eastAsia" w:ascii="仿宋_GB2312" w:eastAsia="仿宋_GB2312" w:hAnsiTheme="minorEastAsia" w:cstheme="minorEastAsia"/>
                <w:sz w:val="32"/>
                <w:szCs w:val="32"/>
                <w:lang w:val="en-US"/>
              </w:rPr>
              <w:t>安丘市教育和体育局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2432" w:type="dxa"/>
            <w:gridSpan w:val="2"/>
            <w:vAlign w:val="center"/>
          </w:tcPr>
          <w:p>
            <w:pPr>
              <w:pStyle w:val="12"/>
              <w:jc w:val="center"/>
              <w:rPr>
                <w:rFonts w:asciiTheme="minorEastAsia" w:hAnsiTheme="minorEastAsia" w:cstheme="minorEastAsia"/>
                <w:sz w:val="24"/>
                <w:szCs w:val="24"/>
                <w:lang w:val="en-US"/>
              </w:rPr>
            </w:pPr>
            <w:r>
              <w:rPr>
                <w:rFonts w:hint="eastAsia" w:ascii="楷体" w:hAnsi="楷体" w:eastAsia="楷体" w:cstheme="minorEastAsia"/>
                <w:sz w:val="32"/>
                <w:szCs w:val="32"/>
                <w:lang w:val="en-US"/>
              </w:rPr>
              <w:t>案例名称</w:t>
            </w:r>
          </w:p>
        </w:tc>
        <w:tc>
          <w:tcPr>
            <w:tcW w:w="6548" w:type="dxa"/>
            <w:gridSpan w:val="5"/>
            <w:vAlign w:val="center"/>
          </w:tcPr>
          <w:p>
            <w:pPr>
              <w:rPr>
                <w:rFonts w:ascii="仿宋_GB2312" w:eastAsia="仿宋_GB2312" w:hAnsiTheme="minorEastAsia" w:cstheme="minorEastAsia"/>
                <w:sz w:val="32"/>
                <w:szCs w:val="32"/>
                <w:lang w:val="en-US"/>
              </w:rPr>
            </w:pPr>
            <w:r>
              <w:rPr>
                <w:rFonts w:hint="eastAsia" w:ascii="仿宋_GB2312" w:eastAsia="仿宋_GB2312" w:hAnsiTheme="minorEastAsia" w:cstheme="minorEastAsia"/>
                <w:sz w:val="32"/>
                <w:szCs w:val="32"/>
                <w:lang w:val="en-US"/>
              </w:rPr>
              <w:t>聚焦普特协同，打造县域特殊教育发展新格局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2432" w:type="dxa"/>
            <w:gridSpan w:val="2"/>
            <w:vAlign w:val="center"/>
          </w:tcPr>
          <w:p>
            <w:pPr>
              <w:pStyle w:val="12"/>
              <w:jc w:val="center"/>
              <w:rPr>
                <w:rFonts w:asciiTheme="minorEastAsia" w:hAnsiTheme="minorEastAsia" w:cstheme="minorEastAsia"/>
                <w:sz w:val="24"/>
                <w:szCs w:val="24"/>
                <w:lang w:val="en-US"/>
              </w:rPr>
            </w:pPr>
            <w:r>
              <w:rPr>
                <w:rFonts w:hint="eastAsia" w:ascii="楷体" w:hAnsi="楷体" w:eastAsia="楷体" w:cstheme="minorEastAsia"/>
                <w:sz w:val="32"/>
                <w:szCs w:val="32"/>
                <w:lang w:val="en-US"/>
              </w:rPr>
              <w:t>申报人职称</w:t>
            </w:r>
          </w:p>
        </w:tc>
        <w:tc>
          <w:tcPr>
            <w:tcW w:w="2670" w:type="dxa"/>
            <w:gridSpan w:val="2"/>
            <w:vAlign w:val="center"/>
          </w:tcPr>
          <w:p>
            <w:pPr>
              <w:pStyle w:val="12"/>
              <w:jc w:val="center"/>
              <w:rPr>
                <w:rFonts w:ascii="仿宋_GB2312" w:eastAsia="仿宋_GB2312" w:hAnsiTheme="minorEastAsia" w:cstheme="minorEastAsia"/>
                <w:sz w:val="32"/>
                <w:szCs w:val="32"/>
                <w:lang w:val="en-US"/>
              </w:rPr>
            </w:pPr>
            <w:r>
              <w:rPr>
                <w:rFonts w:hint="eastAsia" w:ascii="仿宋_GB2312" w:eastAsia="仿宋_GB2312" w:hAnsiTheme="minorEastAsia" w:cstheme="minorEastAsia"/>
                <w:sz w:val="32"/>
                <w:szCs w:val="32"/>
                <w:lang w:val="en-US"/>
              </w:rPr>
              <w:t>一级教师</w:t>
            </w:r>
          </w:p>
        </w:tc>
        <w:tc>
          <w:tcPr>
            <w:tcW w:w="1604" w:type="dxa"/>
            <w:gridSpan w:val="2"/>
            <w:vAlign w:val="center"/>
          </w:tcPr>
          <w:p>
            <w:pPr>
              <w:pStyle w:val="12"/>
              <w:jc w:val="center"/>
              <w:rPr>
                <w:rFonts w:asciiTheme="minorEastAsia" w:hAnsiTheme="minorEastAsia" w:cstheme="minorEastAsia"/>
                <w:sz w:val="24"/>
                <w:szCs w:val="24"/>
                <w:lang w:val="en-US"/>
              </w:rPr>
            </w:pPr>
            <w:r>
              <w:rPr>
                <w:rFonts w:hint="eastAsia" w:asciiTheme="minorEastAsia" w:hAnsiTheme="minorEastAsia" w:cstheme="minorEastAsia"/>
                <w:sz w:val="24"/>
                <w:szCs w:val="24"/>
                <w:lang w:val="en-US"/>
              </w:rPr>
              <w:t>联系电话</w:t>
            </w:r>
          </w:p>
        </w:tc>
        <w:tc>
          <w:tcPr>
            <w:tcW w:w="2274" w:type="dxa"/>
            <w:vAlign w:val="center"/>
          </w:tcPr>
          <w:p>
            <w:pPr>
              <w:pStyle w:val="12"/>
              <w:jc w:val="center"/>
              <w:rPr>
                <w:rFonts w:ascii="仿宋_GB2312" w:eastAsia="仿宋_GB2312" w:hAnsiTheme="minorEastAsia" w:cstheme="minorEastAsia"/>
                <w:sz w:val="32"/>
                <w:szCs w:val="32"/>
                <w:lang w:val="en-US"/>
              </w:rPr>
            </w:pPr>
            <w:r>
              <w:rPr>
                <w:rFonts w:hint="eastAsia" w:ascii="仿宋_GB2312" w:eastAsia="仿宋_GB2312" w:hAnsiTheme="minorEastAsia" w:cstheme="minorEastAsia"/>
                <w:sz w:val="32"/>
                <w:szCs w:val="32"/>
                <w:lang w:val="en-US"/>
              </w:rPr>
              <w:t>15095273963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2" w:hRule="atLeast"/>
        </w:trPr>
        <w:tc>
          <w:tcPr>
            <w:tcW w:w="8980" w:type="dxa"/>
            <w:gridSpan w:val="7"/>
          </w:tcPr>
          <w:p>
            <w:pPr>
              <w:pStyle w:val="12"/>
              <w:spacing w:before="39"/>
              <w:rPr>
                <w:rFonts w:ascii="黑体" w:hAnsi="黑体" w:eastAsia="黑体" w:cs="仿宋_GB2312"/>
                <w:sz w:val="32"/>
                <w:szCs w:val="32"/>
                <w:lang w:val="en-US"/>
              </w:rPr>
            </w:pPr>
            <w:r>
              <w:rPr>
                <w:rFonts w:ascii="黑体" w:hAnsi="黑体" w:eastAsia="黑体" w:cs="仿宋_GB2312"/>
                <w:sz w:val="32"/>
                <w:szCs w:val="32"/>
                <w:lang w:val="en-US"/>
              </w:rPr>
              <w:t>正文（见附页）</w:t>
            </w: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p>
            <w:pPr>
              <w:pStyle w:val="12"/>
              <w:spacing w:before="39"/>
              <w:ind w:left="107"/>
              <w:rPr>
                <w:rFonts w:ascii="仿宋_GB2312" w:hAnsi="仿宋_GB2312" w:eastAsia="仿宋_GB2312" w:cs="仿宋_GB2312"/>
                <w:sz w:val="28"/>
                <w:szCs w:val="28"/>
                <w:lang w:val="en-US"/>
              </w:rPr>
            </w:pPr>
          </w:p>
        </w:tc>
      </w:tr>
    </w:tbl>
    <w:p>
      <w:pPr>
        <w:pStyle w:val="3"/>
        <w:spacing w:before="9"/>
        <w:rPr>
          <w:rFonts w:ascii="方正小标宋简体"/>
          <w:sz w:val="16"/>
        </w:rPr>
      </w:pPr>
    </w:p>
    <w:p>
      <w:pPr>
        <w:spacing w:before="89"/>
        <w:ind w:right="426"/>
        <w:jc w:val="right"/>
        <w:rPr>
          <w:rFonts w:ascii="Times New Roman" w:hAnsi="Times New Roman"/>
          <w:sz w:val="28"/>
        </w:rPr>
      </w:pPr>
    </w:p>
    <w:p>
      <w:pPr>
        <w:jc w:val="right"/>
        <w:rPr>
          <w:rFonts w:ascii="Times New Roman" w:hAnsi="Times New Roman"/>
          <w:sz w:val="28"/>
        </w:rPr>
        <w:sectPr>
          <w:pgSz w:w="11910" w:h="16840"/>
          <w:pgMar w:top="1580" w:right="1300" w:bottom="280" w:left="1300" w:header="720" w:footer="720" w:gutter="0"/>
          <w:cols w:space="720" w:num="1"/>
        </w:sectPr>
      </w:pPr>
    </w:p>
    <w:tbl>
      <w:tblPr>
        <w:tblStyle w:val="7"/>
        <w:tblW w:w="0" w:type="auto"/>
        <w:tblInd w:w="1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91"/>
        <w:gridCol w:w="5007"/>
        <w:gridCol w:w="12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2" w:hRule="atLeast"/>
        </w:trPr>
        <w:tc>
          <w:tcPr>
            <w:tcW w:w="8977" w:type="dxa"/>
            <w:gridSpan w:val="3"/>
          </w:tcPr>
          <w:p>
            <w:pPr>
              <w:pStyle w:val="12"/>
              <w:spacing w:before="39"/>
              <w:ind w:left="107"/>
              <w:rPr>
                <w:rFonts w:ascii="黑体" w:hAnsi="黑体" w:eastAsia="黑体"/>
                <w:sz w:val="32"/>
                <w:szCs w:val="32"/>
              </w:rPr>
            </w:pPr>
            <w:r>
              <w:rPr>
                <w:rFonts w:ascii="黑体" w:hAnsi="黑体" w:eastAsia="黑体"/>
                <w:sz w:val="32"/>
                <w:szCs w:val="32"/>
              </w:rPr>
              <w:t>宣传推广情况：</w:t>
            </w:r>
          </w:p>
          <w:p>
            <w:pPr>
              <w:pStyle w:val="12"/>
              <w:spacing w:before="39"/>
              <w:ind w:firstLine="640" w:firstLineChars="200"/>
              <w:rPr>
                <w:rFonts w:ascii="仿宋_GB2312" w:eastAsia="仿宋_GB2312"/>
                <w:color w:val="000000"/>
                <w:sz w:val="32"/>
                <w:szCs w:val="32"/>
              </w:rPr>
            </w:pPr>
            <w:r>
              <w:rPr>
                <w:rFonts w:hint="eastAsia" w:ascii="仿宋_GB2312" w:eastAsia="仿宋_GB2312"/>
                <w:bCs/>
                <w:color w:val="000000"/>
                <w:sz w:val="32"/>
                <w:szCs w:val="32"/>
              </w:rPr>
              <w:t>我市的送教上门工作，曾在《潍坊电视台》《山东教育《中小学体卫艺》、《现代教育报》等媒体刊发文章介绍，</w:t>
            </w:r>
            <w:r>
              <w:rPr>
                <w:rFonts w:hint="eastAsia" w:ascii="仿宋_GB2312" w:eastAsia="仿宋_GB2312"/>
                <w:color w:val="000000"/>
                <w:sz w:val="32"/>
                <w:szCs w:val="32"/>
              </w:rPr>
              <w:t>被评为安丘市教育创新成果奖、</w:t>
            </w:r>
            <w:r>
              <w:rPr>
                <w:rFonts w:hint="eastAsia" w:ascii="仿宋_GB2312" w:eastAsia="仿宋_GB2312"/>
                <w:sz w:val="32"/>
                <w:szCs w:val="32"/>
              </w:rPr>
              <w:t>潍坊市基础教育特别行动研究课（已结题）、潍坊市中小学育人管理类创新奖。</w:t>
            </w:r>
            <w:r>
              <w:rPr>
                <w:rFonts w:hint="eastAsia" w:ascii="仿宋_GB2312" w:eastAsia="仿宋_GB2312"/>
                <w:color w:val="000000"/>
                <w:sz w:val="32"/>
                <w:szCs w:val="32"/>
              </w:rPr>
              <w:t>2011年在西安全国培智学校校长论坛上做了重点推介，2016年在山东省特殊教育推进会上典型交流。2017年在潍坊市特殊教育课程改革会议和融合教育研讨会上做了大力推广，2017年11月在山东省随班就读现场会上安丘市的随班就读和送教上门等工作被典型推介。送教上门做法在2022年被评为山东省基础教育成果奖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3" w:hRule="atLeast"/>
        </w:trPr>
        <w:tc>
          <w:tcPr>
            <w:tcW w:w="2691" w:type="dxa"/>
          </w:tcPr>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rPr>
            </w:pPr>
          </w:p>
          <w:p>
            <w:pPr>
              <w:pStyle w:val="12"/>
              <w:spacing w:before="1"/>
              <w:ind w:left="503"/>
              <w:rPr>
                <w:sz w:val="28"/>
              </w:rPr>
            </w:pPr>
            <w:r>
              <w:rPr>
                <w:sz w:val="28"/>
              </w:rPr>
              <w:t>所在学校意见</w:t>
            </w:r>
          </w:p>
        </w:tc>
        <w:tc>
          <w:tcPr>
            <w:tcW w:w="5007" w:type="dxa"/>
            <w:tcBorders>
              <w:right w:val="nil"/>
            </w:tcBorders>
          </w:tcPr>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ind w:left="3523"/>
              <w:rPr>
                <w:sz w:val="28"/>
              </w:rPr>
            </w:pPr>
            <w:r>
              <w:rPr>
                <w:sz w:val="28"/>
              </w:rPr>
              <w:t>（盖章）</w:t>
            </w:r>
          </w:p>
          <w:p>
            <w:pPr>
              <w:pStyle w:val="12"/>
              <w:tabs>
                <w:tab w:val="left" w:pos="4586"/>
              </w:tabs>
              <w:spacing w:before="141" w:line="332" w:lineRule="exact"/>
              <w:ind w:left="4027"/>
              <w:rPr>
                <w:sz w:val="28"/>
              </w:rPr>
            </w:pPr>
            <w:r>
              <w:rPr>
                <w:sz w:val="28"/>
              </w:rPr>
              <w:t>年</w:t>
            </w:r>
            <w:r>
              <w:rPr>
                <w:sz w:val="28"/>
              </w:rPr>
              <w:tab/>
            </w:r>
            <w:r>
              <w:rPr>
                <w:sz w:val="28"/>
              </w:rPr>
              <w:t>月</w:t>
            </w:r>
          </w:p>
        </w:tc>
        <w:tc>
          <w:tcPr>
            <w:tcW w:w="1279" w:type="dxa"/>
            <w:tcBorders>
              <w:left w:val="nil"/>
            </w:tcBorders>
          </w:tcPr>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spacing w:before="178" w:line="332" w:lineRule="exact"/>
              <w:ind w:left="144"/>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9" w:hRule="atLeast"/>
        </w:trPr>
        <w:tc>
          <w:tcPr>
            <w:tcW w:w="2691" w:type="dxa"/>
          </w:tcPr>
          <w:p>
            <w:pPr>
              <w:pStyle w:val="12"/>
              <w:rPr>
                <w:rFonts w:ascii="Times New Roman"/>
                <w:sz w:val="28"/>
              </w:rPr>
            </w:pPr>
          </w:p>
          <w:p>
            <w:pPr>
              <w:pStyle w:val="12"/>
              <w:rPr>
                <w:rFonts w:ascii="Times New Roman"/>
                <w:sz w:val="28"/>
              </w:rPr>
            </w:pPr>
          </w:p>
          <w:p>
            <w:pPr>
              <w:pStyle w:val="12"/>
              <w:spacing w:before="9"/>
              <w:rPr>
                <w:rFonts w:ascii="Times New Roman"/>
                <w:sz w:val="33"/>
              </w:rPr>
            </w:pPr>
          </w:p>
          <w:p>
            <w:pPr>
              <w:pStyle w:val="12"/>
              <w:ind w:left="784" w:right="492" w:hanging="281"/>
              <w:rPr>
                <w:sz w:val="28"/>
              </w:rPr>
            </w:pPr>
            <w:r>
              <w:rPr>
                <w:sz w:val="28"/>
              </w:rPr>
              <w:t>县级教育行政部门意见</w:t>
            </w:r>
          </w:p>
        </w:tc>
        <w:tc>
          <w:tcPr>
            <w:tcW w:w="5007" w:type="dxa"/>
            <w:tcBorders>
              <w:right w:val="nil"/>
            </w:tcBorders>
          </w:tcPr>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spacing w:before="5"/>
              <w:rPr>
                <w:rFonts w:ascii="Times New Roman"/>
                <w:sz w:val="31"/>
              </w:rPr>
            </w:pPr>
          </w:p>
          <w:p>
            <w:pPr>
              <w:pStyle w:val="12"/>
              <w:spacing w:before="5"/>
              <w:rPr>
                <w:rFonts w:ascii="Times New Roman"/>
                <w:sz w:val="31"/>
              </w:rPr>
            </w:pPr>
          </w:p>
          <w:p>
            <w:pPr>
              <w:pStyle w:val="12"/>
              <w:ind w:left="3592"/>
              <w:rPr>
                <w:sz w:val="28"/>
              </w:rPr>
            </w:pPr>
            <w:r>
              <w:rPr>
                <w:sz w:val="28"/>
              </w:rPr>
              <w:t>（盖章）</w:t>
            </w:r>
          </w:p>
          <w:p>
            <w:pPr>
              <w:pStyle w:val="12"/>
              <w:tabs>
                <w:tab w:val="left" w:pos="4586"/>
              </w:tabs>
              <w:spacing w:before="141"/>
              <w:ind w:left="4027"/>
              <w:rPr>
                <w:sz w:val="28"/>
              </w:rPr>
            </w:pPr>
            <w:r>
              <w:rPr>
                <w:sz w:val="28"/>
              </w:rPr>
              <w:t>年</w:t>
            </w:r>
            <w:r>
              <w:rPr>
                <w:sz w:val="28"/>
              </w:rPr>
              <w:tab/>
            </w:r>
            <w:r>
              <w:rPr>
                <w:sz w:val="28"/>
              </w:rPr>
              <w:t>月</w:t>
            </w:r>
          </w:p>
        </w:tc>
        <w:tc>
          <w:tcPr>
            <w:tcW w:w="1279" w:type="dxa"/>
            <w:tcBorders>
              <w:left w:val="nil"/>
            </w:tcBorders>
          </w:tcPr>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spacing w:before="217"/>
              <w:ind w:left="144"/>
              <w:rPr>
                <w:sz w:val="28"/>
              </w:rPr>
            </w:pPr>
            <w:r>
              <w:rPr>
                <w:sz w:val="2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9" w:hRule="atLeast"/>
        </w:trPr>
        <w:tc>
          <w:tcPr>
            <w:tcW w:w="2691" w:type="dxa"/>
          </w:tcPr>
          <w:p>
            <w:pPr>
              <w:pStyle w:val="12"/>
              <w:rPr>
                <w:rFonts w:ascii="Times New Roman"/>
                <w:sz w:val="28"/>
              </w:rPr>
            </w:pPr>
          </w:p>
          <w:p>
            <w:pPr>
              <w:pStyle w:val="12"/>
              <w:rPr>
                <w:rFonts w:ascii="Times New Roman"/>
                <w:sz w:val="28"/>
              </w:rPr>
            </w:pPr>
          </w:p>
          <w:p>
            <w:pPr>
              <w:pStyle w:val="12"/>
              <w:rPr>
                <w:rFonts w:ascii="Times New Roman"/>
                <w:sz w:val="28"/>
              </w:rPr>
            </w:pPr>
          </w:p>
          <w:p>
            <w:pPr>
              <w:pStyle w:val="12"/>
              <w:spacing w:before="9"/>
              <w:rPr>
                <w:rFonts w:ascii="Times New Roman"/>
                <w:sz w:val="24"/>
              </w:rPr>
            </w:pPr>
          </w:p>
          <w:p>
            <w:pPr>
              <w:pStyle w:val="12"/>
              <w:ind w:left="784" w:right="492" w:hanging="281"/>
              <w:rPr>
                <w:sz w:val="28"/>
              </w:rPr>
            </w:pPr>
            <w:r>
              <w:rPr>
                <w:sz w:val="28"/>
              </w:rPr>
              <w:t>市级教育行政部门意见</w:t>
            </w:r>
          </w:p>
        </w:tc>
        <w:tc>
          <w:tcPr>
            <w:tcW w:w="5007" w:type="dxa"/>
            <w:tcBorders>
              <w:right w:val="nil"/>
            </w:tcBorders>
          </w:tcPr>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37"/>
              </w:rPr>
            </w:pPr>
          </w:p>
          <w:p>
            <w:pPr>
              <w:pStyle w:val="12"/>
              <w:ind w:left="3592"/>
              <w:rPr>
                <w:sz w:val="28"/>
              </w:rPr>
            </w:pPr>
            <w:r>
              <w:rPr>
                <w:sz w:val="28"/>
              </w:rPr>
              <w:t>（盖章）</w:t>
            </w:r>
          </w:p>
          <w:p>
            <w:pPr>
              <w:pStyle w:val="12"/>
              <w:tabs>
                <w:tab w:val="left" w:pos="4586"/>
              </w:tabs>
              <w:spacing w:before="141" w:line="332" w:lineRule="exact"/>
              <w:ind w:left="4027"/>
              <w:rPr>
                <w:sz w:val="28"/>
              </w:rPr>
            </w:pPr>
            <w:r>
              <w:rPr>
                <w:sz w:val="28"/>
              </w:rPr>
              <w:t>年</w:t>
            </w:r>
            <w:r>
              <w:rPr>
                <w:sz w:val="28"/>
              </w:rPr>
              <w:tab/>
            </w:r>
            <w:r>
              <w:rPr>
                <w:sz w:val="28"/>
              </w:rPr>
              <w:t>月</w:t>
            </w:r>
          </w:p>
        </w:tc>
        <w:tc>
          <w:tcPr>
            <w:tcW w:w="1279" w:type="dxa"/>
            <w:tcBorders>
              <w:left w:val="nil"/>
            </w:tcBorders>
          </w:tcPr>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rPr>
                <w:rFonts w:ascii="Times New Roman"/>
                <w:sz w:val="28"/>
              </w:rPr>
            </w:pPr>
          </w:p>
          <w:p>
            <w:pPr>
              <w:pStyle w:val="12"/>
              <w:spacing w:before="5"/>
              <w:rPr>
                <w:rFonts w:ascii="Times New Roman"/>
                <w:sz w:val="24"/>
              </w:rPr>
            </w:pPr>
          </w:p>
          <w:p>
            <w:pPr>
              <w:pStyle w:val="12"/>
              <w:spacing w:line="332" w:lineRule="exact"/>
              <w:ind w:left="144"/>
              <w:rPr>
                <w:sz w:val="28"/>
              </w:rPr>
            </w:pPr>
            <w:r>
              <w:rPr>
                <w:sz w:val="28"/>
              </w:rPr>
              <w:t>日</w:t>
            </w:r>
          </w:p>
        </w:tc>
      </w:tr>
    </w:tbl>
    <w:p>
      <w:pPr>
        <w:pStyle w:val="3"/>
        <w:rPr>
          <w:rFonts w:ascii="Times New Roman"/>
          <w:sz w:val="20"/>
        </w:rPr>
      </w:pPr>
    </w:p>
    <w:p>
      <w:pPr>
        <w:rPr>
          <w:rFonts w:ascii="Times New Roman" w:hAnsi="Times New Roman"/>
          <w:sz w:val="28"/>
        </w:rPr>
        <w:sectPr>
          <w:pgSz w:w="11910" w:h="16840"/>
          <w:pgMar w:top="1560" w:right="1300" w:bottom="280" w:left="1300" w:header="720" w:footer="720" w:gutter="0"/>
          <w:cols w:space="720" w:num="1"/>
        </w:sectPr>
      </w:pPr>
    </w:p>
    <w:p>
      <w:pPr>
        <w:rPr>
          <w:rFonts w:ascii="方正小标宋简体" w:hAnsi="仿宋" w:eastAsia="方正小标宋简体" w:cs="仿宋"/>
          <w:sz w:val="44"/>
          <w:szCs w:val="44"/>
        </w:rPr>
      </w:pPr>
      <w:r>
        <w:rPr>
          <w:rFonts w:hint="eastAsia" w:ascii="方正小标宋简体" w:hAnsi="仿宋" w:eastAsia="方正小标宋简体" w:cs="仿宋"/>
          <w:sz w:val="44"/>
          <w:szCs w:val="44"/>
        </w:rPr>
        <w:t>聚焦普特协同，打造县域特殊教育发展新格局</w:t>
      </w:r>
    </w:p>
    <w:p>
      <w:pPr>
        <w:ind w:firstLine="3200" w:firstLineChars="1000"/>
        <w:rPr>
          <w:rFonts w:ascii="楷体" w:hAnsi="楷体" w:eastAsia="楷体" w:cs="仿宋"/>
          <w:sz w:val="32"/>
          <w:szCs w:val="32"/>
        </w:rPr>
      </w:pPr>
      <w:r>
        <w:rPr>
          <w:rFonts w:ascii="楷体" w:hAnsi="楷体" w:eastAsia="楷体" w:cs="仿宋"/>
          <w:sz w:val="32"/>
          <w:szCs w:val="32"/>
        </w:rPr>
        <w:t>安丘市教育和体育局</w:t>
      </w:r>
    </w:p>
    <w:p>
      <w:pPr>
        <w:spacing w:line="540" w:lineRule="exact"/>
        <w:ind w:firstLine="640" w:firstLineChars="200"/>
        <w:rPr>
          <w:rFonts w:ascii="仿宋_GB2312" w:hAnsi="仿宋" w:eastAsia="仿宋_GB2312" w:cs="仿宋"/>
          <w:sz w:val="32"/>
          <w:szCs w:val="32"/>
        </w:rPr>
      </w:pPr>
    </w:p>
    <w:p>
      <w:pPr>
        <w:spacing w:line="540" w:lineRule="exact"/>
        <w:ind w:firstLine="640" w:firstLineChars="200"/>
        <w:rPr>
          <w:rFonts w:ascii="仿宋_GB2312" w:hAnsi="宋体" w:eastAsia="仿宋_GB2312" w:cs="宋体"/>
          <w:sz w:val="32"/>
          <w:szCs w:val="32"/>
        </w:rPr>
      </w:pPr>
      <w:r>
        <w:rPr>
          <w:rFonts w:hint="eastAsia" w:ascii="仿宋_GB2312" w:hAnsi="仿宋" w:eastAsia="仿宋_GB2312" w:cs="仿宋"/>
          <w:sz w:val="32"/>
          <w:szCs w:val="32"/>
        </w:rPr>
        <w:t>安丘市3-15岁重度残疾儿童送教上门服务工作试点于2011年的“特殊教育进社区”工程，2014年开始对全市残疾儿童实施全面送教。经过多年来年坚持不懈工作，创新实施“四三三二”工作模式，对全市3-15岁未入学重度残疾儿童实施全覆盖、零拒绝、个性化教育康复送教上门服务工作，有效改善提高了我市残疾儿童生存生活状态，彻底解决了我市重度残疾孩子的受教育问题。主要做法有：</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一、强化四个支撑，深层次构建了送教上门支持保障体系</w:t>
      </w:r>
    </w:p>
    <w:p>
      <w:pPr>
        <w:spacing w:line="540" w:lineRule="exact"/>
        <w:ind w:firstLine="640" w:firstLineChars="200"/>
        <w:rPr>
          <w:rFonts w:ascii="仿宋_GB2312" w:hAnsi="仿宋_GB2312" w:eastAsia="仿宋_GB2312" w:cs="仿宋_GB2312"/>
          <w:sz w:val="32"/>
          <w:szCs w:val="32"/>
        </w:rPr>
      </w:pPr>
      <w:r>
        <w:rPr>
          <w:rFonts w:hint="eastAsia" w:ascii="楷体" w:hAnsi="楷体" w:eastAsia="楷体"/>
          <w:sz w:val="32"/>
          <w:szCs w:val="32"/>
        </w:rPr>
        <w:t>一是完善支持政策</w:t>
      </w:r>
      <w:r>
        <w:rPr>
          <w:rFonts w:hint="eastAsia" w:ascii="楷体" w:hAnsi="楷体" w:eastAsia="楷体" w:cs="仿宋_GB2312"/>
          <w:sz w:val="32"/>
          <w:szCs w:val="32"/>
        </w:rPr>
        <w:t>。</w:t>
      </w:r>
      <w:r>
        <w:rPr>
          <w:rFonts w:hint="eastAsia" w:ascii="仿宋_GB2312" w:hAnsi="仿宋_GB2312" w:eastAsia="仿宋_GB2312" w:cs="仿宋_GB2312"/>
          <w:sz w:val="32"/>
          <w:szCs w:val="32"/>
        </w:rPr>
        <w:t>市教育局联合民政、卫健等部门先后制订出台了《安丘市关于对义务教育阶段推进送教上门工作的实施意见》、《安丘市关于构建康结合服务模式的实施方案》、《关于加强资源教室建设与管理工作的通知》、《送教上门学校管理细则》及《送教上门教师岗位职责》等政策文件，形成了完善的制度体系。成立了“安丘市特殊教育发展研究中心”、“安丘市特殊教育资源服务中心”、“安丘市残疾儿童入学鉴定及咨询委员会”，配备了特殊教育专业及医疗康复专业人员，构建了教育、卫计、残联等部门联合工作机制，为全市送教上门工作提供了制度保障和政策支持。</w:t>
      </w:r>
    </w:p>
    <w:p>
      <w:pPr>
        <w:spacing w:line="540" w:lineRule="exact"/>
        <w:ind w:firstLine="640" w:firstLineChars="200"/>
        <w:rPr>
          <w:rFonts w:ascii="仿宋_GB2312" w:eastAsia="仿宋_GB2312"/>
          <w:sz w:val="32"/>
          <w:szCs w:val="32"/>
        </w:rPr>
      </w:pPr>
      <w:r>
        <w:rPr>
          <w:rFonts w:hint="eastAsia" w:ascii="楷体" w:hAnsi="楷体" w:eastAsia="楷体"/>
          <w:sz w:val="32"/>
          <w:szCs w:val="32"/>
        </w:rPr>
        <w:t>二是持续改善条件。</w:t>
      </w:r>
      <w:r>
        <w:rPr>
          <w:rFonts w:hint="eastAsia" w:ascii="仿宋_GB2312" w:eastAsia="仿宋_GB2312"/>
          <w:sz w:val="32"/>
          <w:szCs w:val="32"/>
        </w:rPr>
        <w:t>自2011年以来累计投入资金2.6亿元用于特殊教育事业发展。其中</w:t>
      </w:r>
      <w:r>
        <w:rPr>
          <w:rFonts w:hint="eastAsia" w:ascii="仿宋_GB2312" w:hAnsi="仿宋_GB2312" w:eastAsia="仿宋_GB2312" w:cs="仿宋_GB2312"/>
          <w:sz w:val="32"/>
          <w:szCs w:val="32"/>
        </w:rPr>
        <w:t>投资5000万元，建设了占地40亩的新特校，并配备了教育教学</w:t>
      </w:r>
      <w:r>
        <w:rPr>
          <w:rFonts w:hint="eastAsia" w:ascii="仿宋_GB2312" w:eastAsia="仿宋_GB2312"/>
          <w:sz w:val="32"/>
          <w:szCs w:val="32"/>
        </w:rPr>
        <w:t>、康复训练等各类设施器材；</w:t>
      </w:r>
      <w:r>
        <w:rPr>
          <w:rFonts w:hint="eastAsia" w:ascii="仿宋_GB2312" w:eastAsia="仿宋_GB2312" w:cs="仿宋_GB2312"/>
          <w:sz w:val="32"/>
          <w:szCs w:val="32"/>
        </w:rPr>
        <w:t>克服财政困难，为特校学生、普校随班就读生、送教上门生落实了生均8000—9600元的公用经费，为送教上门巡回指导教师、服务教师提供了交通及误餐补贴，</w:t>
      </w:r>
      <w:r>
        <w:rPr>
          <w:rFonts w:hint="eastAsia" w:ascii="仿宋_GB2312" w:eastAsia="仿宋_GB2312"/>
          <w:sz w:val="32"/>
          <w:szCs w:val="32"/>
        </w:rPr>
        <w:t>投资300万元在兴安街道王十里小学等21所镇街、6处市直中小学随班就读学校建设了高标准资源教室；为关王小学等2处农村随班就读学校进行了无障碍改造，在全省率先实现了资源教室乡镇全覆盖和农村随班就读学校无障碍改造试点，为特殊教育包括随班就读和送教上门工作提供了基础保障。</w:t>
      </w:r>
    </w:p>
    <w:p>
      <w:pPr>
        <w:spacing w:line="540" w:lineRule="exact"/>
        <w:ind w:firstLine="640" w:firstLineChars="200"/>
        <w:rPr>
          <w:rFonts w:ascii="仿宋_GB2312" w:eastAsia="仿宋_GB2312"/>
          <w:sz w:val="32"/>
          <w:szCs w:val="32"/>
        </w:rPr>
      </w:pPr>
      <w:r>
        <w:rPr>
          <w:rFonts w:hint="eastAsia" w:ascii="楷体" w:hAnsi="楷体" w:eastAsia="楷体"/>
          <w:sz w:val="32"/>
          <w:szCs w:val="32"/>
        </w:rPr>
        <w:t>三是规范入学流程。</w:t>
      </w:r>
      <w:r>
        <w:rPr>
          <w:rFonts w:hint="eastAsia" w:ascii="仿宋_GB2312" w:eastAsia="仿宋_GB2312"/>
          <w:sz w:val="32"/>
          <w:szCs w:val="32"/>
        </w:rPr>
        <w:t>成立了由教育、卫计、残联等部门参与的残疾儿童入学鉴定及咨询委员会，为残疾儿童提供入学评估鉴定、教育安置、咨询指导服务。每年8月份，由教育局牵头，通过集中和分散入户的方式，对残疾儿童进行评估鉴定，并逐一出具医疗、康复报告，并根据医疗、康复报告，按残疾类别、残疾程度及就近服务、家长自愿的原则，将适龄残疾儿童安置送教上门、特校就读和送教上门，分别在特校或普校建籍立档。进一步规范了残疾儿童入学流程，确保了残疾儿童教育成效。自2011年来，已累计为480多名送教上门生、3500多名随班就读生、340多名特校在校生进行了评估及安置。全市截止目前已办理残疾证的重度残疾儿童入学问题得到彻底解决。</w:t>
      </w:r>
    </w:p>
    <w:p>
      <w:pPr>
        <w:spacing w:line="540" w:lineRule="exact"/>
        <w:ind w:firstLine="640" w:firstLineChars="200"/>
        <w:rPr>
          <w:rFonts w:ascii="仿宋_GB2312" w:hAnsi="仿宋_GB2312" w:eastAsia="仿宋_GB2312" w:cs="仿宋_GB2312"/>
          <w:sz w:val="32"/>
          <w:szCs w:val="32"/>
        </w:rPr>
      </w:pPr>
      <w:r>
        <w:rPr>
          <w:rFonts w:hint="eastAsia" w:ascii="楷体" w:hAnsi="楷体" w:eastAsia="楷体"/>
          <w:sz w:val="32"/>
          <w:szCs w:val="32"/>
        </w:rPr>
        <w:t>四是强化师资保障。</w:t>
      </w:r>
      <w:r>
        <w:rPr>
          <w:rFonts w:hint="eastAsia" w:ascii="仿宋_GB2312" w:hAnsi="仿宋_GB2312" w:eastAsia="仿宋_GB2312" w:cs="仿宋_GB2312"/>
          <w:sz w:val="32"/>
          <w:szCs w:val="32"/>
        </w:rPr>
        <w:t>建立了特殊教育教师的引进、培训及考核激励机制，平均每年引进2名特殊教育专业教师，为普通学校每校配备1-2名专兼职送教服务教师。对从事送教服务工作的教师，给于适当误餐补助和交通补贴，并在评优树先、职称评定等方面予以倾斜。目前，全市建立的一支由40名特教专业教师、120多名普通学校资源教师组成的送教上门服务队伍力量日益壮大。同时，加强送教上门教师培训，鼓励教师积极参加国培等各级培训活动，并通过举办特殊教育专题培训班、设立特殊教育送教上门微信群、巡回指导、送培到校等，对特校教师、普校教师进行特殊教育理论与技术培训，自2011年来，累计培训3200多人次，实现了普校、特校教师培训全覆盖。</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二、筑牢三个基点，打造了送教上门协同服务模式</w:t>
      </w:r>
    </w:p>
    <w:p>
      <w:pPr>
        <w:spacing w:line="540" w:lineRule="exact"/>
        <w:ind w:firstLine="640" w:firstLineChars="200"/>
        <w:rPr>
          <w:rFonts w:ascii="仿宋_GB2312" w:eastAsia="仿宋_GB2312"/>
          <w:sz w:val="32"/>
          <w:szCs w:val="32"/>
        </w:rPr>
      </w:pPr>
      <w:r>
        <w:rPr>
          <w:rFonts w:hint="eastAsia" w:ascii="楷体" w:hAnsi="楷体" w:eastAsia="楷体"/>
          <w:sz w:val="32"/>
          <w:szCs w:val="32"/>
        </w:rPr>
        <w:t>一是聚焦普特协同。</w:t>
      </w:r>
      <w:r>
        <w:rPr>
          <w:rFonts w:hint="eastAsia" w:ascii="仿宋_GB2312" w:hAnsi="仿宋" w:eastAsia="仿宋_GB2312" w:cs="仿宋"/>
          <w:sz w:val="32"/>
          <w:szCs w:val="32"/>
        </w:rPr>
        <w:t>统筹特校与普校资源，组建协同服务共同体，分工负责，由80所城乡普校承担就近区域残疾儿童及家长的送教服务工作。将全市的送教儿童，按照区域、类别、程度的不同，分别编班；重度智障、脑瘫、孤独症等程度较重的由特校负责；轻度智障、肢体障碍及病弱儿童由普校负责。</w:t>
      </w:r>
      <w:r>
        <w:rPr>
          <w:rFonts w:hint="eastAsia" w:ascii="仿宋_GB2312" w:eastAsia="仿宋_GB2312"/>
          <w:sz w:val="32"/>
          <w:szCs w:val="32"/>
        </w:rPr>
        <w:t>特校发挥特教师资、设施优势，普校发挥普教技能优势及地域、乡情等优势，互相包片、包校，对口交流，共同做好送教上门工作。</w:t>
      </w:r>
    </w:p>
    <w:p>
      <w:pPr>
        <w:spacing w:line="540" w:lineRule="exact"/>
        <w:ind w:firstLine="640" w:firstLineChars="200"/>
        <w:rPr>
          <w:rFonts w:ascii="仿宋_GB2312" w:hAnsi="仿宋" w:eastAsia="仿宋_GB2312" w:cs="仿宋"/>
          <w:sz w:val="32"/>
          <w:szCs w:val="32"/>
        </w:rPr>
      </w:pPr>
      <w:r>
        <w:rPr>
          <w:rFonts w:hint="eastAsia" w:ascii="楷体" w:hAnsi="楷体" w:eastAsia="楷体"/>
          <w:sz w:val="32"/>
          <w:szCs w:val="32"/>
        </w:rPr>
        <w:t>二是凸出中心辐射。</w:t>
      </w:r>
      <w:r>
        <w:rPr>
          <w:rFonts w:hint="eastAsia" w:ascii="仿宋_GB2312" w:eastAsia="仿宋_GB2312"/>
          <w:sz w:val="32"/>
          <w:szCs w:val="32"/>
        </w:rPr>
        <w:t>接受</w:t>
      </w:r>
      <w:r>
        <w:rPr>
          <w:rFonts w:hint="eastAsia" w:ascii="仿宋_GB2312" w:eastAsia="仿宋_GB2312" w:cs="仿宋_GB2312"/>
          <w:sz w:val="32"/>
          <w:szCs w:val="32"/>
        </w:rPr>
        <w:t>送教服务的残疾儿童遍布全市各镇街区，分布范围广，区域跨度大，人数偏多，残疾状况复杂，送教需求多样，送教难度大。对此，发挥特校作为市</w:t>
      </w:r>
      <w:r>
        <w:rPr>
          <w:rFonts w:hint="eastAsia" w:ascii="仿宋_GB2312" w:eastAsia="仿宋_GB2312"/>
          <w:sz w:val="32"/>
          <w:szCs w:val="32"/>
        </w:rPr>
        <w:t>特殊教育资源与服务中心的优势，</w:t>
      </w:r>
      <w:r>
        <w:rPr>
          <w:rFonts w:hint="eastAsia" w:ascii="仿宋_GB2312" w:eastAsia="仿宋_GB2312" w:cs="仿宋_GB2312"/>
          <w:sz w:val="32"/>
          <w:szCs w:val="32"/>
        </w:rPr>
        <w:t>将特校设为送教服务中心，</w:t>
      </w:r>
      <w:r>
        <w:rPr>
          <w:rFonts w:hint="eastAsia" w:ascii="仿宋_GB2312" w:eastAsia="仿宋_GB2312"/>
          <w:sz w:val="32"/>
          <w:szCs w:val="32"/>
        </w:rPr>
        <w:t>精选30名特教及康复人员，组建了巡回指导教师团队，定期开展送教上门业务培训、教学研讨、学生康复训练及家长培训，辐射带动全市送教上门工作。</w:t>
      </w:r>
    </w:p>
    <w:p>
      <w:pPr>
        <w:spacing w:line="540" w:lineRule="exact"/>
        <w:ind w:left="220" w:leftChars="100" w:firstLine="640" w:firstLineChars="200"/>
        <w:rPr>
          <w:rFonts w:ascii="仿宋_GB2312" w:hAnsi="仿宋" w:eastAsia="仿宋_GB2312" w:cs="仿宋"/>
          <w:sz w:val="32"/>
          <w:szCs w:val="32"/>
        </w:rPr>
      </w:pPr>
      <w:r>
        <w:rPr>
          <w:rFonts w:hint="eastAsia" w:ascii="楷体" w:hAnsi="楷体" w:eastAsia="楷体"/>
          <w:sz w:val="32"/>
          <w:szCs w:val="32"/>
        </w:rPr>
        <w:t>三是坚持网点补充。</w:t>
      </w:r>
      <w:r>
        <w:rPr>
          <w:rFonts w:hint="eastAsia" w:ascii="仿宋_GB2312" w:eastAsia="仿宋_GB2312"/>
          <w:sz w:val="32"/>
          <w:szCs w:val="32"/>
        </w:rPr>
        <w:t>将全市21所普通学校设为全市送教工作体系的重要网点，高标准建设资源教室，配备送教服务教师，负责本区域送教上门工作开展。在全市逐步形成了学段齐全、中心辐射、网点补充的网格状工作体系，实现了全市送教服务工作无缝隙、全覆盖。</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三、推进三个创新，全方位提升了送教上门工作实效</w:t>
      </w:r>
    </w:p>
    <w:p>
      <w:pPr>
        <w:spacing w:line="540" w:lineRule="exact"/>
        <w:ind w:firstLine="640" w:firstLineChars="200"/>
        <w:rPr>
          <w:rFonts w:ascii="仿宋_GB2312" w:eastAsia="仿宋_GB2312"/>
          <w:sz w:val="32"/>
          <w:szCs w:val="32"/>
        </w:rPr>
      </w:pPr>
      <w:r>
        <w:rPr>
          <w:rFonts w:hint="eastAsia" w:ascii="楷体" w:hAnsi="楷体" w:eastAsia="楷体"/>
          <w:sz w:val="32"/>
          <w:szCs w:val="32"/>
        </w:rPr>
        <w:t>一是创新设置个性化生态康复课程模式。</w:t>
      </w:r>
      <w:r>
        <w:rPr>
          <w:rFonts w:hint="eastAsia" w:ascii="仿宋_GB2312" w:hAnsi="仿宋_GB2312" w:eastAsia="仿宋_GB2312" w:cs="仿宋_GB2312"/>
          <w:sz w:val="32"/>
          <w:szCs w:val="32"/>
        </w:rPr>
        <w:t>对接受送教服务的残疾儿童，根据评估鉴定结果，由特教专业教师和康复师，共同制定符合每一个残疾孩子的个别教育计划，采取因人施教、康教医教结合的教育康复模式，设置相应的教育康复课程和课时，深入开展个性化生态康复课程模式。可通过医疗手段改善其障碍情况的学生，重点进行医疗康复；无法从医疗角度改变或适合接受教育康复的学生，重点进行教育康复。教育康复，以提高认知、适应社会为目标，进行“生命、生活、生存”三大生态康复课程模块建设。“生命课程”以</w:t>
      </w:r>
      <w:r>
        <w:rPr>
          <w:rFonts w:hint="eastAsia" w:ascii="仿宋_GB2312" w:eastAsia="仿宋_GB2312"/>
          <w:sz w:val="32"/>
          <w:szCs w:val="32"/>
        </w:rPr>
        <w:t>运动康复、行为干预等肌体康复课程为主；“生活课程”以认知、生活自理及社会适应课程为主；“生存课程”以信息技术等职业技能课程为主。如生活自理课程和农作物种植课程等，有效提升了学生的生存适应能力，受到残疾儿童及家庭的一致好评。</w:t>
      </w:r>
    </w:p>
    <w:p>
      <w:pPr>
        <w:spacing w:line="540" w:lineRule="exact"/>
        <w:ind w:firstLine="640" w:firstLineChars="200"/>
        <w:rPr>
          <w:rFonts w:ascii="仿宋_GB2312" w:eastAsia="仿宋_GB2312"/>
          <w:sz w:val="32"/>
          <w:szCs w:val="32"/>
        </w:rPr>
      </w:pPr>
      <w:r>
        <w:rPr>
          <w:rFonts w:hint="eastAsia" w:ascii="楷体" w:hAnsi="楷体" w:eastAsia="楷体"/>
          <w:sz w:val="32"/>
          <w:szCs w:val="32"/>
        </w:rPr>
        <w:t>二是创新实施集中与分散结合的服务方式。</w:t>
      </w:r>
      <w:r>
        <w:rPr>
          <w:rFonts w:hint="eastAsia" w:ascii="仿宋_GB2312" w:hAnsi="仿宋_GB2312" w:eastAsia="仿宋_GB2312" w:cs="仿宋_GB2312"/>
          <w:sz w:val="32"/>
          <w:szCs w:val="32"/>
        </w:rPr>
        <w:t>在送教服务方式上，在全省最早采取集中设点、分散入户、远程指导的服务方式。把残疾儿童较为集中的市妇保院康复中心设为一个集中送教点，</w:t>
      </w:r>
      <w:r>
        <w:rPr>
          <w:rFonts w:hint="eastAsia" w:ascii="仿宋_GB2312" w:eastAsia="仿宋_GB2312" w:cs="仿宋_GB2312"/>
          <w:sz w:val="32"/>
          <w:szCs w:val="32"/>
        </w:rPr>
        <w:t>借助康复中心的专业康复设备，辅助医疗康复师，采取一对多形式，集中进行肢体、言语、心理、情绪行为及学科知识送教服务。对程度较轻、居住集中的孩子，就选取家庭、社区场所或普校的资源教室作为集中送教点，开展送教服务。对于只能居家的残疾儿童，采取“一对一”、“多对一”的形式，走村入户，深入社区、家庭，开展送教上门服务。对一些智力较正常的重度病弱、脑瘫、肢残儿童，在送教上门的基础上，适时通过电话、微信视频互动等，开展远程课程资源同步辅导。这些方式，不仅发挥了一些设施资源的作用，节省了教师资源，提高了服务效率，而且为同等类型的学生开展互动融合搭建了良好的平台，深受学生和家长欢迎。</w:t>
      </w:r>
    </w:p>
    <w:p>
      <w:pPr>
        <w:spacing w:line="540" w:lineRule="exact"/>
        <w:ind w:firstLine="640" w:firstLineChars="200"/>
        <w:rPr>
          <w:rFonts w:ascii="仿宋_GB2312" w:eastAsia="仿宋_GB2312" w:cs="仿宋_GB2312"/>
          <w:sz w:val="32"/>
          <w:szCs w:val="32"/>
        </w:rPr>
      </w:pPr>
      <w:r>
        <w:rPr>
          <w:rFonts w:hint="eastAsia" w:ascii="楷体" w:hAnsi="楷体" w:eastAsia="楷体"/>
          <w:sz w:val="32"/>
          <w:szCs w:val="32"/>
        </w:rPr>
        <w:t>三是创新开展校内、校外融合教育。</w:t>
      </w:r>
      <w:r>
        <w:rPr>
          <w:rFonts w:hint="eastAsia" w:ascii="仿宋_GB2312" w:eastAsia="仿宋_GB2312" w:cs="仿宋_GB2312"/>
          <w:sz w:val="32"/>
          <w:szCs w:val="32"/>
        </w:rPr>
        <w:t>“融合教育”、“回归主流”，是残疾儿童生存发展的需要，也是特殊教育发展的目标与方向。我们</w:t>
      </w:r>
      <w:r>
        <w:rPr>
          <w:rFonts w:hint="eastAsia" w:ascii="仿宋_GB2312" w:eastAsia="仿宋_GB2312"/>
          <w:sz w:val="32"/>
          <w:szCs w:val="32"/>
        </w:rPr>
        <w:t>积极营造温暖、关爱的融合大环境，定期开展健残儿童融合活动。</w:t>
      </w:r>
      <w:r>
        <w:rPr>
          <w:rFonts w:hint="eastAsia" w:ascii="仿宋_GB2312" w:eastAsia="仿宋_GB2312" w:cs="仿宋_GB2312"/>
          <w:sz w:val="32"/>
          <w:szCs w:val="32"/>
        </w:rPr>
        <w:t>把接受送教服务的残疾儿童，选取部分适合在校学习的，定期带到就近的普校或特校，利用学校资源教室的康复设施进行康复训练，同时与健全孩子进行融合活动,搭配帮扶伙伴，一起进行同伴互助、合作学习、集体游戏，让这些很少参与集体生活、大都有情绪问题的孩子，体验集体和同伴的乐趣，让他们回归孩童本真和天性，起到了很好的疗育效果。同时，开展同伴结对帮扶活动，对健全儿童进行团结、友爱、互助、平等教育，更好的促进了健残一体，共同成长。</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四、搭建两个平台，宽领域谱写家校社共育新篇章</w:t>
      </w:r>
    </w:p>
    <w:p>
      <w:pPr>
        <w:spacing w:line="540" w:lineRule="exact"/>
        <w:ind w:firstLine="640" w:firstLineChars="200"/>
        <w:rPr>
          <w:rFonts w:ascii="仿宋_GB2312" w:eastAsia="仿宋_GB2312"/>
          <w:sz w:val="32"/>
          <w:szCs w:val="32"/>
        </w:rPr>
      </w:pPr>
      <w:r>
        <w:rPr>
          <w:rFonts w:hint="eastAsia" w:ascii="楷体" w:hAnsi="楷体" w:eastAsia="楷体"/>
          <w:sz w:val="32"/>
          <w:szCs w:val="32"/>
        </w:rPr>
        <w:t>一是搭建医教双向平台。</w:t>
      </w:r>
      <w:r>
        <w:rPr>
          <w:rFonts w:hint="eastAsia" w:ascii="仿宋_GB2312" w:eastAsia="仿宋_GB2312"/>
          <w:sz w:val="32"/>
          <w:szCs w:val="32"/>
        </w:rPr>
        <w:t>市特校、21所普校主要网点与市妇保院康复中心结为医教双向服务共同体，建立了双向服务机制，对在家庭中和医疗康复机构中的送教服务学生定期开展医疗与教育康复双向服务活动，形成了教育、医疗合力，实现了送教上门学生教育、康复双提升。</w:t>
      </w:r>
    </w:p>
    <w:p>
      <w:pPr>
        <w:spacing w:line="540" w:lineRule="exact"/>
        <w:ind w:firstLine="640" w:firstLineChars="200"/>
        <w:rPr>
          <w:rFonts w:ascii="仿宋_GB2312" w:hAnsi="仿宋_GB2312" w:eastAsia="仿宋_GB2312" w:cs="仿宋_GB2312"/>
          <w:sz w:val="32"/>
          <w:szCs w:val="32"/>
        </w:rPr>
      </w:pPr>
      <w:r>
        <w:rPr>
          <w:rFonts w:hint="eastAsia" w:ascii="楷体" w:hAnsi="楷体" w:eastAsia="楷体"/>
          <w:sz w:val="32"/>
          <w:szCs w:val="32"/>
        </w:rPr>
        <w:t>二是搭建家校社共育平台。</w:t>
      </w:r>
      <w:r>
        <w:rPr>
          <w:rFonts w:hint="eastAsia" w:ascii="仿宋_GB2312" w:hAnsi="仿宋_GB2312" w:eastAsia="仿宋_GB2312" w:cs="仿宋_GB2312"/>
          <w:sz w:val="32"/>
          <w:szCs w:val="32"/>
        </w:rPr>
        <w:t>通过助残日、社会实践活动等，发动家长及社区志愿者，开展亲子游戏、社区体验等活动，让孩子们感受温暖，体验社会。为家长开展培训指导，提高家长在教育康复残疾孩子方面的能力。学校、家庭、社区，三位一体，合力推动，让每一个送教上门孩子享受更有质量的教育服务。</w:t>
      </w:r>
    </w:p>
    <w:p>
      <w:pPr>
        <w:pStyle w:val="6"/>
        <w:spacing w:before="0" w:beforeAutospacing="0" w:after="0" w:afterAutospacing="0" w:line="540" w:lineRule="exact"/>
        <w:ind w:firstLine="640" w:firstLineChars="200"/>
        <w:rPr>
          <w:sz w:val="32"/>
          <w:szCs w:val="32"/>
        </w:rPr>
      </w:pPr>
      <w:r>
        <w:rPr>
          <w:rFonts w:hint="eastAsia" w:ascii="仿宋_GB2312" w:eastAsia="仿宋_GB2312"/>
          <w:color w:val="000000"/>
          <w:kern w:val="2"/>
          <w:sz w:val="32"/>
          <w:szCs w:val="32"/>
        </w:rPr>
        <w:t>实施送教上门10年来，我市送教服务团队的足迹踏遍了全市各个角落，为480多名滞留在家庭、闲散在社会的重度残疾孩子落实了一人一案，为残疾儿童提供了更多的教育康复机会，进一步提高了他们的生存生活技能。同时为滞留在家庭中的残疾孩子及他们的的家长、普校教师，提供了教育康复、宣传、咨询、培训等服务，使他们在与残疾孩子交流和提供教育等方面有章可循、有法可依、有技可用，不再出现一筹莫展、无计可施的状况。同时，通过日积月累的宣传，在形成全社会关心、帮助残疾人的良好氛围营造上也起到了不可估量的重要作用。</w:t>
      </w:r>
      <w:r>
        <w:rPr>
          <w:rFonts w:hint="eastAsia" w:ascii="仿宋_GB2312" w:eastAsia="仿宋_GB2312"/>
          <w:bCs/>
          <w:color w:val="000000"/>
          <w:sz w:val="32"/>
          <w:szCs w:val="32"/>
        </w:rPr>
        <w:t>特校及普校通过</w:t>
      </w:r>
      <w:r>
        <w:rPr>
          <w:rFonts w:hint="eastAsia" w:ascii="仿宋_GB2312" w:eastAsia="仿宋_GB2312"/>
          <w:color w:val="000000"/>
          <w:sz w:val="32"/>
          <w:szCs w:val="32"/>
        </w:rPr>
        <w:t>送教上门工作，使特殊教育与普通教育、医疗康复、家庭教育、社区教育相融合，</w:t>
      </w:r>
      <w:r>
        <w:rPr>
          <w:rFonts w:hint="eastAsia" w:ascii="仿宋_GB2312" w:eastAsia="仿宋_GB2312"/>
          <w:sz w:val="32"/>
          <w:szCs w:val="32"/>
        </w:rPr>
        <w:t>使特殊教育和普通教育一体化；学校教育、家庭教育与社区教育一体化；医疗养护、教育训练、劳动就业一体化，</w:t>
      </w:r>
      <w:r>
        <w:rPr>
          <w:rFonts w:hint="eastAsia" w:ascii="仿宋_GB2312" w:eastAsia="仿宋_GB2312"/>
          <w:color w:val="000000"/>
          <w:sz w:val="32"/>
          <w:szCs w:val="32"/>
          <w:lang w:val="zh-CN"/>
        </w:rPr>
        <w:t>尝试</w:t>
      </w:r>
      <w:r>
        <w:rPr>
          <w:rFonts w:hint="eastAsia" w:ascii="仿宋_GB2312" w:eastAsia="仿宋_GB2312"/>
          <w:sz w:val="32"/>
          <w:szCs w:val="32"/>
        </w:rPr>
        <w:t>建立起了一种全纳教育体系。</w:t>
      </w:r>
    </w:p>
    <w:p>
      <w:pPr>
        <w:ind w:right="3654"/>
        <w:rPr>
          <w:rFonts w:ascii="Times New Roman" w:hAnsi="Times New Roman"/>
          <w:sz w:val="28"/>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7393032"/>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docVars>
    <w:docVar w:name="commondata" w:val="eyJoZGlkIjoiYTVjMDVhYjAwNDVkZDgzY2RjYjFhNTRkNjJkMjdkN2EifQ=="/>
  </w:docVars>
  <w:rsids>
    <w:rsidRoot w:val="00EC3FF4"/>
    <w:rsid w:val="001E1DBF"/>
    <w:rsid w:val="002D454F"/>
    <w:rsid w:val="00460F12"/>
    <w:rsid w:val="005628C3"/>
    <w:rsid w:val="00A515F6"/>
    <w:rsid w:val="00BE43F5"/>
    <w:rsid w:val="00C9583D"/>
    <w:rsid w:val="00DC74F2"/>
    <w:rsid w:val="00EC3FF4"/>
    <w:rsid w:val="00F553CC"/>
    <w:rsid w:val="017A07FA"/>
    <w:rsid w:val="0CE078B7"/>
    <w:rsid w:val="1B4072CF"/>
    <w:rsid w:val="29B42C36"/>
    <w:rsid w:val="2F5729E1"/>
    <w:rsid w:val="3A476F77"/>
    <w:rsid w:val="3F3638F4"/>
    <w:rsid w:val="44667DDE"/>
    <w:rsid w:val="4A3C046D"/>
    <w:rsid w:val="553A4784"/>
    <w:rsid w:val="57C371E2"/>
    <w:rsid w:val="58B8154B"/>
    <w:rsid w:val="5ABA290B"/>
    <w:rsid w:val="6A1B0891"/>
    <w:rsid w:val="71B370B0"/>
    <w:rsid w:val="797C6A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line="751" w:lineRule="exact"/>
      <w:ind w:right="1"/>
      <w:jc w:val="center"/>
      <w:outlineLvl w:val="0"/>
    </w:pPr>
    <w:rPr>
      <w:rFonts w:ascii="方正小标宋简体" w:hAnsi="方正小标宋简体" w:eastAsia="方正小标宋简体" w:cs="方正小标宋简体"/>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sz w:val="32"/>
      <w:szCs w:val="32"/>
    </w:rPr>
  </w:style>
  <w:style w:type="paragraph" w:styleId="4">
    <w:name w:val="footer"/>
    <w:basedOn w:val="1"/>
    <w:link w:val="14"/>
    <w:uiPriority w:val="0"/>
    <w:pPr>
      <w:tabs>
        <w:tab w:val="center" w:pos="4153"/>
        <w:tab w:val="right" w:pos="8306"/>
      </w:tabs>
      <w:snapToGrid w:val="0"/>
    </w:pPr>
    <w:rPr>
      <w:sz w:val="18"/>
      <w:szCs w:val="18"/>
    </w:rPr>
  </w:style>
  <w:style w:type="paragraph" w:styleId="5">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style>
  <w:style w:type="paragraph" w:customStyle="1" w:styleId="12">
    <w:name w:val="Table Paragraph"/>
    <w:basedOn w:val="1"/>
    <w:qFormat/>
    <w:uiPriority w:val="1"/>
  </w:style>
  <w:style w:type="character" w:customStyle="1" w:styleId="13">
    <w:name w:val="页眉 Char"/>
    <w:basedOn w:val="9"/>
    <w:link w:val="5"/>
    <w:qFormat/>
    <w:uiPriority w:val="0"/>
    <w:rPr>
      <w:rFonts w:ascii="宋体" w:hAnsi="宋体" w:eastAsia="宋体" w:cs="宋体"/>
      <w:sz w:val="18"/>
      <w:szCs w:val="18"/>
      <w:lang w:val="zh-CN" w:bidi="zh-CN"/>
    </w:rPr>
  </w:style>
  <w:style w:type="character" w:customStyle="1" w:styleId="14">
    <w:name w:val="页脚 Char"/>
    <w:basedOn w:val="9"/>
    <w:link w:val="4"/>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379</Words>
  <Characters>405</Characters>
  <Lines>3</Lines>
  <Paragraphs>1</Paragraphs>
  <TotalTime>0</TotalTime>
  <ScaleCrop>false</ScaleCrop>
  <LinksUpToDate>false</LinksUpToDate>
  <CharactersWithSpaces>414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2022-08-01T23:37:00Z</dcterms:created>
  <dc:creator>文印2</dc:creator>
  <cp:lastModifiedBy>DELL</cp:lastModifiedBy>
  <dcterms:modified xsi:type="dcterms:W3CDTF">2022-08-28T04:07:29Z</dcterms:modified>
  <dc:title>山东省教育厅</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2022-07-27T00:00:00Z</vt:filetime>
  </property>
  <property fmtid="{D5CDD505-2E9C-101B-9397-08002B2CF9AE}" pid="3" name="Creator">
    <vt:lpwstr>Microsoft® Word 2016</vt:lpwstr>
  </property>
  <property fmtid="{D5CDD505-2E9C-101B-9397-08002B2CF9AE}" pid="4" name="LastSaved">
    <vt:filetime>2022-08-01T00:00:00Z</vt:filetime>
  </property>
  <property fmtid="{D5CDD505-2E9C-101B-9397-08002B2CF9AE}" pid="5" name="KSOProductBuildVer">
    <vt:lpwstr>2052-11.1.0.11830</vt:lpwstr>
  </property>
  <property fmtid="{D5CDD505-2E9C-101B-9397-08002B2CF9AE}" pid="6" name="ICV">
    <vt:lpwstr>A92DEBF84649492BBE26B09970982F33</vt:lpwstr>
  </property>
</Properties>
</file>