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31"/>
        <w:ind w:left="116"/>
        <w:rPr>
          <w:rFonts w:hint="eastAsia" w:ascii="黑体" w:hAnsi="黑体" w:eastAsia="黑体" w:cs="黑体"/>
        </w:rPr>
      </w:pPr>
      <w:r>
        <w:rPr>
          <w:rFonts w:hint="eastAsia" w:ascii="黑体" w:hAnsi="黑体" w:eastAsia="黑体" w:cs="黑体"/>
        </w:rPr>
        <w:t>附件1</w:t>
      </w:r>
    </w:p>
    <w:p>
      <w:pPr>
        <w:pStyle w:val="3"/>
      </w:pPr>
      <w:r>
        <w:t>送教上门、随班就读优秀案例申报表</w:t>
      </w:r>
    </w:p>
    <w:p>
      <w:pPr>
        <w:pStyle w:val="4"/>
        <w:spacing w:before="16" w:after="1"/>
        <w:rPr>
          <w:rFonts w:ascii="方正小标宋简体"/>
          <w:sz w:val="24"/>
        </w:rPr>
      </w:pPr>
    </w:p>
    <w:tbl>
      <w:tblPr>
        <w:tblStyle w:val="7"/>
        <w:tblW w:w="8980" w:type="dxa"/>
        <w:tblInd w:w="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7"/>
        <w:gridCol w:w="1395"/>
        <w:gridCol w:w="2009"/>
        <w:gridCol w:w="661"/>
        <w:gridCol w:w="202"/>
        <w:gridCol w:w="1402"/>
        <w:gridCol w:w="22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037" w:type="dxa"/>
            <w:vAlign w:val="center"/>
          </w:tcPr>
          <w:p>
            <w:pPr>
              <w:pStyle w:val="9"/>
              <w:spacing w:before="190"/>
              <w:ind w:left="235"/>
              <w:jc w:val="center"/>
              <w:rPr>
                <w:sz w:val="28"/>
              </w:rPr>
            </w:pPr>
            <w:r>
              <w:rPr>
                <w:sz w:val="28"/>
              </w:rPr>
              <w:t>姓名</w:t>
            </w:r>
          </w:p>
        </w:tc>
        <w:tc>
          <w:tcPr>
            <w:tcW w:w="3404" w:type="dxa"/>
            <w:gridSpan w:val="2"/>
            <w:vAlign w:val="center"/>
          </w:tcPr>
          <w:p>
            <w:pPr>
              <w:pStyle w:val="9"/>
              <w:jc w:val="center"/>
              <w:rPr>
                <w:rFonts w:hint="eastAsia" w:ascii="Times New Roman" w:eastAsia="宋体"/>
                <w:sz w:val="32"/>
                <w:lang w:val="en-US" w:eastAsia="zh-CN"/>
              </w:rPr>
            </w:pPr>
            <w:r>
              <w:rPr>
                <w:rFonts w:hint="eastAsia" w:ascii="Times New Roman"/>
                <w:sz w:val="28"/>
                <w:szCs w:val="28"/>
                <w:lang w:val="en-US" w:eastAsia="zh-CN"/>
              </w:rPr>
              <w:t>杨明荣</w:t>
            </w:r>
          </w:p>
        </w:tc>
        <w:tc>
          <w:tcPr>
            <w:tcW w:w="863" w:type="dxa"/>
            <w:gridSpan w:val="2"/>
            <w:vAlign w:val="center"/>
          </w:tcPr>
          <w:p>
            <w:pPr>
              <w:pStyle w:val="9"/>
              <w:spacing w:before="190"/>
              <w:ind w:left="145"/>
              <w:jc w:val="center"/>
              <w:rPr>
                <w:sz w:val="28"/>
              </w:rPr>
            </w:pPr>
            <w:r>
              <w:rPr>
                <w:sz w:val="28"/>
              </w:rPr>
              <w:t>单位</w:t>
            </w:r>
          </w:p>
        </w:tc>
        <w:tc>
          <w:tcPr>
            <w:tcW w:w="3676" w:type="dxa"/>
            <w:gridSpan w:val="2"/>
            <w:vAlign w:val="center"/>
          </w:tcPr>
          <w:p>
            <w:pPr>
              <w:pStyle w:val="9"/>
              <w:jc w:val="center"/>
              <w:rPr>
                <w:rFonts w:hint="eastAsia" w:ascii="Times New Roman" w:eastAsia="宋体"/>
                <w:sz w:val="32"/>
                <w:lang w:val="en-US" w:eastAsia="zh-CN"/>
              </w:rPr>
            </w:pPr>
            <w:r>
              <w:rPr>
                <w:rFonts w:hint="eastAsia" w:ascii="Times New Roman"/>
                <w:sz w:val="28"/>
                <w:szCs w:val="28"/>
                <w:lang w:val="en-US" w:eastAsia="zh-CN"/>
              </w:rPr>
              <w:t>莒县特殊教育学校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trPr>
        <w:tc>
          <w:tcPr>
            <w:tcW w:w="2432" w:type="dxa"/>
            <w:gridSpan w:val="2"/>
            <w:vAlign w:val="center"/>
          </w:tcPr>
          <w:p>
            <w:pPr>
              <w:pStyle w:val="9"/>
              <w:spacing w:before="191"/>
              <w:ind w:left="654"/>
              <w:jc w:val="center"/>
              <w:rPr>
                <w:sz w:val="28"/>
              </w:rPr>
            </w:pPr>
            <w:r>
              <w:rPr>
                <w:sz w:val="28"/>
              </w:rPr>
              <w:t>案例名称</w:t>
            </w:r>
          </w:p>
        </w:tc>
        <w:tc>
          <w:tcPr>
            <w:tcW w:w="6548" w:type="dxa"/>
            <w:gridSpan w:val="5"/>
            <w:vAlign w:val="center"/>
          </w:tcPr>
          <w:p>
            <w:pPr>
              <w:pStyle w:val="9"/>
              <w:jc w:val="both"/>
              <w:rPr>
                <w:rFonts w:ascii="Times New Roman"/>
                <w:sz w:val="32"/>
              </w:rPr>
            </w:pPr>
            <w:r>
              <w:rPr>
                <w:rFonts w:hint="eastAsia" w:asciiTheme="minorEastAsia" w:hAnsiTheme="minorEastAsia" w:eastAsiaTheme="minorEastAsia" w:cstheme="minorEastAsia"/>
                <w:b w:val="0"/>
                <w:bCs w:val="0"/>
                <w:sz w:val="28"/>
                <w:szCs w:val="28"/>
              </w:rPr>
              <w:t>以爱为源， 温暖圆梦的送教上门之路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2432" w:type="dxa"/>
            <w:gridSpan w:val="2"/>
            <w:vAlign w:val="center"/>
          </w:tcPr>
          <w:p>
            <w:pPr>
              <w:pStyle w:val="9"/>
              <w:spacing w:before="190"/>
              <w:ind w:left="515"/>
              <w:jc w:val="center"/>
              <w:rPr>
                <w:sz w:val="28"/>
              </w:rPr>
            </w:pPr>
            <w:r>
              <w:rPr>
                <w:sz w:val="28"/>
              </w:rPr>
              <w:t>申报人职称</w:t>
            </w:r>
          </w:p>
        </w:tc>
        <w:tc>
          <w:tcPr>
            <w:tcW w:w="2670" w:type="dxa"/>
            <w:gridSpan w:val="2"/>
            <w:vAlign w:val="center"/>
          </w:tcPr>
          <w:p>
            <w:pPr>
              <w:pStyle w:val="9"/>
              <w:jc w:val="center"/>
              <w:rPr>
                <w:rFonts w:hint="eastAsia" w:ascii="Times New Roman" w:eastAsia="宋体"/>
                <w:sz w:val="32"/>
                <w:lang w:val="en-US" w:eastAsia="zh-CN"/>
              </w:rPr>
            </w:pPr>
            <w:r>
              <w:rPr>
                <w:rFonts w:hint="eastAsia" w:ascii="Times New Roman"/>
                <w:sz w:val="28"/>
                <w:szCs w:val="28"/>
                <w:lang w:val="en-US" w:eastAsia="zh-CN"/>
              </w:rPr>
              <w:t>高级教师</w:t>
            </w:r>
          </w:p>
        </w:tc>
        <w:tc>
          <w:tcPr>
            <w:tcW w:w="1604" w:type="dxa"/>
            <w:gridSpan w:val="2"/>
            <w:vAlign w:val="center"/>
          </w:tcPr>
          <w:p>
            <w:pPr>
              <w:pStyle w:val="9"/>
              <w:spacing w:before="190"/>
              <w:ind w:left="106"/>
              <w:jc w:val="center"/>
              <w:rPr>
                <w:sz w:val="28"/>
              </w:rPr>
            </w:pPr>
            <w:r>
              <w:rPr>
                <w:sz w:val="28"/>
              </w:rPr>
              <w:t>联系电话</w:t>
            </w:r>
          </w:p>
        </w:tc>
        <w:tc>
          <w:tcPr>
            <w:tcW w:w="2274" w:type="dxa"/>
            <w:vAlign w:val="center"/>
          </w:tcPr>
          <w:p>
            <w:pPr>
              <w:pStyle w:val="9"/>
              <w:jc w:val="center"/>
              <w:rPr>
                <w:rFonts w:hint="default" w:ascii="Times New Roman" w:eastAsia="宋体"/>
                <w:sz w:val="32"/>
                <w:lang w:val="en-US" w:eastAsia="zh-CN"/>
              </w:rPr>
            </w:pPr>
            <w:r>
              <w:rPr>
                <w:rFonts w:hint="eastAsia" w:ascii="Times New Roman"/>
                <w:sz w:val="32"/>
                <w:lang w:val="en-US" w:eastAsia="zh-CN"/>
              </w:rPr>
              <w:t>13468328036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50" w:hRule="atLeast"/>
        </w:trPr>
        <w:tc>
          <w:tcPr>
            <w:tcW w:w="8980" w:type="dxa"/>
            <w:gridSpan w:val="7"/>
          </w:tcPr>
          <w:p>
            <w:pPr>
              <w:adjustRightInd w:val="0"/>
              <w:snapToGrid w:val="0"/>
              <w:spacing w:line="360" w:lineRule="auto"/>
              <w:ind w:firstLine="2248" w:firstLineChars="800"/>
              <w:rPr>
                <w:rFonts w:hint="eastAsia" w:ascii="仿宋" w:hAnsi="仿宋" w:eastAsia="仿宋"/>
                <w:b/>
                <w:bCs/>
                <w:sz w:val="28"/>
                <w:szCs w:val="28"/>
              </w:rPr>
            </w:pPr>
            <w:r>
              <w:rPr>
                <w:rFonts w:hint="eastAsia" w:ascii="仿宋" w:hAnsi="仿宋" w:eastAsia="仿宋"/>
                <w:b/>
                <w:bCs/>
                <w:sz w:val="28"/>
                <w:szCs w:val="28"/>
              </w:rPr>
              <w:t>以爱为源， 温暖圆梦的送教上门之路</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hint="eastAsia" w:eastAsia="仿宋"/>
                <w:lang w:eastAsia="zh-CN"/>
              </w:rPr>
            </w:pPr>
            <w:r>
              <w:rPr>
                <w:rFonts w:hint="eastAsia" w:ascii="仿宋" w:hAnsi="仿宋" w:eastAsia="仿宋"/>
                <w:sz w:val="28"/>
                <w:szCs w:val="28"/>
              </w:rPr>
              <w:t>莒县特殊教育学校原名莒县聋哑学校，创建于1985年，是日照市建校最早的特教学校。2017年9月转型为培智型学校，2018年5月搬迁新校。学校占地面积28006平方米，建筑面积10823平方米，包括教学楼、综合楼、宿舍楼、餐厅和体育馆五大主体，建有20多个功能教室，基本能满足学生的康复教育需求。学校现有13个教学班，其中11个义教班，2个学前班，在校生116人，送教学生193人，教职工39人。学校确立了“生活教育  智慧成长</w:t>
            </w:r>
            <w:r>
              <w:rPr>
                <w:rFonts w:ascii="仿宋" w:hAnsi="仿宋" w:eastAsia="仿宋"/>
                <w:sz w:val="28"/>
                <w:szCs w:val="28"/>
              </w:rPr>
              <w:t>”</w:t>
            </w:r>
            <w:r>
              <w:rPr>
                <w:rFonts w:hint="eastAsia" w:ascii="仿宋" w:hAnsi="仿宋" w:eastAsia="仿宋"/>
                <w:sz w:val="28"/>
                <w:szCs w:val="28"/>
              </w:rPr>
              <w:t>的办学理念，以“自信</w:t>
            </w:r>
            <w:r>
              <w:rPr>
                <w:rFonts w:hint="eastAsia" w:ascii="仿宋"/>
                <w:sz w:val="28"/>
                <w:szCs w:val="28"/>
              </w:rPr>
              <w:t>•</w:t>
            </w:r>
            <w:r>
              <w:rPr>
                <w:rFonts w:hint="eastAsia" w:ascii="仿宋" w:hAnsi="仿宋" w:eastAsia="仿宋"/>
                <w:sz w:val="28"/>
                <w:szCs w:val="28"/>
              </w:rPr>
              <w:t>自理</w:t>
            </w:r>
            <w:r>
              <w:rPr>
                <w:rFonts w:hint="eastAsia" w:ascii="仿宋"/>
                <w:sz w:val="28"/>
                <w:szCs w:val="28"/>
              </w:rPr>
              <w:t>•</w:t>
            </w:r>
            <w:r>
              <w:rPr>
                <w:rFonts w:hint="eastAsia" w:ascii="仿宋" w:hAnsi="仿宋" w:eastAsia="仿宋"/>
                <w:sz w:val="28"/>
                <w:szCs w:val="28"/>
              </w:rPr>
              <w:t>自立”为培养目标，坚持走“内涵发展，特色发展”的办学思路，努力实现“让每一个生命绽放精彩”的办学愿景</w:t>
            </w:r>
            <w:r>
              <w:rPr>
                <w:rFonts w:hint="eastAsia" w:ascii="仿宋" w:hAnsi="仿宋" w:eastAsia="仿宋"/>
                <w:b/>
                <w:bCs/>
                <w:sz w:val="28"/>
                <w:szCs w:val="28"/>
              </w:rPr>
              <w:t>。</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b w:val="0"/>
                <w:bCs w:val="0"/>
                <w:sz w:val="28"/>
                <w:szCs w:val="28"/>
              </w:rPr>
            </w:pPr>
            <w:r>
              <w:rPr>
                <w:rFonts w:hint="eastAsia" w:ascii="仿宋" w:hAnsi="仿宋" w:eastAsia="仿宋"/>
                <w:b w:val="0"/>
                <w:bCs w:val="0"/>
                <w:sz w:val="28"/>
                <w:szCs w:val="28"/>
              </w:rPr>
              <w:t>为了圆重度残疾孩子的入学梦，遵循家庭自愿、定时入户的原则，2013年暑假，我们</w:t>
            </w:r>
            <w:r>
              <w:rPr>
                <w:rFonts w:hint="eastAsia" w:ascii="仿宋" w:hAnsi="仿宋" w:eastAsia="仿宋"/>
                <w:sz w:val="28"/>
                <w:szCs w:val="28"/>
              </w:rPr>
              <w:t>开启了送教之路；</w:t>
            </w:r>
            <w:r>
              <w:rPr>
                <w:rFonts w:hint="eastAsia" w:ascii="仿宋" w:hAnsi="仿宋" w:eastAsia="仿宋"/>
                <w:b w:val="0"/>
                <w:bCs w:val="0"/>
                <w:sz w:val="28"/>
                <w:szCs w:val="28"/>
              </w:rPr>
              <w:t>2014年，特殊教育提升计划提出开展送教上门工作，</w:t>
            </w:r>
            <w:r>
              <w:rPr>
                <w:rFonts w:hint="eastAsia" w:ascii="仿宋" w:hAnsi="仿宋" w:eastAsia="仿宋"/>
                <w:sz w:val="28"/>
                <w:szCs w:val="28"/>
              </w:rPr>
              <w:t>保障因行动不便、生活不能自理等原因无法到学校接受义务教育的重度残疾儿童受教育的权利，</w:t>
            </w:r>
            <w:r>
              <w:rPr>
                <w:rFonts w:hint="eastAsia" w:ascii="仿宋" w:hAnsi="仿宋" w:eastAsia="仿宋"/>
                <w:b w:val="0"/>
                <w:bCs w:val="0"/>
                <w:sz w:val="28"/>
                <w:szCs w:val="28"/>
              </w:rPr>
              <w:t>送教上门工作确立为学校的一项重点工作，有计划、有措施、有保障持续开展到现在。六年的探索和坚持，我们温暖和改变着这些生长在角落里的折翼天使，帮助家长点燃希望、树立信心！</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（一）精准摸底，确定送教对象</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全校教师利用节假日分组对全县20个乡镇的残疾儿童进行了摸底调查，确定应该纳入送教的学生。</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 xml:space="preserve">1.以残联提供的各乡镇0至17周岁残障儿童数据表为主要依据，联系镇中心小学安排专人带路，逐村走访，入户核实。 </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 通过跟家长谈话，了解孩子的致残原因、家庭状况、受教育情况及家长期望；跟孩子互动，了解孩子的残疾程度及身心发展状况。</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3.做好调查笔录，采集残疾儿童基本信息，为选取送教学生做好基础性评估。设计《中重度残障儿童教育康复手册》，从运动、感知、语言、认知、生活自理、社会适应等六大领域进行发展性评估。</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（二）持之以恒，送教到位</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为了保持送教工作有序开展，我们实施“四定”，落实四个保障。</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1.实施“四定”，</w:t>
            </w:r>
            <w:r>
              <w:rPr>
                <w:rFonts w:ascii="仿宋" w:hAnsi="仿宋" w:eastAsia="仿宋"/>
                <w:sz w:val="28"/>
                <w:szCs w:val="28"/>
              </w:rPr>
              <w:t>落实</w:t>
            </w:r>
            <w:r>
              <w:rPr>
                <w:rFonts w:hint="eastAsia" w:ascii="仿宋" w:hAnsi="仿宋" w:eastAsia="仿宋"/>
                <w:sz w:val="28"/>
                <w:szCs w:val="28"/>
              </w:rPr>
              <w:t>四个保障</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（1） 定制度，落实责任到位。   学校制定了《送教上门服务规章制度》《送教教师工作职责》《送教学生家庭配合须知》《送教上门工作流程》《送教上门回访评议制度》，并与送教家庭、送教老师签订责任书等，使送教工作的管理与实施都有章可循。</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（2）定教师，人员保障到位。   送教学生多，任务重。我们举全校之力，学校领导班子和全体任课教师全员参与，分成11个送教小组，每组3名教师，选派责任心强、业务精湛的教师担任组长，每组定点负责2—3个乡镇。</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 xml:space="preserve">（3）定时间，统筹安排送教时间和车辆 </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b/>
                <w:bCs/>
                <w:sz w:val="28"/>
                <w:szCs w:val="28"/>
              </w:rPr>
            </w:pPr>
            <w:r>
              <w:rPr>
                <w:rFonts w:hint="eastAsia" w:ascii="仿宋" w:hAnsi="仿宋" w:eastAsia="仿宋"/>
                <w:sz w:val="28"/>
                <w:szCs w:val="28"/>
              </w:rPr>
              <w:t>主要利用每月最后一次双休日、寒暑假或其它等节假日送教，基本保障每个月一次送教上门，对送教老师进行生活和交</w:t>
            </w:r>
            <w:r>
              <w:rPr>
                <w:rFonts w:hint="eastAsia" w:ascii="仿宋" w:hAnsi="仿宋" w:eastAsia="仿宋"/>
                <w:b w:val="0"/>
                <w:bCs w:val="0"/>
                <w:sz w:val="28"/>
                <w:szCs w:val="28"/>
              </w:rPr>
              <w:t>通补助，为老师购买雨伞、保温杯，购买人身意外保险等，学校做好服务与支持。</w:t>
            </w:r>
          </w:p>
          <w:p>
            <w:pPr>
              <w:keepNext w:val="0"/>
              <w:keepLines w:val="0"/>
              <w:pageBreakBefore w:val="0"/>
              <w:widowControl w:val="0"/>
              <w:numPr>
                <w:ilvl w:val="0"/>
                <w:numId w:val="1"/>
              </w:numPr>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定送教用品，物资保障到位。</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280" w:firstLineChars="100"/>
              <w:textAlignment w:val="auto"/>
              <w:rPr>
                <w:rFonts w:ascii="仿宋" w:hAnsi="仿宋" w:eastAsia="仿宋"/>
                <w:sz w:val="28"/>
                <w:szCs w:val="28"/>
              </w:rPr>
            </w:pPr>
            <w:r>
              <w:rPr>
                <w:rFonts w:hint="eastAsia" w:ascii="仿宋" w:hAnsi="仿宋" w:eastAsia="仿宋"/>
                <w:sz w:val="28"/>
                <w:szCs w:val="28"/>
              </w:rPr>
              <w:t>坚持“送温暖、送知识、送康复”的三送原则，送知识同时，送去生活必需品，一般分生活类（被子、暖水袋、爬行垫等）；食品类（面条、牛奶、 大米、点心等）；康复用品类（串珠、握力器、哑铃、积木等）；学习用品类（彩笔、铅笔、图画本、汉字、数字描红、儿童读物等）；给特殊需要的孩子，如给肢体残疾</w:t>
            </w:r>
            <w:r>
              <w:rPr>
                <w:rFonts w:hint="eastAsia" w:ascii="仿宋" w:hAnsi="仿宋" w:eastAsia="仿宋"/>
                <w:b/>
                <w:bCs/>
                <w:sz w:val="28"/>
                <w:szCs w:val="28"/>
              </w:rPr>
              <w:t>、</w:t>
            </w:r>
            <w:r>
              <w:rPr>
                <w:rFonts w:hint="eastAsia" w:ascii="仿宋" w:hAnsi="仿宋" w:eastAsia="仿宋"/>
                <w:b w:val="0"/>
                <w:bCs w:val="0"/>
                <w:sz w:val="28"/>
                <w:szCs w:val="28"/>
              </w:rPr>
              <w:t>行动不便</w:t>
            </w:r>
            <w:r>
              <w:rPr>
                <w:rFonts w:hint="eastAsia" w:ascii="仿宋" w:hAnsi="仿宋" w:eastAsia="仿宋"/>
                <w:sz w:val="28"/>
                <w:szCs w:val="28"/>
              </w:rPr>
              <w:t>的孩子购买轮椅、给喜欢音乐的孩子购买音乐播放器；给躺在床上大小便失禁的孩子购买纸尿裤等，最大限度满足各类学生需求。</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2.分类施教  按需送教</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为了保证送教的质量，根据学生残疾状况制定不同的送教方案，确定送教目标。</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b w:val="0"/>
                <w:bCs/>
                <w:sz w:val="28"/>
                <w:szCs w:val="28"/>
              </w:rPr>
              <w:t>具备学习能力的孩子，</w:t>
            </w:r>
            <w:r>
              <w:rPr>
                <w:rFonts w:hint="eastAsia" w:ascii="仿宋" w:hAnsi="仿宋" w:eastAsia="仿宋"/>
                <w:sz w:val="28"/>
                <w:szCs w:val="28"/>
              </w:rPr>
              <w:t>我们会根据他的接受能力，选择普通学校的教材，特殊教育学校的教材或者幼儿园的教材，制定授课计划表，有计划进行教学。</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脑瘫的孩子对其进行跪、爬、走、翻身等大运动训练，进行串珠、拧螺丝、数豆子、插积木、描红等精细动作训练，指导家长对孩子进行按摩、推拿、牵引等放松肌肉训练。</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b w:val="0"/>
                <w:bCs/>
                <w:sz w:val="28"/>
                <w:szCs w:val="28"/>
              </w:rPr>
            </w:pPr>
            <w:r>
              <w:rPr>
                <w:rFonts w:hint="eastAsia" w:ascii="仿宋" w:hAnsi="仿宋" w:eastAsia="仿宋"/>
                <w:b w:val="0"/>
                <w:bCs/>
                <w:sz w:val="28"/>
                <w:szCs w:val="28"/>
              </w:rPr>
              <w:t>孤独症的孩子，积极捕捉孩子感兴趣的事情，从兴趣入手慢慢地接近孩子，找到和孩子有效的沟通方式，建立师生关系。如有的喜欢画画、有的喜欢手工等，根据兴趣特长设计教学内容。</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b w:val="0"/>
                <w:bCs/>
                <w:sz w:val="28"/>
                <w:szCs w:val="28"/>
              </w:rPr>
              <w:t>对没有任何接受能力的孩子，做好家长</w:t>
            </w:r>
            <w:r>
              <w:rPr>
                <w:rFonts w:hint="eastAsia" w:ascii="仿宋" w:hAnsi="仿宋" w:eastAsia="仿宋"/>
                <w:sz w:val="28"/>
                <w:szCs w:val="28"/>
              </w:rPr>
              <w:t>的心理疏导并进行一些按摩技能的指导，宣传好党和国家的优惠政策，帮他们树立生活的信心！</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3.规范管理，提高送教水平</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700" w:firstLineChars="250"/>
              <w:textAlignment w:val="auto"/>
              <w:rPr>
                <w:rFonts w:ascii="仿宋" w:hAnsi="仿宋" w:eastAsia="仿宋"/>
                <w:sz w:val="28"/>
                <w:szCs w:val="28"/>
              </w:rPr>
            </w:pPr>
            <w:r>
              <w:rPr>
                <w:rFonts w:hint="eastAsia" w:ascii="仿宋" w:hAnsi="仿宋" w:eastAsia="仿宋"/>
                <w:sz w:val="28"/>
                <w:szCs w:val="28"/>
              </w:rPr>
              <w:t>学校成立送教工作领导小组，负责制定送教工作方案、计划，负责美篇、公众号的制作宣传，指导各组有效开展送教，协助解决各组送教工作中遇到的问题。还担负着回访学生家长，了解送教情况,并根据家长反馈的意见，与送教教师一起商量对策，保证送教工作有序开展。</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建立“送教上门”工作档案，将“送教上门”孩子列入学籍统-管理，使送教工作更加完善和规范。档案材料主要包括学生基本情况、学生发展评价资料,教学过程资料，个别化教育方案等。</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b w:val="0"/>
                <w:bCs w:val="0"/>
                <w:sz w:val="28"/>
                <w:szCs w:val="28"/>
              </w:rPr>
              <w:t>加强交流学习，及时总结经验</w:t>
            </w:r>
            <w:r>
              <w:rPr>
                <w:rFonts w:hint="eastAsia" w:ascii="仿宋" w:hAnsi="仿宋" w:eastAsia="仿宋"/>
                <w:sz w:val="28"/>
                <w:szCs w:val="28"/>
              </w:rPr>
              <w:t>。每次送教前，学校都要召开送教工作研讨会议，教师备学生，实施送教学生“一人一案”；邀请县医院康复医生对老师进行培训（自闭症孩子及脑瘫孩子的康复方法与技能）；针对送教过程中出现的问题，开展课题研究；送教后老师们及时总结经验、撰写送教反思。除了学校统一的上门送教，日常老师们利用网络、QQ群、微信群随时对送教学生进行远程指导。教导处组织开展送教随笔评选、送教典型案例评选，学期末召开送教工作经验交流会，以根据出现的问题及时调整送教方案。</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（三）家校结合  康复引领</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送教过程中，我们注重提高家长的认识，指导孩子康复训练和学习时，要求家长必须在场，掌握康复训练的基本动作要领，明确本次送教的学习训练内容，并布置好近期的家庭作业。为提高家长的康复知识，</w:t>
            </w:r>
            <w:r>
              <w:rPr>
                <w:rFonts w:hint="eastAsia" w:ascii="仿宋" w:hAnsi="仿宋" w:eastAsia="仿宋"/>
                <w:b w:val="0"/>
                <w:bCs w:val="0"/>
                <w:sz w:val="28"/>
                <w:szCs w:val="28"/>
              </w:rPr>
              <w:t>学校编印《中重度残疾儿童家庭康复训练指南》，</w:t>
            </w:r>
            <w:r>
              <w:rPr>
                <w:rFonts w:hint="eastAsia" w:ascii="仿宋" w:hAnsi="仿宋" w:eastAsia="仿宋"/>
                <w:sz w:val="28"/>
                <w:szCs w:val="28"/>
              </w:rPr>
              <w:t>定期举办送教学生家长培训班。</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（四）送教上门的点滴成绩</w:t>
            </w:r>
          </w:p>
          <w:p>
            <w:pPr>
              <w:keepNext w:val="0"/>
              <w:keepLines w:val="0"/>
              <w:pageBreakBefore w:val="0"/>
              <w:widowControl w:val="0"/>
              <w:kinsoku/>
              <w:wordWrap/>
              <w:overflowPunct/>
              <w:topLinePunct w:val="0"/>
              <w:autoSpaceDE w:val="0"/>
              <w:autoSpaceDN w:val="0"/>
              <w:bidi w:val="0"/>
              <w:adjustRightInd w:val="0"/>
              <w:snapToGrid w:val="0"/>
              <w:spacing w:line="480" w:lineRule="exact"/>
              <w:ind w:firstLine="560" w:firstLineChars="200"/>
              <w:textAlignment w:val="auto"/>
              <w:rPr>
                <w:rFonts w:ascii="仿宋" w:hAnsi="仿宋" w:eastAsia="仿宋"/>
                <w:sz w:val="28"/>
                <w:szCs w:val="28"/>
              </w:rPr>
            </w:pPr>
            <w:r>
              <w:rPr>
                <w:rFonts w:hint="eastAsia" w:ascii="仿宋" w:hAnsi="仿宋" w:eastAsia="仿宋"/>
                <w:sz w:val="28"/>
                <w:szCs w:val="28"/>
              </w:rPr>
              <w:t>送教上门工作从最初的尝试到现在较为规范化、常态化的送教流程，我们一路坚持、一路探索、一路收获着，我们惊喜地看到了孩子的进步，看到了家长的变化，送教老师也和学生建立了“不是亲人胜似亲人”的亲戚关系，每年年底学校也会开展“春节送温暖”工程，为送教学生发放助学金、米、面等慰问品。同时学校还积极呼吁社会各界爱心人士关心、关爱这些儿童。老师们和社会各界的爱心举动像缕缕春风滋润着每一个残障孩子的心田，给他们的家庭带去了信心，带去了希望。我们的做法也多次被省、市、县电视台报道。</w:t>
            </w:r>
          </w:p>
          <w:p>
            <w:pPr>
              <w:keepNext w:val="0"/>
              <w:keepLines w:val="0"/>
              <w:pageBreakBefore w:val="0"/>
              <w:widowControl w:val="0"/>
              <w:kinsoku/>
              <w:wordWrap/>
              <w:overflowPunct/>
              <w:topLinePunct w:val="0"/>
              <w:autoSpaceDE w:val="0"/>
              <w:autoSpaceDN w:val="0"/>
              <w:bidi w:val="0"/>
              <w:adjustRightInd w:val="0"/>
              <w:snapToGrid w:val="0"/>
              <w:spacing w:line="480" w:lineRule="exact"/>
              <w:textAlignment w:val="auto"/>
              <w:rPr>
                <w:w w:val="100"/>
                <w:sz w:val="28"/>
              </w:rPr>
            </w:pPr>
            <w:r>
              <w:rPr>
                <w:rFonts w:hint="eastAsia" w:ascii="仿宋" w:hAnsi="仿宋" w:eastAsia="仿宋"/>
                <w:sz w:val="28"/>
                <w:szCs w:val="28"/>
              </w:rPr>
              <w:t>送教上门永远在路上，我们将虚心听取专家的意见，借鉴兄弟学校的经验做法，探索更具实效的措施，提供更规范更优质的送教，让每一个生命绽放属于他们的精彩！</w:t>
            </w:r>
          </w:p>
        </w:tc>
      </w:tr>
    </w:tbl>
    <w:p>
      <w:pPr>
        <w:pStyle w:val="4"/>
        <w:rPr>
          <w:rFonts w:ascii="方正小标宋简体"/>
          <w:sz w:val="20"/>
        </w:rPr>
      </w:pPr>
    </w:p>
    <w:p>
      <w:pPr>
        <w:spacing w:before="89"/>
        <w:ind w:left="0" w:right="426" w:firstLine="0"/>
        <w:jc w:val="both"/>
        <w:rPr>
          <w:rFonts w:ascii="Times New Roman" w:hAnsi="Times New Roman"/>
          <w:sz w:val="28"/>
        </w:rPr>
      </w:pPr>
    </w:p>
    <w:p>
      <w:pPr>
        <w:spacing w:after="0"/>
        <w:jc w:val="right"/>
        <w:rPr>
          <w:rFonts w:ascii="Times New Roman" w:hAnsi="Times New Roman"/>
          <w:sz w:val="28"/>
        </w:rPr>
        <w:sectPr>
          <w:footerReference r:id="rId5" w:type="default"/>
          <w:pgSz w:w="11910" w:h="16840"/>
          <w:pgMar w:top="1580" w:right="1300" w:bottom="1582" w:left="1300" w:header="720" w:footer="720" w:gutter="0"/>
          <w:pgNumType w:fmt="decimal"/>
          <w:cols w:space="720" w:num="1"/>
        </w:sectPr>
      </w:pPr>
    </w:p>
    <w:tbl>
      <w:tblPr>
        <w:tblStyle w:val="7"/>
        <w:tblW w:w="8977" w:type="dxa"/>
        <w:tblInd w:w="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1"/>
        <w:gridCol w:w="5007"/>
        <w:gridCol w:w="12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2" w:hRule="atLeast"/>
        </w:trPr>
        <w:tc>
          <w:tcPr>
            <w:tcW w:w="8977" w:type="dxa"/>
            <w:gridSpan w:val="3"/>
          </w:tcPr>
          <w:p>
            <w:pPr>
              <w:pStyle w:val="9"/>
              <w:spacing w:before="39"/>
              <w:ind w:left="107"/>
              <w:rPr>
                <w:sz w:val="28"/>
              </w:rPr>
            </w:pPr>
            <w:r>
              <w:rPr>
                <w:sz w:val="28"/>
              </w:rPr>
              <w:t>宣传推广情况：</w:t>
            </w:r>
          </w:p>
          <w:p>
            <w:pPr>
              <w:keepNext w:val="0"/>
              <w:keepLines w:val="0"/>
              <w:pageBreakBefore w:val="0"/>
              <w:widowControl/>
              <w:numPr>
                <w:ilvl w:val="0"/>
                <w:numId w:val="0"/>
              </w:numPr>
              <w:pBdr>
                <w:top w:val="none" w:color="auto" w:sz="0" w:space="16"/>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after="0" w:line="360" w:lineRule="auto"/>
              <w:ind w:firstLine="560" w:firstLineChars="200"/>
              <w:jc w:val="left"/>
              <w:textAlignment w:val="auto"/>
              <w:rPr>
                <w:rFonts w:hint="eastAsia" w:ascii="仿宋" w:hAnsi="仿宋" w:eastAsia="仿宋"/>
                <w:sz w:val="28"/>
                <w:szCs w:val="28"/>
                <w:lang w:val="en-US" w:eastAsia="zh-CN"/>
              </w:rPr>
            </w:pPr>
            <w:r>
              <w:rPr>
                <w:rFonts w:hint="eastAsia"/>
                <w:sz w:val="28"/>
                <w:lang w:val="en-US" w:eastAsia="zh-CN"/>
              </w:rPr>
              <w:t xml:space="preserve">  </w:t>
            </w:r>
            <w:r>
              <w:rPr>
                <w:rFonts w:hint="eastAsia" w:ascii="仿宋" w:hAnsi="仿宋" w:eastAsia="仿宋"/>
                <w:sz w:val="28"/>
                <w:szCs w:val="28"/>
                <w:lang w:val="en-US" w:eastAsia="zh-CN"/>
              </w:rPr>
              <w:t xml:space="preserve">  2014年全市送教上门工作现场会在校召开，宓校长代表学校了做了送教上门经验介绍；</w:t>
            </w:r>
            <w:r>
              <w:rPr>
                <w:rFonts w:hint="eastAsia" w:ascii="仿宋" w:hAnsi="仿宋" w:eastAsia="仿宋"/>
                <w:sz w:val="28"/>
                <w:szCs w:val="28"/>
              </w:rPr>
              <w:t>2017年1月8日，齐鲁晚报头版对我县送教上门工作作了题为《百余残疾孩子有了 “私人老师”》的报道，2017年1月21日照市电视台《社会零距离》栏目对我校的送教上门工作做了题为《送教上门  残疾孩子有了“私人教师”》的专题报道；</w:t>
            </w:r>
            <w:r>
              <w:rPr>
                <w:rFonts w:hint="eastAsia" w:ascii="仿宋" w:hAnsi="仿宋" w:eastAsia="仿宋"/>
                <w:sz w:val="28"/>
                <w:szCs w:val="28"/>
                <w:lang w:val="en-US" w:eastAsia="zh-CN"/>
              </w:rPr>
              <w:t>2019年10月，课题主持人杨明荣校长在山东省基础教育学校特教发展共同体“送教上门”研讨会上做了题为《让每一个生命绽放精彩》的典型发言。</w:t>
            </w:r>
          </w:p>
          <w:p>
            <w:pPr>
              <w:pStyle w:val="9"/>
              <w:spacing w:before="39"/>
              <w:ind w:left="107"/>
              <w:rPr>
                <w:rFonts w:hint="default" w:eastAsia="宋体"/>
                <w:sz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3" w:hRule="atLeast"/>
        </w:trPr>
        <w:tc>
          <w:tcPr>
            <w:tcW w:w="2691" w:type="dxa"/>
          </w:tcPr>
          <w:p>
            <w:pPr>
              <w:pStyle w:val="9"/>
              <w:rPr>
                <w:rFonts w:ascii="Times New Roman"/>
                <w:sz w:val="28"/>
              </w:rPr>
            </w:pPr>
          </w:p>
          <w:p>
            <w:pPr>
              <w:pStyle w:val="9"/>
              <w:rPr>
                <w:rFonts w:ascii="Times New Roman"/>
                <w:sz w:val="28"/>
              </w:rPr>
            </w:pPr>
          </w:p>
          <w:p>
            <w:pPr>
              <w:pStyle w:val="9"/>
              <w:rPr>
                <w:rFonts w:ascii="Times New Roman"/>
                <w:sz w:val="28"/>
              </w:rPr>
            </w:pPr>
          </w:p>
          <w:p>
            <w:pPr>
              <w:pStyle w:val="9"/>
              <w:rPr>
                <w:rFonts w:ascii="Times New Roman"/>
                <w:sz w:val="22"/>
              </w:rPr>
            </w:pPr>
          </w:p>
          <w:p>
            <w:pPr>
              <w:pStyle w:val="9"/>
              <w:spacing w:before="1"/>
              <w:ind w:left="503"/>
              <w:rPr>
                <w:sz w:val="28"/>
              </w:rPr>
            </w:pPr>
            <w:r>
              <w:rPr>
                <w:sz w:val="28"/>
              </w:rPr>
              <w:t>所在学校意见</w:t>
            </w:r>
          </w:p>
        </w:tc>
        <w:tc>
          <w:tcPr>
            <w:tcW w:w="5007" w:type="dxa"/>
            <w:tcBorders>
              <w:right w:val="nil"/>
            </w:tcBorders>
          </w:tcPr>
          <w:p>
            <w:pPr>
              <w:pStyle w:val="9"/>
              <w:rPr>
                <w:rFonts w:ascii="Times New Roman"/>
                <w:sz w:val="28"/>
              </w:rPr>
            </w:pPr>
          </w:p>
          <w:p>
            <w:pPr>
              <w:pStyle w:val="9"/>
              <w:rPr>
                <w:rFonts w:ascii="Times New Roman"/>
                <w:sz w:val="28"/>
              </w:rPr>
            </w:pPr>
          </w:p>
          <w:p>
            <w:pPr>
              <w:pStyle w:val="9"/>
              <w:rPr>
                <w:rFonts w:ascii="Times New Roman"/>
                <w:sz w:val="28"/>
              </w:rPr>
            </w:pPr>
          </w:p>
          <w:p>
            <w:pPr>
              <w:pStyle w:val="9"/>
              <w:rPr>
                <w:rFonts w:ascii="Times New Roman"/>
                <w:sz w:val="28"/>
              </w:rPr>
            </w:pPr>
          </w:p>
          <w:p>
            <w:pPr>
              <w:pStyle w:val="9"/>
              <w:rPr>
                <w:sz w:val="28"/>
              </w:rPr>
            </w:pPr>
            <w:r>
              <w:rPr>
                <w:sz w:val="28"/>
              </w:rPr>
              <w:t>（盖章）</w:t>
            </w:r>
          </w:p>
          <w:p>
            <w:pPr>
              <w:pStyle w:val="9"/>
              <w:rPr>
                <w:sz w:val="28"/>
              </w:rPr>
            </w:pPr>
            <w:r>
              <w:rPr>
                <w:sz w:val="28"/>
              </w:rPr>
              <w:t>年</w:t>
            </w:r>
            <w:r>
              <w:rPr>
                <w:sz w:val="28"/>
              </w:rPr>
              <w:tab/>
            </w:r>
            <w:r>
              <w:rPr>
                <w:sz w:val="28"/>
              </w:rPr>
              <w:t>月</w:t>
            </w:r>
          </w:p>
        </w:tc>
        <w:tc>
          <w:tcPr>
            <w:tcW w:w="1279" w:type="dxa"/>
            <w:tcBorders>
              <w:left w:val="nil"/>
            </w:tcBorders>
          </w:tcPr>
          <w:p>
            <w:pPr>
              <w:pStyle w:val="9"/>
              <w:rPr>
                <w:rFonts w:ascii="Times New Roman"/>
                <w:sz w:val="28"/>
              </w:rPr>
            </w:pPr>
          </w:p>
          <w:p>
            <w:pPr>
              <w:pStyle w:val="9"/>
              <w:rPr>
                <w:rFonts w:ascii="Times New Roman"/>
                <w:sz w:val="28"/>
              </w:rPr>
            </w:pPr>
          </w:p>
          <w:p>
            <w:pPr>
              <w:pStyle w:val="9"/>
              <w:rPr>
                <w:rFonts w:ascii="Times New Roman"/>
                <w:sz w:val="28"/>
              </w:rPr>
            </w:pPr>
          </w:p>
          <w:p>
            <w:pPr>
              <w:pStyle w:val="9"/>
              <w:rPr>
                <w:rFonts w:ascii="Times New Roman"/>
                <w:sz w:val="28"/>
              </w:rPr>
            </w:pPr>
          </w:p>
          <w:p>
            <w:pPr>
              <w:pStyle w:val="9"/>
              <w:rPr>
                <w:rFonts w:ascii="Times New Roman"/>
                <w:sz w:val="28"/>
              </w:rPr>
            </w:pPr>
          </w:p>
          <w:p>
            <w:pPr>
              <w:pStyle w:val="9"/>
              <w:rPr>
                <w:rFonts w:ascii="Times New Roman"/>
                <w:sz w:val="28"/>
              </w:rPr>
            </w:pPr>
          </w:p>
          <w:p>
            <w:pPr>
              <w:pStyle w:val="9"/>
              <w:rPr>
                <w:rFonts w:ascii="Times New Roman"/>
                <w:sz w:val="28"/>
              </w:rPr>
            </w:pPr>
          </w:p>
          <w:p>
            <w:pPr>
              <w:pStyle w:val="9"/>
              <w:spacing w:before="178" w:line="332" w:lineRule="exact"/>
              <w:ind w:left="144"/>
              <w:rPr>
                <w:sz w:val="28"/>
              </w:rPr>
            </w:pPr>
            <w:r>
              <w:rPr>
                <w:w w:val="100"/>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9" w:hRule="atLeast"/>
        </w:trPr>
        <w:tc>
          <w:tcPr>
            <w:tcW w:w="2691" w:type="dxa"/>
          </w:tcPr>
          <w:p>
            <w:pPr>
              <w:pStyle w:val="9"/>
              <w:rPr>
                <w:rFonts w:ascii="Times New Roman"/>
                <w:sz w:val="28"/>
              </w:rPr>
            </w:pPr>
          </w:p>
          <w:p>
            <w:pPr>
              <w:pStyle w:val="9"/>
              <w:rPr>
                <w:rFonts w:ascii="Times New Roman"/>
                <w:sz w:val="28"/>
              </w:rPr>
            </w:pPr>
          </w:p>
          <w:p>
            <w:pPr>
              <w:pStyle w:val="9"/>
              <w:spacing w:before="9"/>
              <w:rPr>
                <w:rFonts w:ascii="Times New Roman"/>
                <w:sz w:val="33"/>
              </w:rPr>
            </w:pPr>
          </w:p>
          <w:p>
            <w:pPr>
              <w:pStyle w:val="9"/>
              <w:ind w:left="784" w:right="492" w:hanging="281"/>
              <w:rPr>
                <w:sz w:val="28"/>
              </w:rPr>
            </w:pPr>
            <w:r>
              <w:rPr>
                <w:sz w:val="28"/>
              </w:rPr>
              <w:t>县级教育行政部门意见</w:t>
            </w:r>
          </w:p>
        </w:tc>
        <w:tc>
          <w:tcPr>
            <w:tcW w:w="5007" w:type="dxa"/>
            <w:tcBorders>
              <w:right w:val="nil"/>
            </w:tcBorders>
          </w:tcPr>
          <w:p>
            <w:pPr>
              <w:pStyle w:val="9"/>
              <w:rPr>
                <w:rFonts w:ascii="Times New Roman"/>
                <w:sz w:val="28"/>
              </w:rPr>
            </w:pPr>
          </w:p>
          <w:p>
            <w:pPr>
              <w:pStyle w:val="9"/>
              <w:rPr>
                <w:rFonts w:ascii="Times New Roman"/>
                <w:sz w:val="28"/>
              </w:rPr>
            </w:pPr>
          </w:p>
          <w:p>
            <w:pPr>
              <w:pStyle w:val="9"/>
              <w:rPr>
                <w:rFonts w:ascii="Times New Roman"/>
                <w:sz w:val="28"/>
              </w:rPr>
            </w:pPr>
          </w:p>
          <w:p>
            <w:pPr>
              <w:pStyle w:val="9"/>
              <w:rPr>
                <w:rFonts w:ascii="Times New Roman"/>
                <w:sz w:val="28"/>
              </w:rPr>
            </w:pPr>
          </w:p>
          <w:p>
            <w:pPr>
              <w:pStyle w:val="9"/>
              <w:ind w:left="3592"/>
              <w:rPr>
                <w:sz w:val="28"/>
              </w:rPr>
            </w:pPr>
            <w:r>
              <w:rPr>
                <w:sz w:val="28"/>
              </w:rPr>
              <w:t>（盖章）</w:t>
            </w:r>
          </w:p>
          <w:p>
            <w:pPr>
              <w:pStyle w:val="9"/>
              <w:tabs>
                <w:tab w:val="left" w:pos="4586"/>
              </w:tabs>
              <w:spacing w:before="141"/>
              <w:ind w:left="4027"/>
              <w:rPr>
                <w:sz w:val="28"/>
              </w:rPr>
            </w:pPr>
            <w:r>
              <w:rPr>
                <w:sz w:val="28"/>
              </w:rPr>
              <w:t>年</w:t>
            </w:r>
            <w:r>
              <w:rPr>
                <w:sz w:val="28"/>
              </w:rPr>
              <w:tab/>
            </w:r>
            <w:r>
              <w:rPr>
                <w:sz w:val="28"/>
              </w:rPr>
              <w:t>月</w:t>
            </w:r>
          </w:p>
        </w:tc>
        <w:tc>
          <w:tcPr>
            <w:tcW w:w="1279" w:type="dxa"/>
            <w:tcBorders>
              <w:left w:val="nil"/>
            </w:tcBorders>
          </w:tcPr>
          <w:p>
            <w:pPr>
              <w:pStyle w:val="9"/>
              <w:rPr>
                <w:rFonts w:ascii="Times New Roman"/>
                <w:sz w:val="28"/>
              </w:rPr>
            </w:pPr>
          </w:p>
          <w:p>
            <w:pPr>
              <w:pStyle w:val="9"/>
              <w:rPr>
                <w:rFonts w:ascii="Times New Roman"/>
                <w:sz w:val="28"/>
              </w:rPr>
            </w:pPr>
          </w:p>
          <w:p>
            <w:pPr>
              <w:pStyle w:val="9"/>
              <w:rPr>
                <w:rFonts w:ascii="Times New Roman"/>
                <w:sz w:val="28"/>
              </w:rPr>
            </w:pPr>
          </w:p>
          <w:p>
            <w:pPr>
              <w:pStyle w:val="9"/>
              <w:spacing w:before="217"/>
              <w:ind w:left="144"/>
              <w:rPr>
                <w:sz w:val="28"/>
              </w:rPr>
            </w:pPr>
            <w:r>
              <w:rPr>
                <w:w w:val="100"/>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9" w:hRule="atLeast"/>
        </w:trPr>
        <w:tc>
          <w:tcPr>
            <w:tcW w:w="2691" w:type="dxa"/>
          </w:tcPr>
          <w:p>
            <w:pPr>
              <w:pStyle w:val="9"/>
              <w:rPr>
                <w:rFonts w:ascii="Times New Roman"/>
                <w:sz w:val="28"/>
              </w:rPr>
            </w:pPr>
          </w:p>
          <w:p>
            <w:pPr>
              <w:pStyle w:val="9"/>
              <w:rPr>
                <w:rFonts w:ascii="Times New Roman"/>
                <w:sz w:val="28"/>
              </w:rPr>
            </w:pPr>
          </w:p>
          <w:p>
            <w:pPr>
              <w:pStyle w:val="9"/>
              <w:rPr>
                <w:rFonts w:ascii="Times New Roman"/>
                <w:sz w:val="28"/>
              </w:rPr>
            </w:pPr>
          </w:p>
          <w:p>
            <w:pPr>
              <w:pStyle w:val="9"/>
              <w:spacing w:before="9"/>
              <w:rPr>
                <w:rFonts w:ascii="Times New Roman"/>
                <w:sz w:val="24"/>
              </w:rPr>
            </w:pPr>
          </w:p>
          <w:p>
            <w:pPr>
              <w:pStyle w:val="9"/>
              <w:ind w:left="784" w:right="492" w:hanging="281"/>
              <w:rPr>
                <w:sz w:val="28"/>
              </w:rPr>
            </w:pPr>
            <w:r>
              <w:rPr>
                <w:sz w:val="28"/>
              </w:rPr>
              <w:t>市级教育行政部门意见</w:t>
            </w:r>
          </w:p>
        </w:tc>
        <w:tc>
          <w:tcPr>
            <w:tcW w:w="5007" w:type="dxa"/>
            <w:tcBorders>
              <w:right w:val="nil"/>
            </w:tcBorders>
          </w:tcPr>
          <w:p>
            <w:pPr>
              <w:pStyle w:val="9"/>
              <w:rPr>
                <w:rFonts w:ascii="Times New Roman"/>
                <w:sz w:val="28"/>
              </w:rPr>
            </w:pPr>
          </w:p>
          <w:p>
            <w:pPr>
              <w:pStyle w:val="9"/>
              <w:rPr>
                <w:rFonts w:ascii="Times New Roman"/>
                <w:sz w:val="28"/>
              </w:rPr>
            </w:pPr>
          </w:p>
          <w:p>
            <w:pPr>
              <w:pStyle w:val="9"/>
              <w:rPr>
                <w:rFonts w:ascii="Times New Roman"/>
                <w:sz w:val="28"/>
              </w:rPr>
            </w:pPr>
          </w:p>
          <w:p>
            <w:pPr>
              <w:pStyle w:val="9"/>
              <w:ind w:left="3592"/>
              <w:rPr>
                <w:sz w:val="28"/>
              </w:rPr>
            </w:pPr>
            <w:r>
              <w:rPr>
                <w:sz w:val="28"/>
              </w:rPr>
              <w:t>（盖章）</w:t>
            </w:r>
          </w:p>
          <w:p>
            <w:pPr>
              <w:pStyle w:val="9"/>
              <w:tabs>
                <w:tab w:val="left" w:pos="4586"/>
              </w:tabs>
              <w:spacing w:before="141" w:line="332" w:lineRule="exact"/>
              <w:ind w:left="4027"/>
              <w:rPr>
                <w:sz w:val="28"/>
              </w:rPr>
            </w:pPr>
            <w:r>
              <w:rPr>
                <w:sz w:val="28"/>
              </w:rPr>
              <w:t>年</w:t>
            </w:r>
            <w:r>
              <w:rPr>
                <w:sz w:val="28"/>
              </w:rPr>
              <w:tab/>
            </w:r>
            <w:r>
              <w:rPr>
                <w:sz w:val="28"/>
              </w:rPr>
              <w:t>月</w:t>
            </w:r>
          </w:p>
        </w:tc>
        <w:tc>
          <w:tcPr>
            <w:tcW w:w="1279" w:type="dxa"/>
            <w:tcBorders>
              <w:left w:val="nil"/>
            </w:tcBorders>
          </w:tcPr>
          <w:p>
            <w:pPr>
              <w:pStyle w:val="9"/>
              <w:rPr>
                <w:rFonts w:ascii="Times New Roman"/>
                <w:sz w:val="28"/>
              </w:rPr>
            </w:pPr>
            <w:bookmarkStart w:id="0" w:name="_GoBack"/>
            <w:bookmarkEnd w:id="0"/>
          </w:p>
          <w:p>
            <w:pPr>
              <w:pStyle w:val="9"/>
              <w:rPr>
                <w:rFonts w:ascii="Times New Roman"/>
                <w:sz w:val="28"/>
              </w:rPr>
            </w:pPr>
          </w:p>
          <w:p>
            <w:pPr>
              <w:pStyle w:val="9"/>
              <w:spacing w:before="5"/>
              <w:rPr>
                <w:rFonts w:ascii="Times New Roman"/>
                <w:sz w:val="24"/>
              </w:rPr>
            </w:pPr>
          </w:p>
          <w:p>
            <w:pPr>
              <w:pStyle w:val="9"/>
              <w:spacing w:line="332" w:lineRule="exact"/>
              <w:ind w:left="144"/>
              <w:rPr>
                <w:sz w:val="28"/>
              </w:rPr>
            </w:pPr>
          </w:p>
        </w:tc>
      </w:tr>
    </w:tbl>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8"/>
        <w:rPr>
          <w:rFonts w:ascii="Times New Roman"/>
          <w:sz w:val="16"/>
        </w:rPr>
      </w:pPr>
    </w:p>
    <w:p>
      <w:pPr>
        <w:spacing w:after="0"/>
        <w:jc w:val="left"/>
        <w:rPr>
          <w:rFonts w:ascii="Times New Roman" w:hAnsi="Times New Roman"/>
          <w:sz w:val="28"/>
        </w:rPr>
        <w:sectPr>
          <w:pgSz w:w="11910" w:h="16840"/>
          <w:pgMar w:top="1560" w:right="1300" w:bottom="280" w:left="1300" w:header="720" w:footer="720" w:gutter="0"/>
          <w:pgNumType w:fmt="decimal"/>
          <w:cols w:space="720" w:num="1"/>
        </w:sectPr>
      </w:pPr>
    </w:p>
    <w:p>
      <w:pPr>
        <w:pStyle w:val="4"/>
        <w:rPr>
          <w:rFonts w:ascii="Times New Roman"/>
          <w:sz w:val="20"/>
        </w:rPr>
      </w:pPr>
    </w:p>
    <w:p>
      <w:pPr>
        <w:pStyle w:val="4"/>
        <w:spacing w:before="8"/>
        <w:rPr>
          <w:rFonts w:ascii="Times New Roman"/>
          <w:sz w:val="24"/>
        </w:rPr>
      </w:pPr>
    </w:p>
    <w:p>
      <w:pPr>
        <w:pStyle w:val="4"/>
        <w:spacing w:before="4"/>
        <w:rPr>
          <w:sz w:val="35"/>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Cambria">
    <w:altName w:val="FreeSerif"/>
    <w:panose1 w:val="02040503050406030204"/>
    <w:charset w:val="00"/>
    <w:family w:val="modern"/>
    <w:pitch w:val="default"/>
    <w:sig w:usb0="00000000" w:usb1="00000000" w:usb2="02000000" w:usb3="00000000" w:csb0="2000019F" w:csb1="00000000"/>
  </w:font>
  <w:font w:name="仿宋">
    <w:altName w:val="方正仿宋_GBK"/>
    <w:panose1 w:val="02010609060101010101"/>
    <w:charset w:val="86"/>
    <w:family w:val="swiss"/>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CEF87D"/>
    <w:multiLevelType w:val="singleLevel"/>
    <w:tmpl w:val="31CEF87D"/>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FF212F"/>
    <w:rsid w:val="1E4C7693"/>
    <w:rsid w:val="20D4260E"/>
    <w:rsid w:val="369D3456"/>
    <w:rsid w:val="596D6472"/>
    <w:rsid w:val="68E577E9"/>
    <w:rsid w:val="72FB7A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line="751" w:lineRule="exact"/>
      <w:ind w:right="1"/>
      <w:jc w:val="center"/>
      <w:outlineLvl w:val="1"/>
    </w:pPr>
    <w:rPr>
      <w:rFonts w:ascii="方正小标宋简体" w:hAnsi="方正小标宋简体" w:eastAsia="方正小标宋简体" w:cs="方正小标宋简体"/>
      <w:sz w:val="44"/>
      <w:szCs w:val="44"/>
      <w:lang w:val="zh-CN" w:eastAsia="zh-CN" w:bidi="zh-CN"/>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2022-08-05T09:22:00Z</dcterms:created>
  <dc:creator>Lenovo</dc:creator>
  <cp:lastModifiedBy>user</cp:lastModifiedBy>
  <cp:lastPrinted>2022-08-16T07:53:00Z</cp:lastPrinted>
  <dcterms:modified xsi:type="dcterms:W3CDTF">2022-08-24T14:30:42Z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2B1D2D81591846FB9B1963D349F45856</vt:lpwstr>
  </property>
</Properties>
</file>