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00" w:type="dxa"/>
        <w:jc w:val="center"/>
        <w:tblCellSpacing w:w="15" w:type="dxa"/>
        <w:tblLook w:val="04A0" w:firstRow="1" w:lastRow="0" w:firstColumn="1" w:lastColumn="0" w:noHBand="0" w:noVBand="1"/>
      </w:tblPr>
      <w:tblGrid>
        <w:gridCol w:w="8396"/>
      </w:tblGrid>
      <w:tr w:rsidR="00A96623" w:rsidRPr="00A96623">
        <w:trPr>
          <w:tblCellSpacing w:w="15" w:type="dxa"/>
          <w:jc w:val="center"/>
        </w:trPr>
        <w:tc>
          <w:tcPr>
            <w:tcW w:w="9676" w:type="dxa"/>
            <w:tcMar>
              <w:top w:w="15" w:type="dxa"/>
              <w:left w:w="15" w:type="dxa"/>
              <w:bottom w:w="15" w:type="dxa"/>
              <w:right w:w="15" w:type="dxa"/>
            </w:tcMar>
            <w:hideMark/>
          </w:tcPr>
          <w:p w:rsidR="00A86598" w:rsidRDefault="00711EE7">
            <w:pPr>
              <w:jc w:val="center"/>
              <w:rPr>
                <w:rStyle w:val="a9"/>
                <w:rFonts w:ascii="黑体" w:eastAsia="黑体" w:hAnsi="黑体" w:cs="黑体" w:hint="eastAsia"/>
                <w:b w:val="0"/>
                <w:color w:val="000000"/>
                <w:sz w:val="30"/>
                <w:szCs w:val="30"/>
              </w:rPr>
            </w:pPr>
            <w:r w:rsidRPr="00A86598">
              <w:rPr>
                <w:rStyle w:val="a9"/>
                <w:rFonts w:ascii="黑体" w:eastAsia="黑体" w:hAnsi="黑体" w:cs="黑体" w:hint="eastAsia"/>
                <w:b w:val="0"/>
                <w:color w:val="000000"/>
                <w:sz w:val="30"/>
                <w:szCs w:val="30"/>
              </w:rPr>
              <w:t>枣庄科技职业学院</w:t>
            </w:r>
          </w:p>
          <w:p w:rsidR="00F306E6" w:rsidRPr="00A86598" w:rsidRDefault="00711EE7">
            <w:pPr>
              <w:jc w:val="center"/>
              <w:rPr>
                <w:rStyle w:val="a9"/>
                <w:rFonts w:ascii="黑体" w:eastAsia="黑体" w:hAnsi="黑体" w:cs="黑体"/>
                <w:b w:val="0"/>
                <w:color w:val="000000"/>
                <w:sz w:val="30"/>
                <w:szCs w:val="30"/>
              </w:rPr>
            </w:pPr>
            <w:r w:rsidRPr="00A86598">
              <w:rPr>
                <w:rStyle w:val="a9"/>
                <w:rFonts w:ascii="黑体" w:eastAsia="黑体" w:hAnsi="黑体" w:cs="黑体" w:hint="eastAsia"/>
                <w:b w:val="0"/>
                <w:color w:val="000000"/>
                <w:sz w:val="30"/>
                <w:szCs w:val="30"/>
              </w:rPr>
              <w:t>2019年高职（专科）单独招生（第二次）章程</w:t>
            </w:r>
          </w:p>
          <w:p w:rsidR="00A86598" w:rsidRDefault="00A86598" w:rsidP="00A86598">
            <w:pPr>
              <w:pStyle w:val="a5"/>
              <w:spacing w:beforeLines="50" w:before="120" w:beforeAutospacing="0" w:afterLines="50" w:after="120" w:afterAutospacing="0" w:line="30" w:lineRule="atLeast"/>
              <w:ind w:firstLine="646"/>
              <w:jc w:val="center"/>
              <w:rPr>
                <w:rFonts w:ascii="仿宋" w:eastAsia="仿宋" w:hAnsi="仿宋" w:cs="仿宋" w:hint="eastAsia"/>
                <w:b/>
                <w:bCs/>
                <w:color w:val="000000"/>
                <w:sz w:val="28"/>
                <w:szCs w:val="28"/>
              </w:rPr>
            </w:pP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第一章  总则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为了保证2019年单独招生（第二次）工作的顺利进行，维护学院和考生合法权益，根据《中华人民共和国教育法》《中华人民共和国高等教育法》和《山东省教育厅关于做好2019年高职（专科）单独招生和综合评价招生工作的通知》等上级教育主管部门有关文件精神，结合学院招生工作的具体情况，特制定本章程。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第一条 本章程适用于枣庄科技职业学院单独招生工作。</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第二条 枣庄科技职业学院单独招生工作贯彻“公平竞争、公正选拔、公开程序，德智体美劳全面考核、综合评价、择优录取”的原则。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 xml:space="preserve">第三条 枣庄科技职业学院单独招生工作纪检监察部门、新闻媒体、考生及家长以及社会各界的监督。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第二章  学院概况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第四条 学院全称：枣庄科技职业学院  学院代码13390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第五条 学院地址：山东省滕州市学院东路888号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第六条 办学层次：公办、全日制普通高职（专科）院校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第七条 基本情况：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 xml:space="preserve">枣庄科技职业学院是2005年经山东省人民政府批准设立、教育部备案的公办全日制普通高等职业学院，由枣庄、滕州两级人民政府举办，是枣庄地区规模较大的技术技能人才培养基地。学院坐落在墨子、鲁班故里滕州市，校园占地1000余亩，建筑面积28.5万平方米，拥有馆藏图书45.21万册，教学、科研仪器设备总值1.2亿元，开设40个高职专业。现有教职工609人，全日制在校生9113人。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第三章  组织机构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第八条 学院成立以院长为组长、有关处室系部主要负责人及纪委为成员的单独招生工作领导小组，认真执行教育部关于在高等学院招生中实施“阳光工程”的各项要求，加强领导，建立健全监督机制，完善监督措施，加大信息公开力度。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组   长：谷道宗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副 组 长：徐庆俊、闵祥寨、韩业河、朱文辉、张玉法、满其伟、韦统友、王士柱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成  员：学院各处室、系部主要负责人、学院纪委有关人员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学院单独招生工作领导小组下设招生录取组、命题考务组、财务管理组、纪检监察组、后勤保障组、安全保卫组。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第九条 学院招生就业处是组织和实施单独招生及其相关工作的常设机构，具体负责学院招生的日常工作。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lastRenderedPageBreak/>
              <w:t xml:space="preserve">第十条 加强招生工作人员的培训、考核和政策宣传工作，选派政策水平高、工作认真负责、作风正派、办事公道的教师和管理人员参加单独招生考核工作。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 xml:space="preserve">第十一条 单独招生的考试录取工作由学院纪委实施全程监督，确保公平、公正、透明。对工作中的各种违规行为，将按照《国家教育考试违规处理办法》（教育部令第33号）和《普通高等学院招生违规行为处理暂行办法》（教育部令第36号）等有关规定严肃处理。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lastRenderedPageBreak/>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第四章  招生计划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第十二条 学院2019年单独招生（第二次）计划设 A、B、C 三个类别，单列招生计划、分类别招生。其中，A 类计划主要招收高中阶段应届毕业生，B类计划主要招收退役军人，C类计划主要招收下岗失业人员、农民工、农民、在岗职工等。高中阶段应届毕业生不能报考B类、C类。A 类计划为500人，B 类计划计划为120人，C类计划为180人，总计800人。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第十三条 专业计划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A类 </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750"/>
              <w:gridCol w:w="785"/>
              <w:gridCol w:w="1280"/>
              <w:gridCol w:w="758"/>
            </w:tblGrid>
            <w:tr w:rsidR="00A96623" w:rsidRPr="00A96623" w:rsidTr="00A86598">
              <w:trPr>
                <w:trHeight w:val="630"/>
                <w:jc w:val="center"/>
              </w:trPr>
              <w:tc>
                <w:tcPr>
                  <w:tcW w:w="780" w:type="dxa"/>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序号</w:t>
                  </w:r>
                </w:p>
              </w:tc>
              <w:tc>
                <w:tcPr>
                  <w:tcW w:w="5266" w:type="dxa"/>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招生专业</w:t>
                  </w:r>
                </w:p>
              </w:tc>
              <w:tc>
                <w:tcPr>
                  <w:tcW w:w="850" w:type="dxa"/>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招生计划</w:t>
                  </w:r>
                </w:p>
              </w:tc>
              <w:tc>
                <w:tcPr>
                  <w:tcW w:w="1401" w:type="dxa"/>
                  <w:shd w:val="clear" w:color="auto" w:fill="5B9BD5"/>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学费 </w:t>
                  </w:r>
                  <w:r w:rsidRPr="00A96623">
                    <w:rPr>
                      <w:rFonts w:ascii="仿宋_GB2312" w:eastAsia="仿宋_GB2312" w:hAnsi="等线" w:hint="eastAsia"/>
                      <w:b/>
                      <w:bCs/>
                    </w:rPr>
                    <w:br/>
                    <w:t>（元/年）</w:t>
                  </w:r>
                </w:p>
              </w:tc>
              <w:tc>
                <w:tcPr>
                  <w:tcW w:w="820" w:type="dxa"/>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备注</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电气自动化技术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机电一体化技术（订单培养，山东汉旗科技有限公司）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机电一体化技术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工业机器人技术（校企合作，山东栋梁科技设备有限公司）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工业机器人技术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6</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矿山机电技术（订单培养，山东隆源矿业工程有限公司）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7</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矿山机电技术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煤矿开采技术（订单培养，山东隆源矿业工程有限公司）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9</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煤矿开采技术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数控技术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11</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焊接技术及自动化</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12</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模具设计与制造</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13</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汽车检测与维修技术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14</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汽车营销与服务</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无人机应用技术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16</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建筑工程技术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17</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建筑工程技术（校企合作，山东万斯达智筑教育科技有限公司）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8000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18</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建筑工程技术（订单培养，天元建设集</w:t>
                  </w:r>
                  <w:r w:rsidRPr="00A96623">
                    <w:rPr>
                      <w:rFonts w:ascii="仿宋_GB2312" w:eastAsia="仿宋_GB2312" w:hAnsi="等线" w:hint="eastAsia"/>
                    </w:rPr>
                    <w:lastRenderedPageBreak/>
                    <w:t>团）</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lastRenderedPageBreak/>
                    <w:t>7</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lastRenderedPageBreak/>
                    <w:t>19</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工程造价</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工程造价（校企合作，山东万斯达智筑教育科技有限公司）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8000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21</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工程造价（订单培养，天元建设集团）</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22</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建筑装饰工程技术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23</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建筑装饰工程技术（校企合作，湖北海天时代科技发展有限公司）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8000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24</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建筑设计</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25</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建筑设计（校企合作，湖北海天时代科技发展有限公司）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8000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26</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工程测量技术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27</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建设工程管理</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28</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建设工程管理（订单培养，天元建设集团）</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29</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会计</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30</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计算机应用技术（校企合作，云计算与大数据方向，南京第五十五所技术开发有限公司）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31</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计算机应用技术（校企合作，人工智能方向，青岛新联星教育发展集团有限公司）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32</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软件技术（校企合作，东软集团股份有限公司）</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33</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数字媒体技术</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34</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电子信息工程技术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35</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电子信息工程技术（订单培养，中国电信股份有限公司枣庄分公司）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36</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物联网应用技术</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37</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物联网应用技术（校企合作，东软集团股份有限公司）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38</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电子商务</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39</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电子商务（校企合作，跨境电商方向，武汉中部对外经济技术合作有限公司）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40</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旅游管理</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rsidTr="00A86598">
              <w:trPr>
                <w:trHeight w:val="315"/>
                <w:jc w:val="center"/>
              </w:trPr>
              <w:tc>
                <w:tcPr>
                  <w:tcW w:w="78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41</w:t>
                  </w:r>
                </w:p>
              </w:tc>
              <w:tc>
                <w:tcPr>
                  <w:tcW w:w="5266" w:type="dxa"/>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旅游管理（校企合作，国际邮轮乘务管理方向，武汉中部对外经济技术合作有限公司）</w:t>
                  </w:r>
                </w:p>
              </w:tc>
              <w:tc>
                <w:tcPr>
                  <w:tcW w:w="85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8800</w:t>
                  </w:r>
                </w:p>
              </w:tc>
              <w:tc>
                <w:tcPr>
                  <w:tcW w:w="820" w:type="dxa"/>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校企 </w:t>
                  </w:r>
                </w:p>
              </w:tc>
            </w:tr>
            <w:tr w:rsidR="00A96623" w:rsidRPr="00A96623" w:rsidTr="00A86598">
              <w:trPr>
                <w:trHeight w:val="315"/>
                <w:jc w:val="center"/>
              </w:trPr>
              <w:tc>
                <w:tcPr>
                  <w:tcW w:w="78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42</w:t>
                  </w:r>
                </w:p>
              </w:tc>
              <w:tc>
                <w:tcPr>
                  <w:tcW w:w="5266" w:type="dxa"/>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旅游管理（订单培养，酒店服务与管理方向，滕州宾馆、青岛海景花园大酒店、济南泉盈大酒店）</w:t>
                  </w:r>
                </w:p>
              </w:tc>
              <w:tc>
                <w:tcPr>
                  <w:tcW w:w="85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401"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订单</w:t>
                  </w:r>
                </w:p>
              </w:tc>
            </w:tr>
            <w:tr w:rsidR="00A96623" w:rsidRPr="00A96623" w:rsidTr="00A86598">
              <w:trPr>
                <w:trHeight w:val="315"/>
                <w:jc w:val="center"/>
              </w:trPr>
              <w:tc>
                <w:tcPr>
                  <w:tcW w:w="6046" w:type="dxa"/>
                  <w:gridSpan w:val="2"/>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汇总</w:t>
                  </w:r>
                </w:p>
              </w:tc>
              <w:tc>
                <w:tcPr>
                  <w:tcW w:w="850" w:type="dxa"/>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500</w:t>
                  </w:r>
                </w:p>
              </w:tc>
              <w:tc>
                <w:tcPr>
                  <w:tcW w:w="1401" w:type="dxa"/>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c>
                <w:tcPr>
                  <w:tcW w:w="820" w:type="dxa"/>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r>
          </w:tbl>
          <w:p w:rsidR="00F306E6" w:rsidRPr="00A96623" w:rsidRDefault="00711EE7" w:rsidP="00A86598">
            <w:pPr>
              <w:spacing w:before="100" w:beforeAutospacing="1" w:after="100" w:afterAutospacing="1"/>
              <w:ind w:left="560"/>
            </w:pPr>
            <w:r w:rsidRPr="00A96623">
              <w:rPr>
                <w:rFonts w:hint="eastAsia"/>
              </w:rPr>
              <w:t xml:space="preserve">B类 </w:t>
            </w:r>
          </w:p>
          <w:tbl>
            <w:tblPr>
              <w:tblW w:w="9155" w:type="dxa"/>
              <w:jc w:val="center"/>
              <w:tblLook w:val="04A0" w:firstRow="1" w:lastRow="0" w:firstColumn="1" w:lastColumn="0" w:noHBand="0" w:noVBand="1"/>
            </w:tblPr>
            <w:tblGrid>
              <w:gridCol w:w="720"/>
              <w:gridCol w:w="3986"/>
              <w:gridCol w:w="1292"/>
              <w:gridCol w:w="1542"/>
              <w:gridCol w:w="756"/>
            </w:tblGrid>
            <w:tr w:rsidR="00A96623" w:rsidRPr="00A96623">
              <w:trPr>
                <w:trHeight w:val="630"/>
                <w:jc w:val="center"/>
              </w:trPr>
              <w:tc>
                <w:tcPr>
                  <w:tcW w:w="780"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lastRenderedPageBreak/>
                    <w:t>序号</w:t>
                  </w:r>
                </w:p>
              </w:tc>
              <w:tc>
                <w:tcPr>
                  <w:tcW w:w="4435"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招生专业</w:t>
                  </w:r>
                </w:p>
              </w:tc>
              <w:tc>
                <w:tcPr>
                  <w:tcW w:w="1420"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招生计划</w:t>
                  </w:r>
                </w:p>
              </w:tc>
              <w:tc>
                <w:tcPr>
                  <w:tcW w:w="1700" w:type="dxa"/>
                  <w:tcBorders>
                    <w:top w:val="single" w:sz="4" w:space="0" w:color="auto"/>
                    <w:left w:val="single" w:sz="4" w:space="0" w:color="auto"/>
                    <w:bottom w:val="single" w:sz="4" w:space="0" w:color="9BC2E6"/>
                    <w:right w:val="nil"/>
                  </w:tcBorders>
                  <w:shd w:val="clear" w:color="auto" w:fill="5B9BD5"/>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学费 </w:t>
                  </w:r>
                  <w:r w:rsidRPr="00A96623">
                    <w:rPr>
                      <w:rFonts w:ascii="仿宋_GB2312" w:eastAsia="仿宋_GB2312" w:hAnsi="等线" w:hint="eastAsia"/>
                      <w:b/>
                      <w:bCs/>
                    </w:rPr>
                    <w:br/>
                    <w:t>（元/年）</w:t>
                  </w:r>
                </w:p>
              </w:tc>
              <w:tc>
                <w:tcPr>
                  <w:tcW w:w="820" w:type="dxa"/>
                  <w:tcBorders>
                    <w:top w:val="single" w:sz="4" w:space="0" w:color="auto"/>
                    <w:left w:val="single" w:sz="4" w:space="0" w:color="auto"/>
                    <w:bottom w:val="single" w:sz="4" w:space="0" w:color="9BC2E6"/>
                    <w:right w:val="single" w:sz="4" w:space="0" w:color="auto"/>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备注</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电气自动化技术</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机电一体化技术</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机械设计与制造</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汽车检测与维修技术</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建筑工程技术</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6</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工程造价</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7</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建筑装饰工程技术</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建筑设计</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9</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工程测量技术</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建设工程管理</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11</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会计</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12</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计算机应用技术</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13</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数字媒体技术</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14</w:t>
                  </w:r>
                </w:p>
              </w:tc>
              <w:tc>
                <w:tcPr>
                  <w:tcW w:w="4435"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电子商务</w:t>
                  </w:r>
                </w:p>
              </w:tc>
              <w:tc>
                <w:tcPr>
                  <w:tcW w:w="142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4435"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旅游管理</w:t>
                  </w:r>
                </w:p>
              </w:tc>
              <w:tc>
                <w:tcPr>
                  <w:tcW w:w="142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免费</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5215" w:type="dxa"/>
                  <w:gridSpan w:val="2"/>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汇总</w:t>
                  </w:r>
                </w:p>
              </w:tc>
              <w:tc>
                <w:tcPr>
                  <w:tcW w:w="1420" w:type="dxa"/>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120</w:t>
                  </w:r>
                </w:p>
              </w:tc>
              <w:tc>
                <w:tcPr>
                  <w:tcW w:w="1700" w:type="dxa"/>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c>
                <w:tcPr>
                  <w:tcW w:w="820" w:type="dxa"/>
                  <w:tcBorders>
                    <w:top w:val="double" w:sz="6" w:space="0" w:color="5B9BD5"/>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r>
          </w:tbl>
          <w:p w:rsidR="00F306E6" w:rsidRPr="00A96623" w:rsidRDefault="00711EE7" w:rsidP="00A86598">
            <w:pPr>
              <w:spacing w:before="100" w:beforeAutospacing="1" w:after="100" w:afterAutospacing="1"/>
              <w:ind w:left="560"/>
            </w:pPr>
            <w:r w:rsidRPr="00A96623">
              <w:rPr>
                <w:rFonts w:hint="eastAsia"/>
              </w:rPr>
              <w:t xml:space="preserve">C类 </w:t>
            </w:r>
          </w:p>
          <w:tbl>
            <w:tblPr>
              <w:tblW w:w="9112" w:type="dxa"/>
              <w:jc w:val="center"/>
              <w:tblLook w:val="04A0" w:firstRow="1" w:lastRow="0" w:firstColumn="1" w:lastColumn="0" w:noHBand="0" w:noVBand="1"/>
            </w:tblPr>
            <w:tblGrid>
              <w:gridCol w:w="723"/>
              <w:gridCol w:w="3626"/>
              <w:gridCol w:w="1639"/>
              <w:gridCol w:w="1549"/>
              <w:gridCol w:w="759"/>
            </w:tblGrid>
            <w:tr w:rsidR="00A96623" w:rsidRPr="00A96623">
              <w:trPr>
                <w:trHeight w:val="630"/>
                <w:jc w:val="center"/>
              </w:trPr>
              <w:tc>
                <w:tcPr>
                  <w:tcW w:w="780"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序号</w:t>
                  </w:r>
                </w:p>
              </w:tc>
              <w:tc>
                <w:tcPr>
                  <w:tcW w:w="4012"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招生专业</w:t>
                  </w:r>
                </w:p>
              </w:tc>
              <w:tc>
                <w:tcPr>
                  <w:tcW w:w="1800" w:type="dxa"/>
                  <w:tcBorders>
                    <w:top w:val="single" w:sz="4" w:space="0" w:color="auto"/>
                    <w:left w:val="single" w:sz="4" w:space="0" w:color="auto"/>
                    <w:bottom w:val="single" w:sz="4" w:space="0" w:color="9BC2E6"/>
                    <w:right w:val="nil"/>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招生计划</w:t>
                  </w:r>
                </w:p>
              </w:tc>
              <w:tc>
                <w:tcPr>
                  <w:tcW w:w="1700" w:type="dxa"/>
                  <w:tcBorders>
                    <w:top w:val="single" w:sz="4" w:space="0" w:color="auto"/>
                    <w:left w:val="single" w:sz="4" w:space="0" w:color="auto"/>
                    <w:bottom w:val="single" w:sz="4" w:space="0" w:color="9BC2E6"/>
                    <w:right w:val="nil"/>
                  </w:tcBorders>
                  <w:shd w:val="clear" w:color="auto" w:fill="5B9BD5"/>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学费 </w:t>
                  </w:r>
                  <w:r w:rsidRPr="00A96623">
                    <w:rPr>
                      <w:rFonts w:ascii="仿宋_GB2312" w:eastAsia="仿宋_GB2312" w:hAnsi="等线" w:hint="eastAsia"/>
                      <w:b/>
                      <w:bCs/>
                    </w:rPr>
                    <w:br/>
                    <w:t>（元/年）</w:t>
                  </w:r>
                </w:p>
              </w:tc>
              <w:tc>
                <w:tcPr>
                  <w:tcW w:w="820" w:type="dxa"/>
                  <w:tcBorders>
                    <w:top w:val="single" w:sz="4" w:space="0" w:color="auto"/>
                    <w:left w:val="single" w:sz="4" w:space="0" w:color="auto"/>
                    <w:bottom w:val="single" w:sz="4" w:space="0" w:color="9BC2E6"/>
                    <w:right w:val="single" w:sz="4" w:space="0" w:color="auto"/>
                  </w:tcBorders>
                  <w:shd w:val="clear" w:color="auto" w:fill="5B9BD5"/>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备注</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电气自动化技术</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机电一体化技术</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3</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机械设计与制造</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汽车检测与维修技术</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建筑工程技术</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15</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6</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工程造价</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7</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建筑装饰工程技术</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8</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建筑设计</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5</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9</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工程测量技术</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建设工程管理</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11</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计算机应用技术</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12</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电子商务</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13</w:t>
                  </w:r>
                </w:p>
              </w:tc>
              <w:tc>
                <w:tcPr>
                  <w:tcW w:w="4012" w:type="dxa"/>
                  <w:tcBorders>
                    <w:top w:val="single" w:sz="4" w:space="0" w:color="auto"/>
                    <w:left w:val="single" w:sz="4" w:space="0" w:color="auto"/>
                    <w:bottom w:val="single" w:sz="4" w:space="0" w:color="9BC2E6"/>
                    <w:right w:val="nil"/>
                  </w:tcBorders>
                  <w:shd w:val="clear" w:color="auto" w:fill="DDEBF7"/>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老年服务与管理</w:t>
                  </w:r>
                </w:p>
              </w:tc>
              <w:tc>
                <w:tcPr>
                  <w:tcW w:w="18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700" w:type="dxa"/>
                  <w:tcBorders>
                    <w:top w:val="single" w:sz="4" w:space="0" w:color="auto"/>
                    <w:left w:val="single" w:sz="4" w:space="0" w:color="auto"/>
                    <w:bottom w:val="single" w:sz="4" w:space="0" w:color="9BC2E6"/>
                    <w:right w:val="nil"/>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shd w:val="clear" w:color="auto" w:fill="DDEBF7"/>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78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14</w:t>
                  </w:r>
                </w:p>
              </w:tc>
              <w:tc>
                <w:tcPr>
                  <w:tcW w:w="4012" w:type="dxa"/>
                  <w:tcBorders>
                    <w:top w:val="single" w:sz="4" w:space="0" w:color="auto"/>
                    <w:left w:val="single" w:sz="4" w:space="0" w:color="auto"/>
                    <w:bottom w:val="single" w:sz="4" w:space="0" w:color="9BC2E6"/>
                    <w:right w:val="nil"/>
                  </w:tcBorders>
                  <w:vAlign w:val="center"/>
                  <w:hideMark/>
                </w:tcPr>
                <w:p w:rsidR="00F306E6" w:rsidRPr="00A96623" w:rsidRDefault="00711EE7">
                  <w:pPr>
                    <w:rPr>
                      <w:rFonts w:ascii="仿宋_GB2312" w:eastAsia="仿宋_GB2312" w:hAnsi="等线"/>
                    </w:rPr>
                  </w:pPr>
                  <w:r w:rsidRPr="00A96623">
                    <w:rPr>
                      <w:rFonts w:ascii="仿宋_GB2312" w:eastAsia="仿宋_GB2312" w:hAnsi="等线" w:hint="eastAsia"/>
                    </w:rPr>
                    <w:t>幼儿发展与健康管理</w:t>
                  </w:r>
                </w:p>
              </w:tc>
              <w:tc>
                <w:tcPr>
                  <w:tcW w:w="18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20</w:t>
                  </w:r>
                </w:p>
              </w:tc>
              <w:tc>
                <w:tcPr>
                  <w:tcW w:w="1700" w:type="dxa"/>
                  <w:tcBorders>
                    <w:top w:val="single" w:sz="4" w:space="0" w:color="auto"/>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4600</w:t>
                  </w:r>
                </w:p>
              </w:tc>
              <w:tc>
                <w:tcPr>
                  <w:tcW w:w="820" w:type="dxa"/>
                  <w:tcBorders>
                    <w:top w:val="single" w:sz="4" w:space="0" w:color="auto"/>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rPr>
                  </w:pPr>
                  <w:r w:rsidRPr="00A96623">
                    <w:rPr>
                      <w:rFonts w:ascii="仿宋_GB2312" w:eastAsia="仿宋_GB2312" w:hAnsi="等线" w:hint="eastAsia"/>
                    </w:rPr>
                    <w:t xml:space="preserve">　</w:t>
                  </w:r>
                </w:p>
              </w:tc>
            </w:tr>
            <w:tr w:rsidR="00A96623" w:rsidRPr="00A96623">
              <w:trPr>
                <w:trHeight w:val="315"/>
                <w:jc w:val="center"/>
              </w:trPr>
              <w:tc>
                <w:tcPr>
                  <w:tcW w:w="4792" w:type="dxa"/>
                  <w:gridSpan w:val="2"/>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汇总</w:t>
                  </w:r>
                </w:p>
              </w:tc>
              <w:tc>
                <w:tcPr>
                  <w:tcW w:w="1800" w:type="dxa"/>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180</w:t>
                  </w:r>
                </w:p>
              </w:tc>
              <w:tc>
                <w:tcPr>
                  <w:tcW w:w="1700" w:type="dxa"/>
                  <w:tcBorders>
                    <w:top w:val="double" w:sz="6" w:space="0" w:color="5B9BD5"/>
                    <w:left w:val="single" w:sz="4" w:space="0" w:color="auto"/>
                    <w:bottom w:val="single" w:sz="4" w:space="0" w:color="9BC2E6"/>
                    <w:right w:val="nil"/>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c>
                <w:tcPr>
                  <w:tcW w:w="820" w:type="dxa"/>
                  <w:tcBorders>
                    <w:top w:val="double" w:sz="6" w:space="0" w:color="5B9BD5"/>
                    <w:left w:val="single" w:sz="4" w:space="0" w:color="auto"/>
                    <w:bottom w:val="single" w:sz="4" w:space="0" w:color="9BC2E6"/>
                    <w:right w:val="single" w:sz="4" w:space="0" w:color="auto"/>
                  </w:tcBorders>
                  <w:noWrap/>
                  <w:vAlign w:val="center"/>
                  <w:hideMark/>
                </w:tcPr>
                <w:p w:rsidR="00F306E6" w:rsidRPr="00A96623" w:rsidRDefault="00711EE7">
                  <w:pPr>
                    <w:jc w:val="center"/>
                    <w:rPr>
                      <w:rFonts w:ascii="仿宋_GB2312" w:eastAsia="仿宋_GB2312" w:hAnsi="等线"/>
                      <w:b/>
                      <w:bCs/>
                    </w:rPr>
                  </w:pPr>
                  <w:r w:rsidRPr="00A96623">
                    <w:rPr>
                      <w:rFonts w:ascii="仿宋_GB2312" w:eastAsia="仿宋_GB2312" w:hAnsi="等线" w:hint="eastAsia"/>
                      <w:b/>
                      <w:bCs/>
                    </w:rPr>
                    <w:t xml:space="preserve">　</w:t>
                  </w:r>
                </w:p>
              </w:tc>
            </w:tr>
          </w:tbl>
          <w:p w:rsidR="00F306E6" w:rsidRPr="00A96623" w:rsidRDefault="00711EE7">
            <w:r w:rsidRPr="00A96623">
              <w:rPr>
                <w:rFonts w:hint="eastAsia"/>
              </w:rPr>
              <w:t xml:space="preserve">  注：最终招生计划以省教育厅公布的为准。 </w:t>
            </w:r>
          </w:p>
          <w:p w:rsidR="00F306E6" w:rsidRPr="00A96623" w:rsidRDefault="00711EE7">
            <w:pPr>
              <w:jc w:val="center"/>
            </w:pPr>
            <w:r w:rsidRPr="00A96623">
              <w:rPr>
                <w:rFonts w:hint="eastAsia"/>
              </w:rPr>
              <w:t xml:space="preserve">  </w:t>
            </w:r>
          </w:p>
        </w:tc>
      </w:tr>
      <w:tr w:rsidR="00A96623" w:rsidRPr="00A96623">
        <w:trPr>
          <w:trHeight w:val="1917"/>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lastRenderedPageBreak/>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第五章  报考条件及录取规则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第十四条 外语语种要求：所有招生专业外语语种不限，但我校公共外语教学为英语，其他语种考生入校后须改学英语。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第十五条 体检标准：按教育部、卫生部、中国残联修订的《普通高等学校招生体检工作指导意见》的有关规定执行。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第十六条 男女比例：山东天元建设集团订单培养专业建筑工程技术、建设工程管理、工程造价限男生报考；煤矿开采技术专业因行业特点限男生报考，其它专业不限男女比例。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第十七条 报考条件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具有山东省户籍或在山东务工（需提供6个月以上劳动合同证明）、具有高中阶段学历或同等学力人员；非山东省户籍的就业人员随迁子女（含进城务工人员随迁子女）应具 有山东省高中段学校学籍及完整学习经历，并合格毕业。已参加 2019 年我省春季高考或夏季高考考试的考生，不再参加本次单独招生报名及考试。</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第十八条 报名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按照山东省教育厅等11部门关于印发《山东省高等职业院校 扩招实施方案》的通知（鲁教职发〔2019〕1 号）相关要求进行资格审核及报名。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第十九条 志愿填报</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考生需登录省教育招生考试院高职单招填报志 愿平台（网址：http://wsbm.sdzk.cn/gzdz/）填报志愿。考生可填报两次志愿，第1次为首次志愿，志愿填报时间为8月9日-11 日（每天 8:00—20:00）；第 2 次为征集志愿，志愿填报时间为 9 月 12 日（8:00—20:00）。首次志愿和征集志愿均填报“1 个学校+1 个专业”志愿；征集志愿同时填报院校、专业是否服从调剂志愿。报名时考生要了解有关招生政策，必须准确地填写高考考生号（14位，以1937开头）及学院要求的相关信息。考生报名、准考证打印及考试安排见学校招生网站。</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第二十条 报名考试费120元（按照鲁价费函〔2016〕95 号文件规定标准），不缴纳报名费的视为考生放弃考试资格。 B类计划考生不缴纳报名费。</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第二十一条 信息确认、查看考场、领取准考证</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考生在网上报名后，8月26日9：00-17：00或8月27日7：00-8：30到学院指定地点进行“信息确认”（信息确认地点、考试地点详见学院网站公示），交验有关证件、证明原件，确认考生报名信息真实正确，并领取准考证。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1、考生现场确认《枣庄科技职业学院2019年单独招生报名信息表》，签订《2019年报考单独招生考试承诺书》（不需个人打印）。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2、考生需持身份证或户口簿原件参加考试。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第二十二条 考试办法及安排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按《山东省高等职业院校扩招实施方案的通知》要求组织专家进行命题，A类计划考生实施“文化素质+职业技能”的考试方式，B、C类计划考生免予文化素质考试，由学院组织与报考专业相关的面试。考生凭学院签发的2019年单独招生准考证参加学院单招考试，考试办法及安排如下：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A类计划考生：</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lastRenderedPageBreak/>
              <w:t xml:space="preserve">1、文化素质考试：考试类型为笔试，考试科目为语文、数学、外语（考试内容范围为高中教材基础知识，共计320分），按学院招生信息网公示的时间、地点参加考试。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2、专业技能考试：考试类型为面试，面试主要考察考生的心理素质、身体条件、职业能力倾向、技术技能基础等。成绩以满分430分为上限。考生在领取准考证后，在工作人员的指引下，根据报考专业按时到指定地点参加面试。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B、C类计划考生：</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专业技能考试：考试类型为面试，面试主要考察考生的心理素质、身体条件、职业能力倾向、技术技能基础等。成绩以满分750分为上限。考生在领取准考证后，在工作人员的指引下，根据报考专业按时到指定地点参加面试。</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第二十三条 考试成绩确定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A类考生(高中阶段应届毕业生)考试内容为文化素质和专业技能，其中，文化素质320分，专业技能430分，总分750分。B类考生(退役军人)、C类考生（下岗失业人员、农民工、农民、在岗职工等）考生考试内容为面试，总分750分。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第二十四条 录取原则：按公平、公正的原则，择优录取。按照“志愿优先，从高分到低分录取”的原则录取，先录取第一志愿报考本校的考生，第一志愿投档考生不足时 ，再录取第二志愿考生，以此类推。录取线内按报考我院的第一专业志愿确定录取专业。</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A类计划考生面试成绩258分以下不予录取。 B、C类计划考生面试成绩450分以下不予录取。</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第二十五条 确定预录名单：录取组根据考生的录取成绩及考生身体状况提出预录名单，报学院单独招生工作领导小组审核、批准。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第二十六条 公示预录名单：由学院将预录考生名单在学院招生信息网公示。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第二十七条 学院将预录考生名单报山东省教育招生考试院并办理录取手续后，公布正式录取名单，发放高考录取通知书。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第二十八条 依据《教育部办公厅关于2011年部分高等职业院校开展单独招生改革试点工作的通知》和《山东省教育厅关于2019年高职院校单独招生有关工作的通知》之规定，已被学院单独招生录取的考生，与普通高校统一招生考试录取新生享受同等待遇。 </w:t>
            </w:r>
          </w:p>
          <w:p w:rsidR="00F306E6" w:rsidRPr="00A96623" w:rsidRDefault="00711EE7">
            <w:pPr>
              <w:pStyle w:val="Char1"/>
              <w:rPr>
                <w:rFonts w:cs="Times New Roman"/>
              </w:rPr>
            </w:pPr>
            <w:r w:rsidRPr="00A96623">
              <w:rPr>
                <w:rFonts w:cs="Times New Roman" w:hint="eastAsia"/>
              </w:rPr>
              <w:t xml:space="preserve">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lastRenderedPageBreak/>
              <w:t>第六章  收费退费及资助政策</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第二十九条  我院根据</w:t>
            </w:r>
            <w:bookmarkStart w:id="0" w:name="_GoBack"/>
            <w:bookmarkEnd w:id="0"/>
            <w:r w:rsidRPr="00A86598">
              <w:rPr>
                <w:rFonts w:ascii="仿宋" w:eastAsia="仿宋" w:hAnsi="仿宋" w:cs="仿宋" w:hint="eastAsia"/>
                <w:color w:val="000000"/>
              </w:rPr>
              <w:t xml:space="preserve">山东省物价局、山东省财政厅下发的有关文件规定收取学费，详见专业列表。退役士兵就读高职院校实行免费教育，在校学习期间免除学费、住宿费，并按每人每月400元标准给予生活费补助（每年补助10个月，寒暑假除外），补助期限为3年。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第三十条  学院成立了大学生资助中心，积极贯彻落实职业教育的奖助学金政策，为莘莘学子求学深造提供资助。成绩优异者，可分别申请国家奖学金（每人8000元/年）、国家励志奖学金（每人5000元/年）、省政府励志奖学金（每人5000元/年），省政府奖学金（每人6000元/年），同时设有学院奖学金（一等奖600元/年、二等奖400元/年、三等奖200元/年）。学院对家庭</w:t>
            </w:r>
            <w:r w:rsidRPr="00A86598">
              <w:rPr>
                <w:rFonts w:ascii="仿宋" w:eastAsia="仿宋" w:hAnsi="仿宋" w:cs="仿宋" w:hint="eastAsia"/>
                <w:color w:val="000000"/>
              </w:rPr>
              <w:lastRenderedPageBreak/>
              <w:t xml:space="preserve">经济困难学生实行奖、助、勤、补、贷、减、“绿色通道”等全方位的资助政策，学院提供勤工俭学岗位，家庭经济困难但能刻苦学习的同学可申请国家助学金（分别为每人4000元/年、每人3000元/年、每人2000元/年）和生源地信用助学贷款。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lastRenderedPageBreak/>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第七章  资格复查及证书颁发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第三十一条  入学后，学院在三个月内按照规定进行政治、文化、健康等方面的入学资格复查。对复查中发现的在报名和考试过程中弄虚作假或有其他违纪违规行为的考生，将报山东省教育招生考试院，取消其入学资格，并将其档案退回其户籍所在地。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 xml:space="preserve">第三十二条  证书颁发：按国家招生管理规定录取并取得学校正式学籍的学生，在校期间完成教学计划规定的理论和实践学习环节，符合毕业条件者，颁发普通高等学校毕业证书。颁发证书学校名称：枣庄科技职业学院，证书种类：普通高等教育专科学历证书。 </w:t>
            </w:r>
          </w:p>
        </w:tc>
      </w:tr>
      <w:tr w:rsidR="00A96623" w:rsidRPr="00A96623">
        <w:trPr>
          <w:tblCellSpacing w:w="15" w:type="dxa"/>
          <w:jc w:val="center"/>
        </w:trPr>
        <w:tc>
          <w:tcPr>
            <w:tcW w:w="9676" w:type="dxa"/>
            <w:tcMar>
              <w:top w:w="15" w:type="dxa"/>
              <w:left w:w="15" w:type="dxa"/>
              <w:bottom w:w="15" w:type="dxa"/>
              <w:right w:w="15" w:type="dxa"/>
            </w:tcMar>
            <w:hideMark/>
          </w:tcPr>
          <w:p w:rsidR="00F306E6" w:rsidRPr="00A96623" w:rsidRDefault="00711EE7">
            <w:r w:rsidRPr="00A96623">
              <w:rPr>
                <w:rFonts w:hint="eastAsia"/>
              </w:rPr>
              <w:t xml:space="preserve">  </w:t>
            </w:r>
          </w:p>
          <w:p w:rsidR="00F306E6" w:rsidRPr="00A86598" w:rsidRDefault="00711EE7" w:rsidP="00A86598">
            <w:pPr>
              <w:pStyle w:val="a5"/>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A86598">
              <w:rPr>
                <w:rFonts w:ascii="仿宋" w:eastAsia="仿宋" w:hAnsi="仿宋" w:cs="仿宋" w:hint="eastAsia"/>
                <w:b/>
                <w:bCs/>
                <w:color w:val="000000"/>
                <w:sz w:val="28"/>
                <w:szCs w:val="28"/>
              </w:rPr>
              <w:t xml:space="preserve">第八章  附则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第三十三条  学院不委托任何机构和个人办理招生相关事宜。对以枣庄科技职业学院名义进行非法招生宣传等活动的机构或个人，学院保留依法追究其责任的权利。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第三十四条  本章程若有与上级有关政策不一致之处，以国家和上级有关政策为准。未尽事宜，按上级有关规定执行。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第三十五条  本章程由学院招生就业处负责解释。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咨询及联系方式：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学院地址：山东省滕州市学院东路888号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邮政编码：277599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招生热线：0632－5650569 5391919 5650669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传    真：0632－5391918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监督电话（学院纪委）：0632- 5650850 </w:t>
            </w:r>
          </w:p>
          <w:p w:rsidR="00F306E6" w:rsidRPr="00A86598" w:rsidRDefault="00711EE7" w:rsidP="00A86598">
            <w:pPr>
              <w:pStyle w:val="a5"/>
              <w:spacing w:before="0" w:beforeAutospacing="0" w:after="0" w:afterAutospacing="0" w:line="30" w:lineRule="atLeast"/>
              <w:ind w:firstLineChars="200" w:firstLine="480"/>
              <w:jc w:val="both"/>
              <w:rPr>
                <w:rFonts w:ascii="仿宋" w:eastAsia="仿宋" w:hAnsi="仿宋" w:cs="仿宋"/>
                <w:color w:val="000000"/>
              </w:rPr>
            </w:pPr>
            <w:r w:rsidRPr="00A86598">
              <w:rPr>
                <w:rFonts w:ascii="仿宋" w:eastAsia="仿宋" w:hAnsi="仿宋" w:cs="仿宋" w:hint="eastAsia"/>
                <w:color w:val="000000"/>
              </w:rPr>
              <w:t xml:space="preserve">邮    箱：zzkjzs@126.com </w:t>
            </w:r>
          </w:p>
          <w:p w:rsidR="00F306E6" w:rsidRPr="00A96623" w:rsidRDefault="00711EE7" w:rsidP="00A86598">
            <w:pPr>
              <w:pStyle w:val="a5"/>
              <w:spacing w:before="0" w:beforeAutospacing="0" w:after="0" w:afterAutospacing="0" w:line="30" w:lineRule="atLeast"/>
              <w:ind w:firstLineChars="200" w:firstLine="480"/>
              <w:jc w:val="both"/>
            </w:pPr>
            <w:r w:rsidRPr="00A86598">
              <w:rPr>
                <w:rFonts w:ascii="仿宋" w:eastAsia="仿宋" w:hAnsi="仿宋" w:cs="仿宋" w:hint="eastAsia"/>
                <w:color w:val="000000"/>
              </w:rPr>
              <w:t>网    址：</w:t>
            </w:r>
            <w:hyperlink r:id="rId9" w:history="1">
              <w:r w:rsidRPr="00A86598">
                <w:rPr>
                  <w:rFonts w:ascii="仿宋" w:eastAsia="仿宋" w:hAnsi="仿宋" w:cs="仿宋" w:hint="eastAsia"/>
                  <w:color w:val="000000"/>
                </w:rPr>
                <w:t>http://www.zzkjxy.com</w:t>
              </w:r>
            </w:hyperlink>
            <w:r w:rsidRPr="00A86598">
              <w:rPr>
                <w:rFonts w:ascii="仿宋" w:eastAsia="仿宋" w:hAnsi="仿宋" w:cs="仿宋" w:hint="eastAsia"/>
                <w:color w:val="000000"/>
              </w:rPr>
              <w:t> </w:t>
            </w:r>
          </w:p>
        </w:tc>
      </w:tr>
    </w:tbl>
    <w:p w:rsidR="00711EE7" w:rsidRPr="00A96623" w:rsidRDefault="00711EE7">
      <w:r w:rsidRPr="00A96623">
        <w:rPr>
          <w:rFonts w:hint="eastAsia"/>
        </w:rPr>
        <w:t xml:space="preserve"> </w:t>
      </w:r>
    </w:p>
    <w:sectPr w:rsidR="00711EE7" w:rsidRPr="00A96623" w:rsidSect="00A86598">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55" w:rsidRDefault="00484C55" w:rsidP="00503AAB">
      <w:r>
        <w:separator/>
      </w:r>
    </w:p>
  </w:endnote>
  <w:endnote w:type="continuationSeparator" w:id="0">
    <w:p w:rsidR="00484C55" w:rsidRDefault="00484C55" w:rsidP="0050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55" w:rsidRDefault="00484C55" w:rsidP="00503AAB">
      <w:r>
        <w:separator/>
      </w:r>
    </w:p>
  </w:footnote>
  <w:footnote w:type="continuationSeparator" w:id="0">
    <w:p w:rsidR="00484C55" w:rsidRDefault="00484C55" w:rsidP="00503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AD1"/>
    <w:multiLevelType w:val="hybridMultilevel"/>
    <w:tmpl w:val="0DEC5610"/>
    <w:lvl w:ilvl="0" w:tplc="060C5194">
      <w:start w:val="1"/>
      <w:numFmt w:val="decimal"/>
      <w:lvlText w:val="%1、"/>
      <w:lvlJc w:val="left"/>
      <w:pPr>
        <w:ind w:left="920" w:hanging="36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AB"/>
    <w:rsid w:val="00484C55"/>
    <w:rsid w:val="00503AAB"/>
    <w:rsid w:val="00711EE7"/>
    <w:rsid w:val="00A86598"/>
    <w:rsid w:val="00A96623"/>
    <w:rsid w:val="00DE31A1"/>
    <w:rsid w:val="00F306E6"/>
    <w:rsid w:val="00F6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0" w:defQFormat="0" w:count="267">
    <w:lsdException w:name="Normal" w:semiHidden="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qFormat="1"/>
    <w:lsdException w:name="Closing" w:uiPriority="0"/>
    <w:lsdException w:name="Signature" w:uiPriority="0"/>
    <w:lsdException w:name="Default Paragraph Font"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qFormat="1"/>
    <w:lsdException w:name="Salutation" w:semiHidden="0" w:uiPriority="0"/>
    <w:lsdException w:name="Date" w:semiHidden="0" w:uiPriority="0"/>
    <w:lsdException w:name="Body Text First Indent" w:semiHidden="0"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qFormat="1"/>
    <w:lsdException w:name="Emphasis" w:semiHidden="0" w:uiPriority="0" w:qFormat="1"/>
    <w:lsdException w:name="Document Map" w:uiPriority="0"/>
    <w:lsdException w:name="Plain Text" w:uiPriority="0"/>
    <w:lsdException w:name="E-mail Signature" w:uiPriority="0"/>
    <w:lsdException w:name="HTML Top of Form" w:unhideWhenUsed="1"/>
    <w:lsdException w:name="HTML Bottom of Form"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unhideWhenUsed="1"/>
    <w:lsdException w:name="HTML Sample" w:uiPriority="0"/>
    <w:lsdException w:name="HTML Typewriter" w:uiPriority="0"/>
    <w:lsdException w:name="HTML Variable" w:uiPriority="0"/>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1"/>
    <w:qFormat/>
    <w:pPr>
      <w:spacing w:before="100" w:beforeAutospacing="1" w:after="100" w:afterAutospacing="1"/>
      <w:outlineLvl w:val="0"/>
    </w:pPr>
    <w:rPr>
      <w:b/>
      <w:bCs/>
      <w:kern w:val="44"/>
      <w:sz w:val="48"/>
      <w:szCs w:val="48"/>
    </w:rPr>
  </w:style>
  <w:style w:type="paragraph" w:styleId="2">
    <w:name w:val="heading 2"/>
    <w:basedOn w:val="a"/>
    <w:next w:val="a"/>
    <w:link w:val="2Char1"/>
    <w:qFormat/>
    <w:pPr>
      <w:spacing w:before="100" w:beforeAutospacing="1" w:after="100" w:afterAutospacing="1"/>
      <w:outlineLvl w:val="1"/>
    </w:pPr>
    <w:rPr>
      <w:b/>
      <w:bCs/>
      <w:sz w:val="36"/>
      <w:szCs w:val="36"/>
    </w:rPr>
  </w:style>
  <w:style w:type="paragraph" w:styleId="3">
    <w:name w:val="heading 3"/>
    <w:basedOn w:val="a"/>
    <w:next w:val="a"/>
    <w:link w:val="3Char1"/>
    <w:qFormat/>
    <w:pPr>
      <w:spacing w:before="100" w:beforeAutospacing="1" w:after="100" w:afterAutospacing="1"/>
      <w:outlineLvl w:val="2"/>
    </w:pPr>
    <w:rPr>
      <w:b/>
      <w:bCs/>
      <w:sz w:val="27"/>
      <w:szCs w:val="27"/>
    </w:rPr>
  </w:style>
  <w:style w:type="paragraph" w:styleId="4">
    <w:name w:val="heading 4"/>
    <w:basedOn w:val="a"/>
    <w:next w:val="a"/>
    <w:link w:val="4Char1"/>
    <w:qFormat/>
    <w:pPr>
      <w:spacing w:before="100" w:beforeAutospacing="1" w:after="100" w:afterAutospacing="1"/>
      <w:outlineLvl w:val="3"/>
    </w:pPr>
    <w:rPr>
      <w:b/>
      <w:bCs/>
    </w:rPr>
  </w:style>
  <w:style w:type="paragraph" w:styleId="5">
    <w:name w:val="heading 5"/>
    <w:basedOn w:val="a"/>
    <w:next w:val="a"/>
    <w:link w:val="5Char1"/>
    <w:qFormat/>
    <w:pPr>
      <w:spacing w:before="100" w:beforeAutospacing="1" w:after="100" w:afterAutospacing="1"/>
      <w:outlineLvl w:val="4"/>
    </w:pPr>
    <w:rPr>
      <w:b/>
      <w:bCs/>
      <w:sz w:val="20"/>
      <w:szCs w:val="20"/>
    </w:rPr>
  </w:style>
  <w:style w:type="paragraph" w:styleId="6">
    <w:name w:val="heading 6"/>
    <w:basedOn w:val="a"/>
    <w:next w:val="a"/>
    <w:link w:val="6Char1"/>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character" w:customStyle="1" w:styleId="1Char1">
    <w:name w:val="标题 1 Char1"/>
    <w:basedOn w:val="a0"/>
    <w:link w:val="1"/>
    <w:locked/>
    <w:rPr>
      <w:rFonts w:ascii="宋体" w:eastAsia="宋体" w:hAnsi="宋体" w:cs="宋体" w:hint="eastAsia"/>
      <w:b/>
      <w:bCs/>
      <w:kern w:val="44"/>
      <w:sz w:val="44"/>
      <w:szCs w:val="44"/>
    </w:rPr>
  </w:style>
  <w:style w:type="character" w:customStyle="1" w:styleId="2Char1">
    <w:name w:val="标题 2 Char1"/>
    <w:basedOn w:val="a0"/>
    <w:link w:val="2"/>
    <w:locked/>
    <w:rPr>
      <w:rFonts w:asciiTheme="majorHAnsi" w:eastAsiaTheme="majorEastAsia" w:hAnsiTheme="majorHAnsi" w:cstheme="majorBidi" w:hint="eastAsia"/>
      <w:b/>
      <w:bCs/>
      <w:sz w:val="32"/>
      <w:szCs w:val="32"/>
    </w:rPr>
  </w:style>
  <w:style w:type="character" w:customStyle="1" w:styleId="3Char1">
    <w:name w:val="标题 3 Char1"/>
    <w:basedOn w:val="a0"/>
    <w:link w:val="3"/>
    <w:locked/>
    <w:rPr>
      <w:rFonts w:ascii="宋体" w:eastAsia="宋体" w:hAnsi="宋体" w:cs="宋体" w:hint="eastAsia"/>
      <w:b/>
      <w:bCs/>
      <w:sz w:val="32"/>
      <w:szCs w:val="32"/>
    </w:rPr>
  </w:style>
  <w:style w:type="character" w:customStyle="1" w:styleId="4Char1">
    <w:name w:val="标题 4 Char1"/>
    <w:basedOn w:val="a0"/>
    <w:link w:val="4"/>
    <w:locked/>
    <w:rPr>
      <w:rFonts w:asciiTheme="majorHAnsi" w:eastAsiaTheme="majorEastAsia" w:hAnsiTheme="majorHAnsi" w:cstheme="majorBidi" w:hint="eastAsia"/>
      <w:b/>
      <w:bCs/>
      <w:sz w:val="28"/>
      <w:szCs w:val="28"/>
    </w:rPr>
  </w:style>
  <w:style w:type="character" w:customStyle="1" w:styleId="5Char1">
    <w:name w:val="标题 5 Char1"/>
    <w:basedOn w:val="a0"/>
    <w:link w:val="5"/>
    <w:locked/>
    <w:rPr>
      <w:rFonts w:ascii="宋体" w:eastAsia="宋体" w:hAnsi="宋体" w:cs="宋体" w:hint="eastAsia"/>
      <w:b/>
      <w:bCs/>
      <w:sz w:val="28"/>
      <w:szCs w:val="28"/>
    </w:rPr>
  </w:style>
  <w:style w:type="character" w:customStyle="1" w:styleId="6Char1">
    <w:name w:val="标题 6 Char1"/>
    <w:basedOn w:val="a0"/>
    <w:link w:val="6"/>
    <w:locked/>
    <w:rPr>
      <w:rFonts w:asciiTheme="majorHAnsi" w:eastAsiaTheme="majorEastAsia" w:hAnsiTheme="majorHAnsi" w:cstheme="majorBidi" w:hint="eastAsia"/>
      <w:b/>
      <w:bCs/>
      <w:sz w:val="24"/>
      <w:szCs w:val="24"/>
    </w:rPr>
  </w:style>
  <w:style w:type="paragraph" w:styleId="HTML">
    <w:name w:val="HTML Preformatted"/>
    <w:basedOn w:val="a"/>
    <w:link w:val="HTMLChar2"/>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2">
    <w:name w:val="HTML 预设格式 Char2"/>
    <w:basedOn w:val="a0"/>
    <w:link w:val="HTML"/>
    <w:semiHidden/>
    <w:locked/>
    <w:rPr>
      <w:rFonts w:ascii="Courier New" w:eastAsia="宋体" w:hAnsi="Courier New" w:cs="Courier New" w:hint="default"/>
    </w:rPr>
  </w:style>
  <w:style w:type="paragraph" w:customStyle="1" w:styleId="msonormal0">
    <w:name w:val="msonormal"/>
    <w:basedOn w:val="a"/>
    <w:semiHidden/>
    <w:pPr>
      <w:spacing w:before="100" w:beforeAutospacing="1" w:after="100" w:afterAutospacing="1"/>
    </w:pPr>
  </w:style>
  <w:style w:type="paragraph" w:styleId="a5">
    <w:name w:val="Normal (Web)"/>
    <w:basedOn w:val="a"/>
    <w:qFormat/>
    <w:pPr>
      <w:spacing w:before="100" w:beforeAutospacing="1" w:after="100" w:afterAutospacing="1"/>
    </w:pPr>
  </w:style>
  <w:style w:type="paragraph" w:styleId="a6">
    <w:name w:val="header"/>
    <w:basedOn w:val="a"/>
    <w:link w:val="Char"/>
    <w:semiHidden/>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locked/>
    <w:rPr>
      <w:rFonts w:ascii="宋体" w:eastAsia="宋体" w:hAnsi="宋体" w:cs="宋体" w:hint="eastAsia"/>
      <w:sz w:val="18"/>
      <w:szCs w:val="18"/>
    </w:rPr>
  </w:style>
  <w:style w:type="paragraph" w:styleId="a7">
    <w:name w:val="footer"/>
    <w:basedOn w:val="a"/>
    <w:link w:val="Char0"/>
    <w:semiHidden/>
    <w:pPr>
      <w:tabs>
        <w:tab w:val="center" w:pos="4153"/>
        <w:tab w:val="right" w:pos="8306"/>
      </w:tabs>
      <w:snapToGrid w:val="0"/>
    </w:pPr>
    <w:rPr>
      <w:sz w:val="18"/>
      <w:szCs w:val="18"/>
    </w:rPr>
  </w:style>
  <w:style w:type="character" w:customStyle="1" w:styleId="Char0">
    <w:name w:val="页脚 Char"/>
    <w:basedOn w:val="a0"/>
    <w:link w:val="a7"/>
    <w:semiHidden/>
    <w:locked/>
    <w:rPr>
      <w:rFonts w:ascii="宋体" w:eastAsia="宋体" w:hAnsi="宋体" w:cs="宋体" w:hint="eastAsia"/>
      <w:sz w:val="18"/>
      <w:szCs w:val="18"/>
    </w:rPr>
  </w:style>
  <w:style w:type="paragraph" w:styleId="a8">
    <w:name w:val="List Paragraph"/>
    <w:basedOn w:val="a"/>
    <w:uiPriority w:val="99"/>
    <w:semiHidden/>
    <w:qFormat/>
    <w:pPr>
      <w:ind w:firstLineChars="200" w:firstLine="420"/>
    </w:pPr>
  </w:style>
  <w:style w:type="paragraph" w:customStyle="1" w:styleId="HTMLChar1">
    <w:name w:val="HTML 预设格式 Char1"/>
    <w:basedOn w:val="a"/>
    <w:semiHidden/>
  </w:style>
  <w:style w:type="paragraph" w:customStyle="1" w:styleId="Char1">
    <w:name w:val="普通(网站) Char"/>
    <w:basedOn w:val="a"/>
    <w:semiHidden/>
    <w:pPr>
      <w:spacing w:before="100" w:beforeAutospacing="1" w:after="100" w:afterAutospacing="1"/>
    </w:pPr>
  </w:style>
  <w:style w:type="character" w:customStyle="1" w:styleId="1Char">
    <w:name w:val="标题 1 Char"/>
    <w:basedOn w:val="a0"/>
    <w:rPr>
      <w:rFonts w:ascii="宋体" w:eastAsia="宋体" w:hAnsi="宋体" w:cs="宋体" w:hint="eastAsia"/>
      <w:b/>
      <w:bCs/>
      <w:kern w:val="44"/>
      <w:sz w:val="44"/>
      <w:szCs w:val="44"/>
    </w:rPr>
  </w:style>
  <w:style w:type="character" w:customStyle="1" w:styleId="2Char">
    <w:name w:val="标题 2 Char"/>
    <w:basedOn w:val="a0"/>
    <w:rPr>
      <w:rFonts w:asciiTheme="majorHAnsi" w:eastAsiaTheme="majorEastAsia" w:hAnsiTheme="majorHAnsi" w:cstheme="majorBidi" w:hint="eastAsia"/>
      <w:b/>
      <w:bCs/>
      <w:sz w:val="32"/>
      <w:szCs w:val="32"/>
    </w:rPr>
  </w:style>
  <w:style w:type="character" w:customStyle="1" w:styleId="3Char">
    <w:name w:val="标题 3 Char"/>
    <w:basedOn w:val="a0"/>
    <w:rPr>
      <w:rFonts w:ascii="宋体" w:eastAsia="宋体" w:hAnsi="宋体" w:cs="宋体" w:hint="eastAsia"/>
      <w:b/>
      <w:bCs/>
      <w:sz w:val="32"/>
      <w:szCs w:val="32"/>
    </w:rPr>
  </w:style>
  <w:style w:type="character" w:customStyle="1" w:styleId="4Char">
    <w:name w:val="标题 4 Char"/>
    <w:basedOn w:val="a0"/>
    <w:rPr>
      <w:rFonts w:asciiTheme="majorHAnsi" w:eastAsiaTheme="majorEastAsia" w:hAnsiTheme="majorHAnsi" w:cstheme="majorBidi" w:hint="eastAsia"/>
      <w:b/>
      <w:bCs/>
      <w:sz w:val="28"/>
      <w:szCs w:val="28"/>
    </w:rPr>
  </w:style>
  <w:style w:type="character" w:customStyle="1" w:styleId="5Char">
    <w:name w:val="标题 5 Char"/>
    <w:basedOn w:val="a0"/>
    <w:rPr>
      <w:rFonts w:ascii="宋体" w:eastAsia="宋体" w:hAnsi="宋体" w:cs="宋体" w:hint="eastAsia"/>
      <w:b/>
      <w:bCs/>
      <w:sz w:val="28"/>
      <w:szCs w:val="28"/>
    </w:rPr>
  </w:style>
  <w:style w:type="character" w:customStyle="1" w:styleId="6Char">
    <w:name w:val="标题 6 Char"/>
    <w:basedOn w:val="a0"/>
    <w:rPr>
      <w:rFonts w:asciiTheme="majorHAnsi" w:eastAsiaTheme="majorEastAsia" w:hAnsiTheme="majorHAnsi" w:cstheme="majorBidi" w:hint="eastAsia"/>
      <w:b/>
      <w:bCs/>
      <w:sz w:val="24"/>
      <w:szCs w:val="24"/>
    </w:rPr>
  </w:style>
  <w:style w:type="character" w:customStyle="1" w:styleId="HTMLChar">
    <w:name w:val="HTML 预设格式 Char"/>
    <w:basedOn w:val="a0"/>
    <w:rPr>
      <w:rFonts w:ascii="Courier New" w:eastAsia="宋体" w:hAnsi="Courier New" w:cs="Courier New" w:hint="default"/>
    </w:r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0000FF"/>
      <w:u w:val="single"/>
    </w:rPr>
  </w:style>
  <w:style w:type="character" w:customStyle="1" w:styleId="16">
    <w:name w:val="16"/>
    <w:basedOn w:val="a0"/>
    <w:rPr>
      <w:rFonts w:ascii="Times New Roman" w:hAnsi="Times New Roman" w:cs="Times New Roman" w:hint="default"/>
    </w:rPr>
  </w:style>
  <w:style w:type="character" w:customStyle="1" w:styleId="17">
    <w:name w:val="17"/>
    <w:basedOn w:val="a0"/>
    <w:rPr>
      <w:rFonts w:ascii="Times New Roman" w:hAnsi="Times New Roman" w:cs="Times New Roman" w:hint="default"/>
      <w:color w:val="0000FF"/>
      <w:u w:val="single"/>
    </w:rPr>
  </w:style>
  <w:style w:type="character" w:styleId="a9">
    <w:name w:val="Strong"/>
    <w:basedOn w:val="a0"/>
    <w:qFormat/>
    <w:rsid w:val="00A8659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0" w:defQFormat="0" w:count="267">
    <w:lsdException w:name="Normal" w:semiHidden="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qFormat="1"/>
    <w:lsdException w:name="Closing" w:uiPriority="0"/>
    <w:lsdException w:name="Signature" w:uiPriority="0"/>
    <w:lsdException w:name="Default Paragraph Font"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qFormat="1"/>
    <w:lsdException w:name="Salutation" w:semiHidden="0" w:uiPriority="0"/>
    <w:lsdException w:name="Date" w:semiHidden="0" w:uiPriority="0"/>
    <w:lsdException w:name="Body Text First Indent" w:semiHidden="0"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qFormat="1"/>
    <w:lsdException w:name="Emphasis" w:semiHidden="0" w:uiPriority="0" w:qFormat="1"/>
    <w:lsdException w:name="Document Map" w:uiPriority="0"/>
    <w:lsdException w:name="Plain Text" w:uiPriority="0"/>
    <w:lsdException w:name="E-mail Signature" w:uiPriority="0"/>
    <w:lsdException w:name="HTML Top of Form" w:unhideWhenUsed="1"/>
    <w:lsdException w:name="HTML Bottom of Form"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unhideWhenUsed="1"/>
    <w:lsdException w:name="HTML Sample" w:uiPriority="0"/>
    <w:lsdException w:name="HTML Typewriter" w:uiPriority="0"/>
    <w:lsdException w:name="HTML Variable" w:uiPriority="0"/>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1"/>
    <w:qFormat/>
    <w:pPr>
      <w:spacing w:before="100" w:beforeAutospacing="1" w:after="100" w:afterAutospacing="1"/>
      <w:outlineLvl w:val="0"/>
    </w:pPr>
    <w:rPr>
      <w:b/>
      <w:bCs/>
      <w:kern w:val="44"/>
      <w:sz w:val="48"/>
      <w:szCs w:val="48"/>
    </w:rPr>
  </w:style>
  <w:style w:type="paragraph" w:styleId="2">
    <w:name w:val="heading 2"/>
    <w:basedOn w:val="a"/>
    <w:next w:val="a"/>
    <w:link w:val="2Char1"/>
    <w:qFormat/>
    <w:pPr>
      <w:spacing w:before="100" w:beforeAutospacing="1" w:after="100" w:afterAutospacing="1"/>
      <w:outlineLvl w:val="1"/>
    </w:pPr>
    <w:rPr>
      <w:b/>
      <w:bCs/>
      <w:sz w:val="36"/>
      <w:szCs w:val="36"/>
    </w:rPr>
  </w:style>
  <w:style w:type="paragraph" w:styleId="3">
    <w:name w:val="heading 3"/>
    <w:basedOn w:val="a"/>
    <w:next w:val="a"/>
    <w:link w:val="3Char1"/>
    <w:qFormat/>
    <w:pPr>
      <w:spacing w:before="100" w:beforeAutospacing="1" w:after="100" w:afterAutospacing="1"/>
      <w:outlineLvl w:val="2"/>
    </w:pPr>
    <w:rPr>
      <w:b/>
      <w:bCs/>
      <w:sz w:val="27"/>
      <w:szCs w:val="27"/>
    </w:rPr>
  </w:style>
  <w:style w:type="paragraph" w:styleId="4">
    <w:name w:val="heading 4"/>
    <w:basedOn w:val="a"/>
    <w:next w:val="a"/>
    <w:link w:val="4Char1"/>
    <w:qFormat/>
    <w:pPr>
      <w:spacing w:before="100" w:beforeAutospacing="1" w:after="100" w:afterAutospacing="1"/>
      <w:outlineLvl w:val="3"/>
    </w:pPr>
    <w:rPr>
      <w:b/>
      <w:bCs/>
    </w:rPr>
  </w:style>
  <w:style w:type="paragraph" w:styleId="5">
    <w:name w:val="heading 5"/>
    <w:basedOn w:val="a"/>
    <w:next w:val="a"/>
    <w:link w:val="5Char1"/>
    <w:qFormat/>
    <w:pPr>
      <w:spacing w:before="100" w:beforeAutospacing="1" w:after="100" w:afterAutospacing="1"/>
      <w:outlineLvl w:val="4"/>
    </w:pPr>
    <w:rPr>
      <w:b/>
      <w:bCs/>
      <w:sz w:val="20"/>
      <w:szCs w:val="20"/>
    </w:rPr>
  </w:style>
  <w:style w:type="paragraph" w:styleId="6">
    <w:name w:val="heading 6"/>
    <w:basedOn w:val="a"/>
    <w:next w:val="a"/>
    <w:link w:val="6Char1"/>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character" w:customStyle="1" w:styleId="1Char1">
    <w:name w:val="标题 1 Char1"/>
    <w:basedOn w:val="a0"/>
    <w:link w:val="1"/>
    <w:locked/>
    <w:rPr>
      <w:rFonts w:ascii="宋体" w:eastAsia="宋体" w:hAnsi="宋体" w:cs="宋体" w:hint="eastAsia"/>
      <w:b/>
      <w:bCs/>
      <w:kern w:val="44"/>
      <w:sz w:val="44"/>
      <w:szCs w:val="44"/>
    </w:rPr>
  </w:style>
  <w:style w:type="character" w:customStyle="1" w:styleId="2Char1">
    <w:name w:val="标题 2 Char1"/>
    <w:basedOn w:val="a0"/>
    <w:link w:val="2"/>
    <w:locked/>
    <w:rPr>
      <w:rFonts w:asciiTheme="majorHAnsi" w:eastAsiaTheme="majorEastAsia" w:hAnsiTheme="majorHAnsi" w:cstheme="majorBidi" w:hint="eastAsia"/>
      <w:b/>
      <w:bCs/>
      <w:sz w:val="32"/>
      <w:szCs w:val="32"/>
    </w:rPr>
  </w:style>
  <w:style w:type="character" w:customStyle="1" w:styleId="3Char1">
    <w:name w:val="标题 3 Char1"/>
    <w:basedOn w:val="a0"/>
    <w:link w:val="3"/>
    <w:locked/>
    <w:rPr>
      <w:rFonts w:ascii="宋体" w:eastAsia="宋体" w:hAnsi="宋体" w:cs="宋体" w:hint="eastAsia"/>
      <w:b/>
      <w:bCs/>
      <w:sz w:val="32"/>
      <w:szCs w:val="32"/>
    </w:rPr>
  </w:style>
  <w:style w:type="character" w:customStyle="1" w:styleId="4Char1">
    <w:name w:val="标题 4 Char1"/>
    <w:basedOn w:val="a0"/>
    <w:link w:val="4"/>
    <w:locked/>
    <w:rPr>
      <w:rFonts w:asciiTheme="majorHAnsi" w:eastAsiaTheme="majorEastAsia" w:hAnsiTheme="majorHAnsi" w:cstheme="majorBidi" w:hint="eastAsia"/>
      <w:b/>
      <w:bCs/>
      <w:sz w:val="28"/>
      <w:szCs w:val="28"/>
    </w:rPr>
  </w:style>
  <w:style w:type="character" w:customStyle="1" w:styleId="5Char1">
    <w:name w:val="标题 5 Char1"/>
    <w:basedOn w:val="a0"/>
    <w:link w:val="5"/>
    <w:locked/>
    <w:rPr>
      <w:rFonts w:ascii="宋体" w:eastAsia="宋体" w:hAnsi="宋体" w:cs="宋体" w:hint="eastAsia"/>
      <w:b/>
      <w:bCs/>
      <w:sz w:val="28"/>
      <w:szCs w:val="28"/>
    </w:rPr>
  </w:style>
  <w:style w:type="character" w:customStyle="1" w:styleId="6Char1">
    <w:name w:val="标题 6 Char1"/>
    <w:basedOn w:val="a0"/>
    <w:link w:val="6"/>
    <w:locked/>
    <w:rPr>
      <w:rFonts w:asciiTheme="majorHAnsi" w:eastAsiaTheme="majorEastAsia" w:hAnsiTheme="majorHAnsi" w:cstheme="majorBidi" w:hint="eastAsia"/>
      <w:b/>
      <w:bCs/>
      <w:sz w:val="24"/>
      <w:szCs w:val="24"/>
    </w:rPr>
  </w:style>
  <w:style w:type="paragraph" w:styleId="HTML">
    <w:name w:val="HTML Preformatted"/>
    <w:basedOn w:val="a"/>
    <w:link w:val="HTMLChar2"/>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2">
    <w:name w:val="HTML 预设格式 Char2"/>
    <w:basedOn w:val="a0"/>
    <w:link w:val="HTML"/>
    <w:semiHidden/>
    <w:locked/>
    <w:rPr>
      <w:rFonts w:ascii="Courier New" w:eastAsia="宋体" w:hAnsi="Courier New" w:cs="Courier New" w:hint="default"/>
    </w:rPr>
  </w:style>
  <w:style w:type="paragraph" w:customStyle="1" w:styleId="msonormal0">
    <w:name w:val="msonormal"/>
    <w:basedOn w:val="a"/>
    <w:semiHidden/>
    <w:pPr>
      <w:spacing w:before="100" w:beforeAutospacing="1" w:after="100" w:afterAutospacing="1"/>
    </w:pPr>
  </w:style>
  <w:style w:type="paragraph" w:styleId="a5">
    <w:name w:val="Normal (Web)"/>
    <w:basedOn w:val="a"/>
    <w:qFormat/>
    <w:pPr>
      <w:spacing w:before="100" w:beforeAutospacing="1" w:after="100" w:afterAutospacing="1"/>
    </w:pPr>
  </w:style>
  <w:style w:type="paragraph" w:styleId="a6">
    <w:name w:val="header"/>
    <w:basedOn w:val="a"/>
    <w:link w:val="Char"/>
    <w:semiHidden/>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locked/>
    <w:rPr>
      <w:rFonts w:ascii="宋体" w:eastAsia="宋体" w:hAnsi="宋体" w:cs="宋体" w:hint="eastAsia"/>
      <w:sz w:val="18"/>
      <w:szCs w:val="18"/>
    </w:rPr>
  </w:style>
  <w:style w:type="paragraph" w:styleId="a7">
    <w:name w:val="footer"/>
    <w:basedOn w:val="a"/>
    <w:link w:val="Char0"/>
    <w:semiHidden/>
    <w:pPr>
      <w:tabs>
        <w:tab w:val="center" w:pos="4153"/>
        <w:tab w:val="right" w:pos="8306"/>
      </w:tabs>
      <w:snapToGrid w:val="0"/>
    </w:pPr>
    <w:rPr>
      <w:sz w:val="18"/>
      <w:szCs w:val="18"/>
    </w:rPr>
  </w:style>
  <w:style w:type="character" w:customStyle="1" w:styleId="Char0">
    <w:name w:val="页脚 Char"/>
    <w:basedOn w:val="a0"/>
    <w:link w:val="a7"/>
    <w:semiHidden/>
    <w:locked/>
    <w:rPr>
      <w:rFonts w:ascii="宋体" w:eastAsia="宋体" w:hAnsi="宋体" w:cs="宋体" w:hint="eastAsia"/>
      <w:sz w:val="18"/>
      <w:szCs w:val="18"/>
    </w:rPr>
  </w:style>
  <w:style w:type="paragraph" w:styleId="a8">
    <w:name w:val="List Paragraph"/>
    <w:basedOn w:val="a"/>
    <w:uiPriority w:val="99"/>
    <w:semiHidden/>
    <w:qFormat/>
    <w:pPr>
      <w:ind w:firstLineChars="200" w:firstLine="420"/>
    </w:pPr>
  </w:style>
  <w:style w:type="paragraph" w:customStyle="1" w:styleId="HTMLChar1">
    <w:name w:val="HTML 预设格式 Char1"/>
    <w:basedOn w:val="a"/>
    <w:semiHidden/>
  </w:style>
  <w:style w:type="paragraph" w:customStyle="1" w:styleId="Char1">
    <w:name w:val="普通(网站) Char"/>
    <w:basedOn w:val="a"/>
    <w:semiHidden/>
    <w:pPr>
      <w:spacing w:before="100" w:beforeAutospacing="1" w:after="100" w:afterAutospacing="1"/>
    </w:pPr>
  </w:style>
  <w:style w:type="character" w:customStyle="1" w:styleId="1Char">
    <w:name w:val="标题 1 Char"/>
    <w:basedOn w:val="a0"/>
    <w:rPr>
      <w:rFonts w:ascii="宋体" w:eastAsia="宋体" w:hAnsi="宋体" w:cs="宋体" w:hint="eastAsia"/>
      <w:b/>
      <w:bCs/>
      <w:kern w:val="44"/>
      <w:sz w:val="44"/>
      <w:szCs w:val="44"/>
    </w:rPr>
  </w:style>
  <w:style w:type="character" w:customStyle="1" w:styleId="2Char">
    <w:name w:val="标题 2 Char"/>
    <w:basedOn w:val="a0"/>
    <w:rPr>
      <w:rFonts w:asciiTheme="majorHAnsi" w:eastAsiaTheme="majorEastAsia" w:hAnsiTheme="majorHAnsi" w:cstheme="majorBidi" w:hint="eastAsia"/>
      <w:b/>
      <w:bCs/>
      <w:sz w:val="32"/>
      <w:szCs w:val="32"/>
    </w:rPr>
  </w:style>
  <w:style w:type="character" w:customStyle="1" w:styleId="3Char">
    <w:name w:val="标题 3 Char"/>
    <w:basedOn w:val="a0"/>
    <w:rPr>
      <w:rFonts w:ascii="宋体" w:eastAsia="宋体" w:hAnsi="宋体" w:cs="宋体" w:hint="eastAsia"/>
      <w:b/>
      <w:bCs/>
      <w:sz w:val="32"/>
      <w:szCs w:val="32"/>
    </w:rPr>
  </w:style>
  <w:style w:type="character" w:customStyle="1" w:styleId="4Char">
    <w:name w:val="标题 4 Char"/>
    <w:basedOn w:val="a0"/>
    <w:rPr>
      <w:rFonts w:asciiTheme="majorHAnsi" w:eastAsiaTheme="majorEastAsia" w:hAnsiTheme="majorHAnsi" w:cstheme="majorBidi" w:hint="eastAsia"/>
      <w:b/>
      <w:bCs/>
      <w:sz w:val="28"/>
      <w:szCs w:val="28"/>
    </w:rPr>
  </w:style>
  <w:style w:type="character" w:customStyle="1" w:styleId="5Char">
    <w:name w:val="标题 5 Char"/>
    <w:basedOn w:val="a0"/>
    <w:rPr>
      <w:rFonts w:ascii="宋体" w:eastAsia="宋体" w:hAnsi="宋体" w:cs="宋体" w:hint="eastAsia"/>
      <w:b/>
      <w:bCs/>
      <w:sz w:val="28"/>
      <w:szCs w:val="28"/>
    </w:rPr>
  </w:style>
  <w:style w:type="character" w:customStyle="1" w:styleId="6Char">
    <w:name w:val="标题 6 Char"/>
    <w:basedOn w:val="a0"/>
    <w:rPr>
      <w:rFonts w:asciiTheme="majorHAnsi" w:eastAsiaTheme="majorEastAsia" w:hAnsiTheme="majorHAnsi" w:cstheme="majorBidi" w:hint="eastAsia"/>
      <w:b/>
      <w:bCs/>
      <w:sz w:val="24"/>
      <w:szCs w:val="24"/>
    </w:rPr>
  </w:style>
  <w:style w:type="character" w:customStyle="1" w:styleId="HTMLChar">
    <w:name w:val="HTML 预设格式 Char"/>
    <w:basedOn w:val="a0"/>
    <w:rPr>
      <w:rFonts w:ascii="Courier New" w:eastAsia="宋体" w:hAnsi="Courier New" w:cs="Courier New" w:hint="default"/>
    </w:r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0000FF"/>
      <w:u w:val="single"/>
    </w:rPr>
  </w:style>
  <w:style w:type="character" w:customStyle="1" w:styleId="16">
    <w:name w:val="16"/>
    <w:basedOn w:val="a0"/>
    <w:rPr>
      <w:rFonts w:ascii="Times New Roman" w:hAnsi="Times New Roman" w:cs="Times New Roman" w:hint="default"/>
    </w:rPr>
  </w:style>
  <w:style w:type="character" w:customStyle="1" w:styleId="17">
    <w:name w:val="17"/>
    <w:basedOn w:val="a0"/>
    <w:rPr>
      <w:rFonts w:ascii="Times New Roman" w:hAnsi="Times New Roman" w:cs="Times New Roman" w:hint="default"/>
      <w:color w:val="0000FF"/>
      <w:u w:val="single"/>
    </w:rPr>
  </w:style>
  <w:style w:type="character" w:styleId="a9">
    <w:name w:val="Strong"/>
    <w:basedOn w:val="a0"/>
    <w:qFormat/>
    <w:rsid w:val="00A865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zkjx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973893-737A-4B36-A195-36864EDB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xb21cn</cp:lastModifiedBy>
  <cp:revision>6</cp:revision>
  <dcterms:created xsi:type="dcterms:W3CDTF">2019-07-19T08:42:00Z</dcterms:created>
  <dcterms:modified xsi:type="dcterms:W3CDTF">2019-07-27T02:44:00Z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