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C220C" w14:textId="5935A0EB" w:rsidR="005C27E0" w:rsidRPr="005C27E0" w:rsidRDefault="005C27E0" w:rsidP="005C27E0">
      <w:pPr>
        <w:jc w:val="center"/>
        <w:rPr>
          <w:rFonts w:ascii="方正小标宋简体" w:eastAsia="方正小标宋简体"/>
          <w:sz w:val="44"/>
          <w:szCs w:val="44"/>
        </w:rPr>
      </w:pPr>
      <w:r w:rsidRPr="005C27E0">
        <w:rPr>
          <w:rFonts w:ascii="方正小标宋简体" w:eastAsia="方正小标宋简体" w:hint="eastAsia"/>
          <w:sz w:val="44"/>
          <w:szCs w:val="44"/>
        </w:rPr>
        <w:t>送教上门、随班就读优秀案例申报表</w:t>
      </w:r>
    </w:p>
    <w:p w14:paraId="796B4AFB" w14:textId="77777777" w:rsidR="005C27E0" w:rsidRPr="005C27E0" w:rsidRDefault="005C27E0" w:rsidP="005C27E0">
      <w:pPr>
        <w:spacing w:line="240" w:lineRule="exact"/>
        <w:jc w:val="center"/>
        <w:rPr>
          <w:rFonts w:ascii="方正小标宋简体" w:eastAsia="方正小标宋简体"/>
          <w:sz w:val="28"/>
          <w:szCs w:val="28"/>
        </w:rPr>
      </w:pPr>
    </w:p>
    <w:tbl>
      <w:tblPr>
        <w:tblStyle w:val="a3"/>
        <w:tblW w:w="0" w:type="auto"/>
        <w:tblLook w:val="04A0" w:firstRow="1" w:lastRow="0" w:firstColumn="1" w:lastColumn="0" w:noHBand="0" w:noVBand="1"/>
      </w:tblPr>
      <w:tblGrid>
        <w:gridCol w:w="1838"/>
        <w:gridCol w:w="992"/>
        <w:gridCol w:w="709"/>
        <w:gridCol w:w="1559"/>
        <w:gridCol w:w="4410"/>
        <w:gridCol w:w="120"/>
      </w:tblGrid>
      <w:tr w:rsidR="005C27E0" w14:paraId="5558B60D" w14:textId="77777777" w:rsidTr="009842A5">
        <w:tc>
          <w:tcPr>
            <w:tcW w:w="1838" w:type="dxa"/>
          </w:tcPr>
          <w:p w14:paraId="227B25F4" w14:textId="193DAC64" w:rsidR="005C27E0" w:rsidRPr="005C27E0" w:rsidRDefault="005C27E0" w:rsidP="005C27E0">
            <w:pPr>
              <w:jc w:val="center"/>
              <w:rPr>
                <w:rFonts w:ascii="楷体" w:eastAsia="楷体" w:hAnsi="楷体"/>
                <w:sz w:val="30"/>
                <w:szCs w:val="30"/>
              </w:rPr>
            </w:pPr>
            <w:r w:rsidRPr="005C27E0">
              <w:rPr>
                <w:rFonts w:ascii="楷体" w:eastAsia="楷体" w:hAnsi="楷体" w:hint="eastAsia"/>
                <w:sz w:val="30"/>
                <w:szCs w:val="30"/>
              </w:rPr>
              <w:t>姓名</w:t>
            </w:r>
          </w:p>
        </w:tc>
        <w:tc>
          <w:tcPr>
            <w:tcW w:w="1701" w:type="dxa"/>
            <w:gridSpan w:val="2"/>
          </w:tcPr>
          <w:p w14:paraId="696BC72C" w14:textId="689D842D" w:rsidR="005C27E0" w:rsidRPr="005C27E0" w:rsidRDefault="009842A5" w:rsidP="005C27E0">
            <w:pPr>
              <w:jc w:val="center"/>
              <w:rPr>
                <w:rFonts w:ascii="楷体" w:eastAsia="楷体" w:hAnsi="楷体"/>
                <w:sz w:val="30"/>
                <w:szCs w:val="30"/>
              </w:rPr>
            </w:pPr>
            <w:r>
              <w:rPr>
                <w:rFonts w:ascii="楷体" w:eastAsia="楷体" w:hAnsi="楷体" w:hint="eastAsia"/>
                <w:sz w:val="30"/>
                <w:szCs w:val="30"/>
              </w:rPr>
              <w:t>吕仁祯</w:t>
            </w:r>
          </w:p>
        </w:tc>
        <w:tc>
          <w:tcPr>
            <w:tcW w:w="1559" w:type="dxa"/>
          </w:tcPr>
          <w:p w14:paraId="66C4D267" w14:textId="189F3FF2" w:rsidR="005C27E0" w:rsidRPr="005C27E0" w:rsidRDefault="005C27E0" w:rsidP="005C27E0">
            <w:pPr>
              <w:jc w:val="center"/>
              <w:rPr>
                <w:rFonts w:ascii="楷体" w:eastAsia="楷体" w:hAnsi="楷体"/>
                <w:sz w:val="30"/>
                <w:szCs w:val="30"/>
              </w:rPr>
            </w:pPr>
            <w:r w:rsidRPr="005C27E0">
              <w:rPr>
                <w:rFonts w:ascii="楷体" w:eastAsia="楷体" w:hAnsi="楷体" w:hint="eastAsia"/>
                <w:sz w:val="30"/>
                <w:szCs w:val="30"/>
              </w:rPr>
              <w:t>单位</w:t>
            </w:r>
          </w:p>
        </w:tc>
        <w:tc>
          <w:tcPr>
            <w:tcW w:w="4530" w:type="dxa"/>
            <w:gridSpan w:val="2"/>
          </w:tcPr>
          <w:p w14:paraId="27C89715" w14:textId="5F463BD3" w:rsidR="005C27E0" w:rsidRPr="005C27E0" w:rsidRDefault="005C27E0" w:rsidP="005C27E0">
            <w:pPr>
              <w:jc w:val="center"/>
              <w:rPr>
                <w:rFonts w:ascii="楷体" w:eastAsia="楷体" w:hAnsi="楷体"/>
                <w:sz w:val="30"/>
                <w:szCs w:val="30"/>
              </w:rPr>
            </w:pPr>
            <w:r w:rsidRPr="005C27E0">
              <w:rPr>
                <w:rFonts w:ascii="楷体" w:eastAsia="楷体" w:hAnsi="楷体" w:hint="eastAsia"/>
                <w:sz w:val="30"/>
                <w:szCs w:val="30"/>
              </w:rPr>
              <w:t>济南市历城区</w:t>
            </w:r>
            <w:r w:rsidR="009842A5">
              <w:rPr>
                <w:rFonts w:ascii="楷体" w:eastAsia="楷体" w:hAnsi="楷体" w:hint="eastAsia"/>
                <w:sz w:val="30"/>
                <w:szCs w:val="30"/>
              </w:rPr>
              <w:t>特殊教育指导中心</w:t>
            </w:r>
          </w:p>
        </w:tc>
      </w:tr>
      <w:tr w:rsidR="005C27E0" w14:paraId="24811150" w14:textId="77777777" w:rsidTr="009842A5">
        <w:tc>
          <w:tcPr>
            <w:tcW w:w="1838" w:type="dxa"/>
          </w:tcPr>
          <w:p w14:paraId="474CFE1E" w14:textId="36CEEC02" w:rsidR="005C27E0" w:rsidRPr="005C27E0" w:rsidRDefault="005C27E0" w:rsidP="005C27E0">
            <w:pPr>
              <w:jc w:val="center"/>
              <w:rPr>
                <w:rFonts w:ascii="楷体" w:eastAsia="楷体" w:hAnsi="楷体"/>
                <w:sz w:val="30"/>
                <w:szCs w:val="30"/>
              </w:rPr>
            </w:pPr>
            <w:r w:rsidRPr="005C27E0">
              <w:rPr>
                <w:rFonts w:ascii="楷体" w:eastAsia="楷体" w:hAnsi="楷体" w:hint="eastAsia"/>
                <w:sz w:val="30"/>
                <w:szCs w:val="30"/>
              </w:rPr>
              <w:t>案例名称</w:t>
            </w:r>
          </w:p>
        </w:tc>
        <w:tc>
          <w:tcPr>
            <w:tcW w:w="7790" w:type="dxa"/>
            <w:gridSpan w:val="5"/>
            <w:vAlign w:val="center"/>
          </w:tcPr>
          <w:p w14:paraId="436C157C" w14:textId="76F9B138" w:rsidR="005C27E0" w:rsidRPr="009842A5" w:rsidRDefault="006073E5" w:rsidP="009842A5">
            <w:pPr>
              <w:spacing w:line="300" w:lineRule="exact"/>
              <w:jc w:val="center"/>
              <w:rPr>
                <w:rFonts w:ascii="楷体" w:eastAsia="楷体" w:hAnsi="楷体"/>
                <w:sz w:val="28"/>
                <w:szCs w:val="28"/>
              </w:rPr>
            </w:pPr>
            <w:r w:rsidRPr="009842A5">
              <w:rPr>
                <w:rFonts w:ascii="楷体" w:eastAsia="楷体" w:hAnsi="楷体" w:hint="eastAsia"/>
                <w:sz w:val="28"/>
                <w:szCs w:val="28"/>
              </w:rPr>
              <w:t>历城区特殊教育管理系统实现</w:t>
            </w:r>
            <w:r w:rsidR="009842A5" w:rsidRPr="009842A5">
              <w:rPr>
                <w:rFonts w:ascii="楷体" w:eastAsia="楷体" w:hAnsi="楷体" w:hint="eastAsia"/>
                <w:sz w:val="28"/>
                <w:szCs w:val="28"/>
              </w:rPr>
              <w:t>特殊教育信息化、</w:t>
            </w:r>
            <w:r w:rsidRPr="009842A5">
              <w:rPr>
                <w:rFonts w:ascii="楷体" w:eastAsia="楷体" w:hAnsi="楷体" w:hint="eastAsia"/>
                <w:sz w:val="28"/>
                <w:szCs w:val="28"/>
              </w:rPr>
              <w:t>一站式管理</w:t>
            </w:r>
          </w:p>
        </w:tc>
      </w:tr>
      <w:tr w:rsidR="005C27E0" w14:paraId="3F635561" w14:textId="77777777" w:rsidTr="009842A5">
        <w:tc>
          <w:tcPr>
            <w:tcW w:w="1838" w:type="dxa"/>
          </w:tcPr>
          <w:p w14:paraId="0681E6AF" w14:textId="42AAD8AC" w:rsidR="005C27E0" w:rsidRPr="005C27E0" w:rsidRDefault="005C27E0" w:rsidP="005C27E0">
            <w:pPr>
              <w:jc w:val="center"/>
              <w:rPr>
                <w:rFonts w:ascii="楷体" w:eastAsia="楷体" w:hAnsi="楷体"/>
                <w:sz w:val="30"/>
                <w:szCs w:val="30"/>
              </w:rPr>
            </w:pPr>
            <w:r w:rsidRPr="005C27E0">
              <w:rPr>
                <w:rFonts w:ascii="楷体" w:eastAsia="楷体" w:hAnsi="楷体" w:hint="eastAsia"/>
                <w:sz w:val="30"/>
                <w:szCs w:val="30"/>
              </w:rPr>
              <w:t>申报人职称</w:t>
            </w:r>
          </w:p>
        </w:tc>
        <w:tc>
          <w:tcPr>
            <w:tcW w:w="1701" w:type="dxa"/>
            <w:gridSpan w:val="2"/>
          </w:tcPr>
          <w:p w14:paraId="407B7907" w14:textId="44F4975D" w:rsidR="005C27E0" w:rsidRPr="005C27E0" w:rsidRDefault="009842A5" w:rsidP="005C27E0">
            <w:pPr>
              <w:jc w:val="center"/>
              <w:rPr>
                <w:rFonts w:ascii="楷体" w:eastAsia="楷体" w:hAnsi="楷体"/>
                <w:sz w:val="30"/>
                <w:szCs w:val="30"/>
              </w:rPr>
            </w:pPr>
            <w:r>
              <w:rPr>
                <w:rFonts w:ascii="楷体" w:eastAsia="楷体" w:hAnsi="楷体" w:hint="eastAsia"/>
                <w:sz w:val="30"/>
                <w:szCs w:val="30"/>
              </w:rPr>
              <w:t>一级教师</w:t>
            </w:r>
          </w:p>
        </w:tc>
        <w:tc>
          <w:tcPr>
            <w:tcW w:w="1559" w:type="dxa"/>
          </w:tcPr>
          <w:p w14:paraId="5BDED6E3" w14:textId="2F4718D9" w:rsidR="005C27E0" w:rsidRPr="005C27E0" w:rsidRDefault="005C27E0" w:rsidP="005C27E0">
            <w:pPr>
              <w:jc w:val="center"/>
              <w:rPr>
                <w:rFonts w:ascii="楷体" w:eastAsia="楷体" w:hAnsi="楷体"/>
                <w:sz w:val="30"/>
                <w:szCs w:val="30"/>
              </w:rPr>
            </w:pPr>
            <w:r w:rsidRPr="005C27E0">
              <w:rPr>
                <w:rFonts w:ascii="楷体" w:eastAsia="楷体" w:hAnsi="楷体" w:hint="eastAsia"/>
                <w:sz w:val="30"/>
                <w:szCs w:val="30"/>
              </w:rPr>
              <w:t>联系电话</w:t>
            </w:r>
          </w:p>
        </w:tc>
        <w:tc>
          <w:tcPr>
            <w:tcW w:w="4530" w:type="dxa"/>
            <w:gridSpan w:val="2"/>
          </w:tcPr>
          <w:p w14:paraId="0EE69809" w14:textId="77EE4DEB" w:rsidR="005C27E0" w:rsidRPr="009842A5" w:rsidRDefault="00DC4FFA" w:rsidP="005C27E0">
            <w:pPr>
              <w:jc w:val="center"/>
              <w:rPr>
                <w:rFonts w:ascii="楷体" w:eastAsia="楷体" w:hAnsi="楷体"/>
                <w:sz w:val="28"/>
                <w:szCs w:val="28"/>
              </w:rPr>
            </w:pPr>
            <w:r>
              <w:rPr>
                <w:rFonts w:ascii="楷体" w:eastAsia="楷体" w:hAnsi="楷体" w:hint="eastAsia"/>
                <w:sz w:val="28"/>
                <w:szCs w:val="28"/>
              </w:rPr>
              <w:t>13082754676</w:t>
            </w:r>
          </w:p>
        </w:tc>
      </w:tr>
      <w:tr w:rsidR="005C27E0" w14:paraId="743EE30E" w14:textId="77777777" w:rsidTr="005C27E0">
        <w:trPr>
          <w:trHeight w:val="11146"/>
        </w:trPr>
        <w:tc>
          <w:tcPr>
            <w:tcW w:w="9628" w:type="dxa"/>
            <w:gridSpan w:val="6"/>
          </w:tcPr>
          <w:p w14:paraId="0FA04B8F" w14:textId="77777777" w:rsidR="0005615A" w:rsidRPr="00327E3B" w:rsidRDefault="0005615A" w:rsidP="0005615A">
            <w:pPr>
              <w:ind w:firstLineChars="200" w:firstLine="640"/>
              <w:rPr>
                <w:rFonts w:ascii="仿宋_GB2312" w:eastAsia="仿宋_GB2312"/>
                <w:sz w:val="32"/>
                <w:szCs w:val="32"/>
              </w:rPr>
            </w:pPr>
            <w:r w:rsidRPr="00327E3B">
              <w:rPr>
                <w:rFonts w:ascii="仿宋_GB2312" w:eastAsia="仿宋_GB2312" w:hint="eastAsia"/>
                <w:sz w:val="32"/>
                <w:szCs w:val="32"/>
              </w:rPr>
              <w:t>历城区现有在籍学生101350人，其中特需儿童少年共342名，62所普通学校随班就读168名，特殊教育学校就读97名，送教上门77人。为做好特需儿童少年的教育教学管理工作，依托于济南市十三五重点规划课题《特殊教育学校“一人一案”及信息化研究》，以学生的一人一案安置管理、一人一案个别化教学为主线，历城区教育和体育局组织开发了历城区特殊教育管理系统，设置特需儿童少年入学安置管理、教学计划和评价管理、送教上门管理、随班就读管理、教科研培等大功能模块，实现了特需儿童一人一案安置、一人一案个别化教学计划制定实施、</w:t>
            </w:r>
            <w:r>
              <w:rPr>
                <w:rFonts w:ascii="仿宋_GB2312" w:eastAsia="仿宋_GB2312" w:hint="eastAsia"/>
                <w:sz w:val="32"/>
                <w:szCs w:val="32"/>
              </w:rPr>
              <w:t>随班就读管理、送教上门管理、</w:t>
            </w:r>
            <w:r w:rsidRPr="00327E3B">
              <w:rPr>
                <w:rFonts w:ascii="仿宋_GB2312" w:eastAsia="仿宋_GB2312" w:hint="eastAsia"/>
                <w:sz w:val="32"/>
                <w:szCs w:val="32"/>
              </w:rPr>
              <w:t>特教教师教科研培的信息化、一</w:t>
            </w:r>
            <w:r>
              <w:rPr>
                <w:rFonts w:ascii="仿宋_GB2312" w:eastAsia="仿宋_GB2312" w:hint="eastAsia"/>
                <w:sz w:val="32"/>
                <w:szCs w:val="32"/>
              </w:rPr>
              <w:t>站式</w:t>
            </w:r>
            <w:r w:rsidRPr="00327E3B">
              <w:rPr>
                <w:rFonts w:ascii="仿宋_GB2312" w:eastAsia="仿宋_GB2312" w:hint="eastAsia"/>
                <w:sz w:val="32"/>
                <w:szCs w:val="32"/>
              </w:rPr>
              <w:t>管理，成为历城区特殊教育工作日常运转的核心动力，使历城区成为济南市首个实现特殊教育全面信息化管理的区县。</w:t>
            </w:r>
          </w:p>
          <w:p w14:paraId="137F5A95" w14:textId="77777777" w:rsidR="0005615A" w:rsidRPr="00327E3B" w:rsidRDefault="0005615A" w:rsidP="0005615A">
            <w:pPr>
              <w:ind w:firstLineChars="200" w:firstLine="640"/>
              <w:rPr>
                <w:rFonts w:ascii="仿宋_GB2312" w:eastAsia="仿宋_GB2312"/>
                <w:sz w:val="32"/>
                <w:szCs w:val="32"/>
              </w:rPr>
            </w:pPr>
            <w:r w:rsidRPr="00327E3B">
              <w:rPr>
                <w:rFonts w:ascii="仿宋_GB2312" w:eastAsia="仿宋_GB2312" w:hint="eastAsia"/>
                <w:sz w:val="32"/>
                <w:szCs w:val="32"/>
              </w:rPr>
              <w:t>一、特需儿童少年入学安置管理</w:t>
            </w:r>
          </w:p>
          <w:p w14:paraId="17C2D15C" w14:textId="77777777" w:rsidR="0005615A" w:rsidRDefault="0005615A" w:rsidP="0005615A">
            <w:pPr>
              <w:ind w:firstLineChars="200" w:firstLine="640"/>
              <w:rPr>
                <w:rFonts w:ascii="仿宋_GB2312" w:eastAsia="仿宋_GB2312"/>
                <w:sz w:val="32"/>
                <w:szCs w:val="32"/>
              </w:rPr>
            </w:pPr>
            <w:r w:rsidRPr="00327E3B">
              <w:rPr>
                <w:rFonts w:ascii="仿宋_GB2312" w:eastAsia="仿宋_GB2312" w:hint="eastAsia"/>
                <w:sz w:val="32"/>
                <w:szCs w:val="32"/>
              </w:rPr>
              <w:t>特需儿童少年入学安置管理主要实现学生信息采集、学生安置等功能</w:t>
            </w:r>
            <w:r>
              <w:rPr>
                <w:rFonts w:ascii="仿宋_GB2312" w:eastAsia="仿宋_GB2312" w:hint="eastAsia"/>
                <w:sz w:val="32"/>
                <w:szCs w:val="32"/>
              </w:rPr>
              <w:t>,并实现相关的数据统计功能</w:t>
            </w:r>
            <w:r w:rsidRPr="00327E3B">
              <w:rPr>
                <w:rFonts w:ascii="仿宋_GB2312" w:eastAsia="仿宋_GB2312" w:hint="eastAsia"/>
                <w:sz w:val="32"/>
                <w:szCs w:val="32"/>
              </w:rPr>
              <w:t>。</w:t>
            </w:r>
          </w:p>
          <w:p w14:paraId="27E677FC" w14:textId="77777777" w:rsidR="0005615A" w:rsidRPr="00327E3B" w:rsidRDefault="0005615A" w:rsidP="0005615A">
            <w:pPr>
              <w:ind w:firstLineChars="200" w:firstLine="640"/>
              <w:rPr>
                <w:rFonts w:ascii="仿宋_GB2312" w:eastAsia="仿宋_GB2312"/>
                <w:sz w:val="32"/>
                <w:szCs w:val="32"/>
              </w:rPr>
            </w:pPr>
            <w:r w:rsidRPr="00327E3B">
              <w:rPr>
                <w:rFonts w:ascii="仿宋_GB2312" w:eastAsia="仿宋_GB2312" w:hint="eastAsia"/>
                <w:sz w:val="32"/>
                <w:szCs w:val="32"/>
              </w:rPr>
              <w:t>各学校招生时发现有特殊儿童，即可在系统中输入学生详细信息，提交至区特殊教育指导中心；特殊教育指导中心组织专家鉴定委员对各学校提交的特殊儿童进行鉴定，根据实际情况按随班就读、特</w:t>
            </w:r>
            <w:r w:rsidRPr="00327E3B">
              <w:rPr>
                <w:rFonts w:ascii="仿宋_GB2312" w:eastAsia="仿宋_GB2312" w:hint="eastAsia"/>
                <w:sz w:val="32"/>
                <w:szCs w:val="32"/>
              </w:rPr>
              <w:lastRenderedPageBreak/>
              <w:t>教学校就读、送教上门三种安置方式安置到相应学校；学校接收到安置的特殊儿童后，安置到相应班级，送教上门的儿童直接安排送教的老师。在特殊儿童就读期间，如果发现安置方式不恰当，可以提出申请进行二次安置。</w:t>
            </w:r>
            <w:r>
              <w:rPr>
                <w:rFonts w:ascii="仿宋_GB2312" w:eastAsia="仿宋_GB2312" w:hint="eastAsia"/>
                <w:sz w:val="32"/>
                <w:szCs w:val="32"/>
              </w:rPr>
              <w:t>这样，</w:t>
            </w:r>
            <w:r w:rsidRPr="00327E3B">
              <w:rPr>
                <w:rFonts w:ascii="仿宋_GB2312" w:eastAsia="仿宋_GB2312" w:hint="eastAsia"/>
                <w:sz w:val="32"/>
                <w:szCs w:val="32"/>
              </w:rPr>
              <w:t>实现了全区特殊儿童入学的“一人一案”，实现了全区特殊儿童就读的动态化管理及信息化管理，提高了特殊儿童入学管理的效能。</w:t>
            </w:r>
          </w:p>
          <w:p w14:paraId="4F95D5EA" w14:textId="77777777" w:rsidR="0005615A" w:rsidRPr="00327E3B" w:rsidRDefault="0005615A" w:rsidP="0005615A">
            <w:pPr>
              <w:ind w:firstLineChars="200" w:firstLine="640"/>
              <w:rPr>
                <w:rFonts w:ascii="仿宋_GB2312" w:eastAsia="仿宋_GB2312"/>
                <w:sz w:val="32"/>
                <w:szCs w:val="32"/>
              </w:rPr>
            </w:pPr>
            <w:r w:rsidRPr="00327E3B">
              <w:rPr>
                <w:rFonts w:ascii="仿宋_GB2312" w:eastAsia="仿宋_GB2312" w:hint="eastAsia"/>
                <w:sz w:val="32"/>
                <w:szCs w:val="32"/>
              </w:rPr>
              <w:t>二、随班就读学生个别计划制订与评价</w:t>
            </w:r>
          </w:p>
          <w:p w14:paraId="423C43E8" w14:textId="77777777" w:rsidR="0005615A" w:rsidRPr="00327E3B" w:rsidRDefault="0005615A" w:rsidP="0005615A">
            <w:pPr>
              <w:ind w:firstLineChars="200" w:firstLine="640"/>
              <w:rPr>
                <w:rFonts w:ascii="仿宋_GB2312" w:eastAsia="仿宋_GB2312"/>
                <w:sz w:val="32"/>
                <w:szCs w:val="32"/>
              </w:rPr>
            </w:pPr>
            <w:r>
              <w:rPr>
                <w:rFonts w:ascii="仿宋_GB2312" w:eastAsia="仿宋_GB2312" w:hint="eastAsia"/>
                <w:sz w:val="32"/>
                <w:szCs w:val="32"/>
              </w:rPr>
              <w:t>系统内集成随班就读学生评价目标体系，随班就读教师可根据学生实际表现进行打分（分0、1、2、3四个等级），打分完毕后系统自动推送出得分是1、2分的目标供教师选择，教师选择恰当的目标后设定训练时间、形式、通过标准等内容，形成学生个别教学计划。资源教师在系统内可以看到辖区内所有随班就读学生的个别教学计划，并根据计划编排资源教室使用课表，对学生进行康复训练。每评估一次，系统自动生成学生发展雷达图，可以直观看出学生各个领域的发展情况。</w:t>
            </w:r>
          </w:p>
          <w:p w14:paraId="1D05E337" w14:textId="77777777" w:rsidR="0005615A" w:rsidRPr="00327E3B" w:rsidRDefault="0005615A" w:rsidP="0005615A">
            <w:pPr>
              <w:ind w:firstLineChars="200" w:firstLine="640"/>
              <w:rPr>
                <w:rFonts w:ascii="仿宋_GB2312" w:eastAsia="仿宋_GB2312"/>
                <w:sz w:val="32"/>
                <w:szCs w:val="32"/>
              </w:rPr>
            </w:pPr>
            <w:r w:rsidRPr="00327E3B">
              <w:rPr>
                <w:rFonts w:ascii="仿宋_GB2312" w:eastAsia="仿宋_GB2312" w:hint="eastAsia"/>
                <w:sz w:val="32"/>
                <w:szCs w:val="32"/>
              </w:rPr>
              <w:t>三、随班就读管理</w:t>
            </w:r>
          </w:p>
          <w:p w14:paraId="05EA76D9" w14:textId="77777777" w:rsidR="0005615A" w:rsidRPr="00327E3B" w:rsidRDefault="0005615A" w:rsidP="0005615A">
            <w:pPr>
              <w:ind w:firstLineChars="200" w:firstLine="640"/>
              <w:rPr>
                <w:rFonts w:ascii="仿宋_GB2312" w:eastAsia="仿宋_GB2312"/>
                <w:sz w:val="32"/>
                <w:szCs w:val="32"/>
              </w:rPr>
            </w:pPr>
            <w:r w:rsidRPr="00327E3B">
              <w:rPr>
                <w:rFonts w:ascii="仿宋_GB2312" w:eastAsia="仿宋_GB2312" w:hint="eastAsia"/>
                <w:sz w:val="32"/>
                <w:szCs w:val="32"/>
              </w:rPr>
              <w:t>随班就读管理模块主要包括资源教室管理、巡回指导管理</w:t>
            </w:r>
            <w:r>
              <w:rPr>
                <w:rFonts w:ascii="仿宋_GB2312" w:eastAsia="仿宋_GB2312" w:hint="eastAsia"/>
                <w:sz w:val="32"/>
                <w:szCs w:val="32"/>
              </w:rPr>
              <w:t>两</w:t>
            </w:r>
            <w:r w:rsidRPr="00327E3B">
              <w:rPr>
                <w:rFonts w:ascii="仿宋_GB2312" w:eastAsia="仿宋_GB2312" w:hint="eastAsia"/>
                <w:sz w:val="32"/>
                <w:szCs w:val="32"/>
              </w:rPr>
              <w:t>个功能。</w:t>
            </w:r>
          </w:p>
          <w:p w14:paraId="0EDE0959" w14:textId="77777777" w:rsidR="0005615A" w:rsidRPr="00327E3B" w:rsidRDefault="0005615A" w:rsidP="0005615A">
            <w:pPr>
              <w:ind w:firstLineChars="200" w:firstLine="640"/>
              <w:rPr>
                <w:rFonts w:ascii="仿宋_GB2312" w:eastAsia="仿宋_GB2312"/>
                <w:sz w:val="32"/>
                <w:szCs w:val="32"/>
              </w:rPr>
            </w:pPr>
            <w:r w:rsidRPr="00327E3B">
              <w:rPr>
                <w:rFonts w:ascii="仿宋_GB2312" w:eastAsia="仿宋_GB2312" w:hint="eastAsia"/>
                <w:sz w:val="32"/>
                <w:szCs w:val="32"/>
              </w:rPr>
              <w:t>资源教室管理主要对全区资源教室的基本信息管理、资源教室使用管理等功能。</w:t>
            </w:r>
          </w:p>
          <w:p w14:paraId="77195CBE" w14:textId="77777777" w:rsidR="0005615A" w:rsidRPr="00327E3B" w:rsidRDefault="0005615A" w:rsidP="0005615A">
            <w:pPr>
              <w:ind w:firstLineChars="200" w:firstLine="640"/>
              <w:rPr>
                <w:rFonts w:ascii="仿宋_GB2312" w:eastAsia="仿宋_GB2312"/>
                <w:sz w:val="32"/>
                <w:szCs w:val="32"/>
              </w:rPr>
            </w:pPr>
            <w:r w:rsidRPr="00327E3B">
              <w:rPr>
                <w:rFonts w:ascii="仿宋_GB2312" w:eastAsia="仿宋_GB2312" w:hint="eastAsia"/>
                <w:sz w:val="32"/>
                <w:szCs w:val="32"/>
              </w:rPr>
              <w:t>巡回指导教师完成巡回指导工作后，在平台中</w:t>
            </w:r>
            <w:r>
              <w:rPr>
                <w:rFonts w:ascii="仿宋_GB2312" w:eastAsia="仿宋_GB2312" w:hint="eastAsia"/>
                <w:sz w:val="32"/>
                <w:szCs w:val="32"/>
              </w:rPr>
              <w:t>按照固定格式</w:t>
            </w:r>
            <w:r w:rsidRPr="00327E3B">
              <w:rPr>
                <w:rFonts w:ascii="仿宋_GB2312" w:eastAsia="仿宋_GB2312" w:hint="eastAsia"/>
                <w:sz w:val="32"/>
                <w:szCs w:val="32"/>
              </w:rPr>
              <w:t>完成巡回指导资料的上传工作，系统自动统计每个随班就读学校巡回指导的次数，并以图表形式展现，指导中心可以通过系统对全区巡回</w:t>
            </w:r>
            <w:r w:rsidRPr="00327E3B">
              <w:rPr>
                <w:rFonts w:ascii="仿宋_GB2312" w:eastAsia="仿宋_GB2312" w:hint="eastAsia"/>
                <w:sz w:val="32"/>
                <w:szCs w:val="32"/>
              </w:rPr>
              <w:lastRenderedPageBreak/>
              <w:t>指导情况进行全面了解和掌握，并进行动态调控。通过有效的指导，提升随班教师的水平，提高了学校的认识水平和服务能力。</w:t>
            </w:r>
          </w:p>
          <w:p w14:paraId="2307D4D2" w14:textId="77777777" w:rsidR="0005615A" w:rsidRPr="00327E3B" w:rsidRDefault="0005615A" w:rsidP="0005615A">
            <w:pPr>
              <w:ind w:firstLineChars="200" w:firstLine="640"/>
              <w:rPr>
                <w:rFonts w:ascii="仿宋_GB2312" w:eastAsia="仿宋_GB2312"/>
                <w:sz w:val="32"/>
                <w:szCs w:val="32"/>
              </w:rPr>
            </w:pPr>
            <w:r w:rsidRPr="00327E3B">
              <w:rPr>
                <w:rFonts w:ascii="仿宋_GB2312" w:eastAsia="仿宋_GB2312" w:hint="eastAsia"/>
                <w:sz w:val="32"/>
                <w:szCs w:val="32"/>
              </w:rPr>
              <w:t>四、送教上门管理</w:t>
            </w:r>
          </w:p>
          <w:p w14:paraId="7E7C3010" w14:textId="77777777" w:rsidR="0005615A" w:rsidRPr="00327E3B" w:rsidRDefault="0005615A" w:rsidP="0005615A">
            <w:pPr>
              <w:ind w:firstLineChars="200" w:firstLine="640"/>
              <w:rPr>
                <w:rFonts w:ascii="仿宋_GB2312" w:eastAsia="仿宋_GB2312"/>
                <w:sz w:val="32"/>
                <w:szCs w:val="32"/>
              </w:rPr>
            </w:pPr>
            <w:r w:rsidRPr="00327E3B">
              <w:rPr>
                <w:rFonts w:ascii="仿宋_GB2312" w:eastAsia="仿宋_GB2312" w:hint="eastAsia"/>
                <w:sz w:val="32"/>
                <w:szCs w:val="32"/>
              </w:rPr>
              <w:t>送教教师首先到学生家中会同学生家长制定本学期送教计划，在系统内完成学生送教计划的制订，并根据送教计划制定出送教进度，系统根据送教进度对教师进行送教任务提醒，教师送教完毕填写送教记录，上传送教照片及家长满意度签字照片，完成整个送教流程。</w:t>
            </w:r>
          </w:p>
          <w:p w14:paraId="7D4CC35B" w14:textId="77777777" w:rsidR="0005615A" w:rsidRPr="00327E3B" w:rsidRDefault="0005615A" w:rsidP="0005615A">
            <w:pPr>
              <w:ind w:firstLineChars="200" w:firstLine="640"/>
              <w:rPr>
                <w:rFonts w:ascii="仿宋_GB2312" w:eastAsia="仿宋_GB2312"/>
                <w:sz w:val="32"/>
                <w:szCs w:val="32"/>
              </w:rPr>
            </w:pPr>
            <w:r w:rsidRPr="00327E3B">
              <w:rPr>
                <w:rFonts w:ascii="仿宋_GB2312" w:eastAsia="仿宋_GB2312" w:hint="eastAsia"/>
                <w:sz w:val="32"/>
                <w:szCs w:val="32"/>
              </w:rPr>
              <w:t xml:space="preserve">系统对每个孩子的送教次数进行实时统计更新，以统计图表形式展现，特殊教育指导中心可以即时掌握全区送教上门学生的送教情况，及时进行调控，简化了管理流程，提高了管理效率。 </w:t>
            </w:r>
          </w:p>
          <w:p w14:paraId="04EF697B" w14:textId="77777777" w:rsidR="0005615A" w:rsidRPr="00327E3B" w:rsidRDefault="0005615A" w:rsidP="0005615A">
            <w:pPr>
              <w:ind w:firstLineChars="200" w:firstLine="640"/>
              <w:rPr>
                <w:rFonts w:ascii="仿宋_GB2312" w:eastAsia="仿宋_GB2312"/>
                <w:sz w:val="32"/>
                <w:szCs w:val="32"/>
              </w:rPr>
            </w:pPr>
            <w:r w:rsidRPr="00327E3B">
              <w:rPr>
                <w:rFonts w:ascii="仿宋_GB2312" w:eastAsia="仿宋_GB2312" w:hint="eastAsia"/>
                <w:sz w:val="32"/>
                <w:szCs w:val="32"/>
              </w:rPr>
              <w:t>五、教师教科研培管理</w:t>
            </w:r>
          </w:p>
          <w:p w14:paraId="6FAE4B0E" w14:textId="77777777" w:rsidR="0005615A" w:rsidRDefault="0005615A" w:rsidP="0005615A">
            <w:pPr>
              <w:ind w:firstLineChars="200" w:firstLine="640"/>
              <w:rPr>
                <w:rFonts w:ascii="仿宋_GB2312" w:eastAsia="仿宋_GB2312"/>
                <w:sz w:val="32"/>
                <w:szCs w:val="32"/>
              </w:rPr>
            </w:pPr>
            <w:r w:rsidRPr="007C75C8">
              <w:rPr>
                <w:rFonts w:ascii="仿宋_GB2312" w:eastAsia="仿宋_GB2312"/>
                <w:sz w:val="32"/>
                <w:szCs w:val="32"/>
              </w:rPr>
              <w:t>在</w:t>
            </w:r>
            <w:r w:rsidRPr="007C75C8">
              <w:rPr>
                <w:rFonts w:ascii="仿宋_GB2312" w:eastAsia="仿宋_GB2312"/>
                <w:sz w:val="32"/>
                <w:szCs w:val="32"/>
              </w:rPr>
              <w:t>“</w:t>
            </w:r>
            <w:r w:rsidRPr="007C75C8">
              <w:rPr>
                <w:rFonts w:ascii="仿宋_GB2312" w:eastAsia="仿宋_GB2312"/>
                <w:sz w:val="32"/>
                <w:szCs w:val="32"/>
              </w:rPr>
              <w:t>历城区特殊教育信息管理系统</w:t>
            </w:r>
            <w:r w:rsidRPr="007C75C8">
              <w:rPr>
                <w:rFonts w:ascii="仿宋_GB2312" w:eastAsia="仿宋_GB2312"/>
                <w:sz w:val="32"/>
                <w:szCs w:val="32"/>
              </w:rPr>
              <w:t>”</w:t>
            </w:r>
            <w:r w:rsidRPr="007C75C8">
              <w:rPr>
                <w:rFonts w:ascii="仿宋_GB2312" w:eastAsia="仿宋_GB2312"/>
                <w:sz w:val="32"/>
                <w:szCs w:val="32"/>
              </w:rPr>
              <w:t xml:space="preserve"> 中，设置了</w:t>
            </w:r>
            <w:r w:rsidRPr="007C75C8">
              <w:rPr>
                <w:rFonts w:ascii="仿宋_GB2312" w:eastAsia="仿宋_GB2312"/>
                <w:sz w:val="32"/>
                <w:szCs w:val="32"/>
              </w:rPr>
              <w:t>“</w:t>
            </w:r>
            <w:r w:rsidRPr="007C75C8">
              <w:rPr>
                <w:rFonts w:ascii="仿宋_GB2312" w:eastAsia="仿宋_GB2312"/>
                <w:sz w:val="32"/>
                <w:szCs w:val="32"/>
              </w:rPr>
              <w:t>教科研训</w:t>
            </w:r>
            <w:r w:rsidRPr="007C75C8">
              <w:rPr>
                <w:rFonts w:ascii="仿宋_GB2312" w:eastAsia="仿宋_GB2312"/>
                <w:sz w:val="32"/>
                <w:szCs w:val="32"/>
              </w:rPr>
              <w:t>”</w:t>
            </w:r>
            <w:r w:rsidRPr="007C75C8">
              <w:rPr>
                <w:rFonts w:ascii="仿宋_GB2312" w:eastAsia="仿宋_GB2312"/>
                <w:sz w:val="32"/>
                <w:szCs w:val="32"/>
              </w:rPr>
              <w:t>模块，包含了教研管理、培训管理、评比活动管理等功能，可以实现教师培训和评比的在线报名、实时统计、在线学习、在线评分等功能，实现了全区随班就读学校</w:t>
            </w:r>
            <w:r w:rsidRPr="007C75C8">
              <w:rPr>
                <w:rFonts w:ascii="仿宋_GB2312" w:eastAsia="仿宋_GB2312"/>
                <w:sz w:val="32"/>
                <w:szCs w:val="32"/>
              </w:rPr>
              <w:t>“</w:t>
            </w:r>
            <w:r w:rsidRPr="007C75C8">
              <w:rPr>
                <w:rFonts w:ascii="仿宋_GB2312" w:eastAsia="仿宋_GB2312"/>
                <w:sz w:val="32"/>
                <w:szCs w:val="32"/>
              </w:rPr>
              <w:t>教科研训</w:t>
            </w:r>
            <w:r w:rsidRPr="007C75C8">
              <w:rPr>
                <w:rFonts w:ascii="仿宋_GB2312" w:eastAsia="仿宋_GB2312"/>
                <w:sz w:val="32"/>
                <w:szCs w:val="32"/>
              </w:rPr>
              <w:t>”</w:t>
            </w:r>
            <w:r w:rsidRPr="007C75C8">
              <w:rPr>
                <w:rFonts w:ascii="仿宋_GB2312" w:eastAsia="仿宋_GB2312"/>
                <w:sz w:val="32"/>
                <w:szCs w:val="32"/>
              </w:rPr>
              <w:t>的一体化、信息化管理。</w:t>
            </w:r>
          </w:p>
          <w:p w14:paraId="0C823AD8" w14:textId="77777777" w:rsidR="0005615A" w:rsidRDefault="0005615A" w:rsidP="0005615A">
            <w:pPr>
              <w:ind w:firstLineChars="200" w:firstLine="640"/>
              <w:rPr>
                <w:rFonts w:ascii="仿宋_GB2312" w:eastAsia="仿宋_GB2312"/>
                <w:sz w:val="32"/>
                <w:szCs w:val="32"/>
              </w:rPr>
            </w:pPr>
            <w:r>
              <w:rPr>
                <w:rFonts w:ascii="仿宋_GB2312" w:eastAsia="仿宋_GB2312" w:hint="eastAsia"/>
                <w:sz w:val="32"/>
                <w:szCs w:val="32"/>
              </w:rPr>
              <w:t>在教研管理中，包含教研计划、研究记录、课题管理、等功能。各协作组上传教研计划至平台，并根据计划开展教研活动，每次教研活动记录都上传到平台；各学校承担的各级随班就读相关课题材料也可上传到平台，方便管理者对全区随班就读教科研开展情况进行管理和指导。</w:t>
            </w:r>
          </w:p>
          <w:p w14:paraId="7B183387" w14:textId="77777777" w:rsidR="0005615A" w:rsidRDefault="0005615A" w:rsidP="0005615A">
            <w:pPr>
              <w:ind w:firstLineChars="200" w:firstLine="640"/>
              <w:rPr>
                <w:rFonts w:ascii="仿宋_GB2312" w:eastAsia="仿宋_GB2312"/>
                <w:sz w:val="32"/>
                <w:szCs w:val="32"/>
              </w:rPr>
            </w:pPr>
            <w:r>
              <w:rPr>
                <w:rFonts w:ascii="仿宋_GB2312" w:eastAsia="仿宋_GB2312" w:hint="eastAsia"/>
                <w:sz w:val="32"/>
                <w:szCs w:val="32"/>
              </w:rPr>
              <w:t>区级各类特殊教育培训均可通过培训管理功能进行，参训都是可以在线报名、在线学习，学习完成后生成培训证书下载打印；管理</w:t>
            </w:r>
            <w:r>
              <w:rPr>
                <w:rFonts w:ascii="仿宋_GB2312" w:eastAsia="仿宋_GB2312" w:hint="eastAsia"/>
                <w:sz w:val="32"/>
                <w:szCs w:val="32"/>
              </w:rPr>
              <w:lastRenderedPageBreak/>
              <w:t>者可以通过后台导出参训人员名单，对参训人员情况进行分析统计。</w:t>
            </w:r>
          </w:p>
          <w:p w14:paraId="6A7DB1AF" w14:textId="77777777" w:rsidR="0005615A" w:rsidRPr="007C75C8" w:rsidRDefault="0005615A" w:rsidP="0005615A">
            <w:pPr>
              <w:ind w:firstLineChars="200" w:firstLine="640"/>
              <w:rPr>
                <w:rFonts w:ascii="仿宋_GB2312" w:eastAsia="仿宋_GB2312"/>
                <w:sz w:val="32"/>
                <w:szCs w:val="32"/>
              </w:rPr>
            </w:pPr>
            <w:r>
              <w:rPr>
                <w:rFonts w:ascii="仿宋_GB2312" w:eastAsia="仿宋_GB2312" w:hint="eastAsia"/>
                <w:sz w:val="32"/>
                <w:szCs w:val="32"/>
              </w:rPr>
              <w:t>随班就读课例、案例评比通过评比管理功能进行，管理员在后台设定活动要求后，所有随班就读教师可根据活动要求准备参赛作品，在规定时间内上传；所有参赛作品上传完成后，组织评委登录系统，在线打分，系统自动计算得分，根据设定的奖次比例评奖并生成获奖证书供教师下载打印。</w:t>
            </w:r>
          </w:p>
          <w:p w14:paraId="73167949" w14:textId="77777777" w:rsidR="0005615A" w:rsidRDefault="0005615A" w:rsidP="0005615A">
            <w:pPr>
              <w:ind w:firstLineChars="200" w:firstLine="640"/>
              <w:rPr>
                <w:rFonts w:ascii="仿宋_GB2312" w:eastAsia="仿宋_GB2312"/>
                <w:sz w:val="32"/>
                <w:szCs w:val="32"/>
              </w:rPr>
            </w:pPr>
            <w:r>
              <w:rPr>
                <w:rFonts w:ascii="仿宋_GB2312" w:eastAsia="仿宋_GB2312" w:hint="eastAsia"/>
                <w:sz w:val="32"/>
                <w:szCs w:val="32"/>
              </w:rPr>
              <w:t>系统投入运行以来，已经举行一次面向全区的特殊教育通识培训，全区义务教育阶段学校5200余名教师参加了培训；举行一次随班就读教学案例评比，参赛作品47个，评出一等奖1</w:t>
            </w:r>
            <w:r>
              <w:rPr>
                <w:rFonts w:ascii="仿宋_GB2312" w:eastAsia="仿宋_GB2312"/>
                <w:sz w:val="32"/>
                <w:szCs w:val="32"/>
              </w:rPr>
              <w:t>3</w:t>
            </w:r>
            <w:r>
              <w:rPr>
                <w:rFonts w:ascii="仿宋_GB2312" w:eastAsia="仿宋_GB2312" w:hint="eastAsia"/>
                <w:sz w:val="32"/>
                <w:szCs w:val="32"/>
              </w:rPr>
              <w:t>个，二等奖1</w:t>
            </w:r>
            <w:r>
              <w:rPr>
                <w:rFonts w:ascii="仿宋_GB2312" w:eastAsia="仿宋_GB2312"/>
                <w:sz w:val="32"/>
                <w:szCs w:val="32"/>
              </w:rPr>
              <w:t>9</w:t>
            </w:r>
            <w:r>
              <w:rPr>
                <w:rFonts w:ascii="仿宋_GB2312" w:eastAsia="仿宋_GB2312" w:hint="eastAsia"/>
                <w:sz w:val="32"/>
                <w:szCs w:val="32"/>
              </w:rPr>
              <w:t>个。</w:t>
            </w:r>
          </w:p>
          <w:p w14:paraId="4037E93E" w14:textId="77777777" w:rsidR="0005615A" w:rsidRDefault="0005615A" w:rsidP="0005615A">
            <w:pPr>
              <w:ind w:firstLineChars="200" w:firstLine="640"/>
              <w:rPr>
                <w:rFonts w:ascii="仿宋_GB2312" w:eastAsia="仿宋_GB2312"/>
                <w:sz w:val="32"/>
                <w:szCs w:val="32"/>
              </w:rPr>
            </w:pPr>
            <w:r>
              <w:rPr>
                <w:rFonts w:ascii="仿宋_GB2312" w:eastAsia="仿宋_GB2312" w:hint="eastAsia"/>
                <w:sz w:val="32"/>
                <w:szCs w:val="32"/>
              </w:rPr>
              <w:t>历城区特特殊教育信息管理系统集成了绝大多数特殊教育管理与业务的功能，并针对山东省随班就读示范区标准进行了功能完善和优化，具有一定的推广价值。它的使用，提高了历城区特殊教育管理、运行的效能，为历城区特殊教育一体化发展奠定了基础。在山东省随班就读示范区评比过程中，该系统受到了专家好评，成为历城区特殊教育管理的特色，并在2021年底举行的山东省随班就读工作会议上进行了经验交流。</w:t>
            </w:r>
          </w:p>
          <w:p w14:paraId="6FE30B8C" w14:textId="5B44A14A" w:rsidR="00A066EE" w:rsidRPr="0005615A" w:rsidRDefault="00A066EE" w:rsidP="008F66F1">
            <w:pPr>
              <w:ind w:firstLineChars="200" w:firstLine="600"/>
              <w:rPr>
                <w:rFonts w:ascii="黑体" w:eastAsia="黑体" w:hAnsi="黑体"/>
                <w:sz w:val="30"/>
                <w:szCs w:val="30"/>
              </w:rPr>
            </w:pPr>
          </w:p>
        </w:tc>
      </w:tr>
      <w:tr w:rsidR="005C27E0" w14:paraId="2CE86834" w14:textId="77777777" w:rsidTr="005C27E0">
        <w:trPr>
          <w:gridAfter w:val="1"/>
          <w:wAfter w:w="120" w:type="dxa"/>
          <w:trHeight w:val="4809"/>
        </w:trPr>
        <w:tc>
          <w:tcPr>
            <w:tcW w:w="9508" w:type="dxa"/>
            <w:gridSpan w:val="5"/>
          </w:tcPr>
          <w:p w14:paraId="6285FC60" w14:textId="77777777" w:rsidR="005C27E0" w:rsidRDefault="005C27E0">
            <w:pPr>
              <w:rPr>
                <w:rFonts w:ascii="黑体" w:eastAsia="黑体" w:hAnsi="黑体"/>
                <w:sz w:val="30"/>
                <w:szCs w:val="30"/>
              </w:rPr>
            </w:pPr>
            <w:r w:rsidRPr="005C27E0">
              <w:rPr>
                <w:rFonts w:ascii="黑体" w:eastAsia="黑体" w:hAnsi="黑体" w:hint="eastAsia"/>
                <w:sz w:val="30"/>
                <w:szCs w:val="30"/>
              </w:rPr>
              <w:lastRenderedPageBreak/>
              <w:t>宣传推广情况：</w:t>
            </w:r>
          </w:p>
          <w:p w14:paraId="3B03C4B3" w14:textId="77777777" w:rsidR="008F66F1" w:rsidRPr="008F66F1" w:rsidRDefault="008F66F1">
            <w:pPr>
              <w:rPr>
                <w:rFonts w:ascii="仿宋" w:eastAsia="仿宋" w:hAnsi="仿宋" w:cs="仿宋"/>
                <w:sz w:val="30"/>
                <w:szCs w:val="30"/>
              </w:rPr>
            </w:pPr>
            <w:r w:rsidRPr="008F66F1">
              <w:rPr>
                <w:rFonts w:ascii="仿宋" w:eastAsia="仿宋" w:hAnsi="仿宋" w:cs="仿宋" w:hint="eastAsia"/>
                <w:sz w:val="30"/>
                <w:szCs w:val="30"/>
              </w:rPr>
              <w:t>2</w:t>
            </w:r>
            <w:r w:rsidRPr="008F66F1">
              <w:rPr>
                <w:rFonts w:ascii="仿宋" w:eastAsia="仿宋" w:hAnsi="仿宋" w:cs="仿宋"/>
                <w:sz w:val="30"/>
                <w:szCs w:val="30"/>
              </w:rPr>
              <w:t>021</w:t>
            </w:r>
            <w:r w:rsidRPr="008F66F1">
              <w:rPr>
                <w:rFonts w:ascii="仿宋" w:eastAsia="仿宋" w:hAnsi="仿宋" w:cs="仿宋" w:hint="eastAsia"/>
                <w:sz w:val="30"/>
                <w:szCs w:val="30"/>
              </w:rPr>
              <w:t>年</w:t>
            </w:r>
            <w:r w:rsidRPr="008F66F1">
              <w:rPr>
                <w:rFonts w:ascii="仿宋" w:eastAsia="仿宋" w:hAnsi="仿宋" w:cs="仿宋"/>
                <w:sz w:val="30"/>
                <w:szCs w:val="30"/>
              </w:rPr>
              <w:t>10月，在济南市融合教育研修班上以《创新随班就读工作机制 促进融合教育优质发展》为题做典型发言</w:t>
            </w:r>
            <w:r w:rsidRPr="008F66F1">
              <w:rPr>
                <w:rFonts w:ascii="仿宋" w:eastAsia="仿宋" w:hAnsi="仿宋" w:cs="仿宋" w:hint="eastAsia"/>
                <w:sz w:val="30"/>
                <w:szCs w:val="30"/>
              </w:rPr>
              <w:t>；</w:t>
            </w:r>
            <w:r w:rsidRPr="008F66F1">
              <w:rPr>
                <w:rFonts w:ascii="仿宋" w:eastAsia="仿宋" w:hAnsi="仿宋" w:cs="仿宋"/>
                <w:sz w:val="30"/>
                <w:szCs w:val="30"/>
              </w:rPr>
              <w:t xml:space="preserve"> </w:t>
            </w:r>
          </w:p>
          <w:p w14:paraId="1667F32B" w14:textId="1A91D505" w:rsidR="008F66F1" w:rsidRDefault="008F66F1">
            <w:r w:rsidRPr="008F66F1">
              <w:rPr>
                <w:rFonts w:ascii="仿宋" w:eastAsia="仿宋" w:hAnsi="仿宋" w:cs="仿宋" w:hint="eastAsia"/>
                <w:sz w:val="30"/>
                <w:szCs w:val="30"/>
              </w:rPr>
              <w:t>2021年</w:t>
            </w:r>
            <w:r w:rsidRPr="008F66F1">
              <w:rPr>
                <w:rFonts w:ascii="仿宋" w:eastAsia="仿宋" w:hAnsi="仿宋" w:cs="仿宋"/>
                <w:sz w:val="30"/>
                <w:szCs w:val="30"/>
              </w:rPr>
              <w:t>12月，分管局长、历城区特殊教育指导中心主任王永军同志在山东省随班就读</w:t>
            </w:r>
            <w:r w:rsidRPr="008F66F1">
              <w:rPr>
                <w:rFonts w:ascii="仿宋" w:eastAsia="仿宋" w:hAnsi="仿宋" w:cs="仿宋" w:hint="eastAsia"/>
                <w:sz w:val="30"/>
                <w:szCs w:val="30"/>
              </w:rPr>
              <w:t>现场经验交流</w:t>
            </w:r>
            <w:r w:rsidRPr="008F66F1">
              <w:rPr>
                <w:rFonts w:ascii="仿宋" w:eastAsia="仿宋" w:hAnsi="仿宋" w:cs="仿宋"/>
                <w:sz w:val="30"/>
                <w:szCs w:val="30"/>
              </w:rPr>
              <w:t>会上以《历城区随班就读工作区域一体化发展探索》为题做典型发言，</w:t>
            </w:r>
            <w:r w:rsidRPr="008F66F1">
              <w:rPr>
                <w:rFonts w:hint="eastAsia"/>
                <w:sz w:val="30"/>
                <w:szCs w:val="30"/>
              </w:rPr>
              <w:t xml:space="preserve"> </w:t>
            </w:r>
          </w:p>
        </w:tc>
      </w:tr>
      <w:tr w:rsidR="005C27E0" w:rsidRPr="00561D65" w14:paraId="6445959E" w14:textId="77777777" w:rsidTr="005C27E0">
        <w:trPr>
          <w:gridAfter w:val="1"/>
          <w:wAfter w:w="120" w:type="dxa"/>
          <w:trHeight w:val="2835"/>
        </w:trPr>
        <w:tc>
          <w:tcPr>
            <w:tcW w:w="2830" w:type="dxa"/>
            <w:gridSpan w:val="2"/>
            <w:vAlign w:val="center"/>
          </w:tcPr>
          <w:p w14:paraId="6AF2537A" w14:textId="6E7CE003" w:rsidR="005C27E0" w:rsidRPr="005C27E0" w:rsidRDefault="005C27E0" w:rsidP="005C27E0">
            <w:pPr>
              <w:jc w:val="center"/>
              <w:rPr>
                <w:rFonts w:ascii="楷体" w:eastAsia="楷体" w:hAnsi="楷体"/>
                <w:sz w:val="30"/>
                <w:szCs w:val="30"/>
              </w:rPr>
            </w:pPr>
            <w:r w:rsidRPr="005C27E0">
              <w:rPr>
                <w:rFonts w:ascii="楷体" w:eastAsia="楷体" w:hAnsi="楷体" w:hint="eastAsia"/>
                <w:sz w:val="30"/>
                <w:szCs w:val="30"/>
              </w:rPr>
              <w:t>所在学校意见</w:t>
            </w:r>
          </w:p>
        </w:tc>
        <w:tc>
          <w:tcPr>
            <w:tcW w:w="6678" w:type="dxa"/>
            <w:gridSpan w:val="3"/>
            <w:vAlign w:val="bottom"/>
          </w:tcPr>
          <w:p w14:paraId="03F21E7D" w14:textId="5FF44965" w:rsidR="005C27E0" w:rsidRPr="00561D65" w:rsidRDefault="00561D65" w:rsidP="00561D65">
            <w:pPr>
              <w:wordWrap w:val="0"/>
              <w:ind w:right="1200"/>
              <w:jc w:val="center"/>
              <w:rPr>
                <w:rFonts w:ascii="楷体" w:eastAsia="楷体" w:hAnsi="楷体"/>
                <w:sz w:val="30"/>
                <w:szCs w:val="30"/>
              </w:rPr>
            </w:pPr>
            <w:r>
              <w:rPr>
                <w:rFonts w:ascii="楷体" w:eastAsia="楷体" w:hAnsi="楷体" w:hint="eastAsia"/>
                <w:sz w:val="30"/>
                <w:szCs w:val="30"/>
              </w:rPr>
              <w:t xml:space="preserve"> </w:t>
            </w:r>
            <w:r>
              <w:rPr>
                <w:rFonts w:ascii="楷体" w:eastAsia="楷体" w:hAnsi="楷体"/>
                <w:sz w:val="30"/>
                <w:szCs w:val="30"/>
              </w:rPr>
              <w:t xml:space="preserve">                </w:t>
            </w:r>
            <w:r w:rsidR="005C27E0" w:rsidRPr="00561D65">
              <w:rPr>
                <w:rFonts w:ascii="楷体" w:eastAsia="楷体" w:hAnsi="楷体" w:hint="eastAsia"/>
                <w:sz w:val="30"/>
                <w:szCs w:val="30"/>
              </w:rPr>
              <w:t>（盖章）</w:t>
            </w:r>
            <w:r w:rsidRPr="00561D65">
              <w:rPr>
                <w:rFonts w:ascii="楷体" w:eastAsia="楷体" w:hAnsi="楷体"/>
                <w:sz w:val="30"/>
                <w:szCs w:val="30"/>
              </w:rPr>
              <w:t xml:space="preserve"> </w:t>
            </w:r>
          </w:p>
          <w:p w14:paraId="6D795F30" w14:textId="4AA8E515" w:rsidR="005C27E0" w:rsidRPr="00561D65" w:rsidRDefault="005C27E0" w:rsidP="00561D65">
            <w:pPr>
              <w:ind w:right="900"/>
              <w:jc w:val="right"/>
              <w:rPr>
                <w:rFonts w:ascii="楷体" w:eastAsia="楷体" w:hAnsi="楷体"/>
                <w:sz w:val="30"/>
                <w:szCs w:val="30"/>
              </w:rPr>
            </w:pPr>
            <w:r w:rsidRPr="00561D65">
              <w:rPr>
                <w:rFonts w:ascii="楷体" w:eastAsia="楷体" w:hAnsi="楷体" w:hint="eastAsia"/>
                <w:sz w:val="30"/>
                <w:szCs w:val="30"/>
              </w:rPr>
              <w:t xml:space="preserve">年 </w:t>
            </w:r>
            <w:r w:rsidRPr="00561D65">
              <w:rPr>
                <w:rFonts w:ascii="楷体" w:eastAsia="楷体" w:hAnsi="楷体"/>
                <w:sz w:val="30"/>
                <w:szCs w:val="30"/>
              </w:rPr>
              <w:t xml:space="preserve">  </w:t>
            </w:r>
            <w:r w:rsidRPr="00561D65">
              <w:rPr>
                <w:rFonts w:ascii="楷体" w:eastAsia="楷体" w:hAnsi="楷体" w:hint="eastAsia"/>
                <w:sz w:val="30"/>
                <w:szCs w:val="30"/>
              </w:rPr>
              <w:t xml:space="preserve">月 </w:t>
            </w:r>
            <w:r w:rsidRPr="00561D65">
              <w:rPr>
                <w:rFonts w:ascii="楷体" w:eastAsia="楷体" w:hAnsi="楷体"/>
                <w:sz w:val="30"/>
                <w:szCs w:val="30"/>
              </w:rPr>
              <w:t xml:space="preserve">  </w:t>
            </w:r>
            <w:r w:rsidRPr="00561D65">
              <w:rPr>
                <w:rFonts w:ascii="楷体" w:eastAsia="楷体" w:hAnsi="楷体" w:hint="eastAsia"/>
                <w:sz w:val="30"/>
                <w:szCs w:val="30"/>
              </w:rPr>
              <w:t>日</w:t>
            </w:r>
          </w:p>
        </w:tc>
      </w:tr>
      <w:tr w:rsidR="005C27E0" w14:paraId="6CB298BF" w14:textId="77777777" w:rsidTr="005C27E0">
        <w:trPr>
          <w:gridAfter w:val="1"/>
          <w:wAfter w:w="120" w:type="dxa"/>
          <w:trHeight w:val="2835"/>
        </w:trPr>
        <w:tc>
          <w:tcPr>
            <w:tcW w:w="2830" w:type="dxa"/>
            <w:gridSpan w:val="2"/>
            <w:vAlign w:val="center"/>
          </w:tcPr>
          <w:p w14:paraId="3FA87A2F" w14:textId="77777777" w:rsidR="005C27E0" w:rsidRDefault="005C27E0" w:rsidP="005C27E0">
            <w:pPr>
              <w:jc w:val="center"/>
              <w:rPr>
                <w:rFonts w:ascii="楷体" w:eastAsia="楷体" w:hAnsi="楷体"/>
                <w:sz w:val="30"/>
                <w:szCs w:val="30"/>
              </w:rPr>
            </w:pPr>
            <w:r w:rsidRPr="005C27E0">
              <w:rPr>
                <w:rFonts w:ascii="楷体" w:eastAsia="楷体" w:hAnsi="楷体" w:hint="eastAsia"/>
                <w:sz w:val="30"/>
                <w:szCs w:val="30"/>
              </w:rPr>
              <w:t>县级教育行政</w:t>
            </w:r>
          </w:p>
          <w:p w14:paraId="5C89BEDD" w14:textId="3A3C8AE0" w:rsidR="005C27E0" w:rsidRPr="005C27E0" w:rsidRDefault="005C27E0" w:rsidP="005C27E0">
            <w:pPr>
              <w:jc w:val="center"/>
              <w:rPr>
                <w:rFonts w:ascii="楷体" w:eastAsia="楷体" w:hAnsi="楷体"/>
                <w:sz w:val="30"/>
                <w:szCs w:val="30"/>
              </w:rPr>
            </w:pPr>
            <w:r w:rsidRPr="005C27E0">
              <w:rPr>
                <w:rFonts w:ascii="楷体" w:eastAsia="楷体" w:hAnsi="楷体" w:hint="eastAsia"/>
                <w:sz w:val="30"/>
                <w:szCs w:val="30"/>
              </w:rPr>
              <w:t>部门意见</w:t>
            </w:r>
          </w:p>
        </w:tc>
        <w:tc>
          <w:tcPr>
            <w:tcW w:w="6678" w:type="dxa"/>
            <w:gridSpan w:val="3"/>
            <w:vAlign w:val="bottom"/>
          </w:tcPr>
          <w:p w14:paraId="68BDD053" w14:textId="77777777" w:rsidR="00561D65" w:rsidRPr="00561D65" w:rsidRDefault="00561D65" w:rsidP="00561D65">
            <w:pPr>
              <w:wordWrap w:val="0"/>
              <w:ind w:right="1800"/>
              <w:jc w:val="right"/>
              <w:rPr>
                <w:rFonts w:ascii="楷体" w:eastAsia="楷体" w:hAnsi="楷体"/>
                <w:sz w:val="30"/>
                <w:szCs w:val="30"/>
              </w:rPr>
            </w:pPr>
            <w:r w:rsidRPr="00561D65">
              <w:rPr>
                <w:rFonts w:ascii="楷体" w:eastAsia="楷体" w:hAnsi="楷体" w:hint="eastAsia"/>
                <w:sz w:val="30"/>
                <w:szCs w:val="30"/>
              </w:rPr>
              <w:t>（盖章）</w:t>
            </w:r>
            <w:r w:rsidRPr="00561D65">
              <w:rPr>
                <w:rFonts w:ascii="楷体" w:eastAsia="楷体" w:hAnsi="楷体"/>
                <w:sz w:val="30"/>
                <w:szCs w:val="30"/>
              </w:rPr>
              <w:t xml:space="preserve"> </w:t>
            </w:r>
          </w:p>
          <w:p w14:paraId="2B6C16C7" w14:textId="21DFEA0C" w:rsidR="005C27E0" w:rsidRDefault="00561D65" w:rsidP="00561D65">
            <w:pPr>
              <w:wordWrap w:val="0"/>
              <w:jc w:val="right"/>
            </w:pPr>
            <w:r w:rsidRPr="00561D65">
              <w:rPr>
                <w:rFonts w:ascii="楷体" w:eastAsia="楷体" w:hAnsi="楷体" w:hint="eastAsia"/>
                <w:sz w:val="30"/>
                <w:szCs w:val="30"/>
              </w:rPr>
              <w:t xml:space="preserve">年 </w:t>
            </w:r>
            <w:r w:rsidRPr="00561D65">
              <w:rPr>
                <w:rFonts w:ascii="楷体" w:eastAsia="楷体" w:hAnsi="楷体"/>
                <w:sz w:val="30"/>
                <w:szCs w:val="30"/>
              </w:rPr>
              <w:t xml:space="preserve">  </w:t>
            </w:r>
            <w:r w:rsidRPr="00561D65">
              <w:rPr>
                <w:rFonts w:ascii="楷体" w:eastAsia="楷体" w:hAnsi="楷体" w:hint="eastAsia"/>
                <w:sz w:val="30"/>
                <w:szCs w:val="30"/>
              </w:rPr>
              <w:t xml:space="preserve">月 </w:t>
            </w:r>
            <w:r w:rsidRPr="00561D65">
              <w:rPr>
                <w:rFonts w:ascii="楷体" w:eastAsia="楷体" w:hAnsi="楷体"/>
                <w:sz w:val="30"/>
                <w:szCs w:val="30"/>
              </w:rPr>
              <w:t xml:space="preserve">  </w:t>
            </w:r>
            <w:r w:rsidRPr="00561D65">
              <w:rPr>
                <w:rFonts w:ascii="楷体" w:eastAsia="楷体" w:hAnsi="楷体" w:hint="eastAsia"/>
                <w:sz w:val="30"/>
                <w:szCs w:val="30"/>
              </w:rPr>
              <w:t>日</w:t>
            </w:r>
            <w:r>
              <w:rPr>
                <w:rFonts w:ascii="楷体" w:eastAsia="楷体" w:hAnsi="楷体" w:hint="eastAsia"/>
                <w:sz w:val="30"/>
                <w:szCs w:val="30"/>
              </w:rPr>
              <w:t xml:space="preserve"> </w:t>
            </w:r>
            <w:r>
              <w:rPr>
                <w:rFonts w:ascii="楷体" w:eastAsia="楷体" w:hAnsi="楷体"/>
                <w:sz w:val="30"/>
                <w:szCs w:val="30"/>
              </w:rPr>
              <w:t xml:space="preserve">    </w:t>
            </w:r>
          </w:p>
        </w:tc>
      </w:tr>
      <w:tr w:rsidR="005C27E0" w14:paraId="5F782EF6" w14:textId="77777777" w:rsidTr="005C27E0">
        <w:trPr>
          <w:gridAfter w:val="1"/>
          <w:wAfter w:w="120" w:type="dxa"/>
          <w:trHeight w:val="2835"/>
        </w:trPr>
        <w:tc>
          <w:tcPr>
            <w:tcW w:w="2830" w:type="dxa"/>
            <w:gridSpan w:val="2"/>
            <w:vAlign w:val="center"/>
          </w:tcPr>
          <w:p w14:paraId="1A9ACA08" w14:textId="43933209" w:rsidR="005C27E0" w:rsidRPr="005C27E0" w:rsidRDefault="005C27E0" w:rsidP="005C27E0">
            <w:pPr>
              <w:jc w:val="center"/>
              <w:rPr>
                <w:rFonts w:ascii="楷体" w:eastAsia="楷体" w:hAnsi="楷体"/>
                <w:sz w:val="30"/>
                <w:szCs w:val="30"/>
              </w:rPr>
            </w:pPr>
            <w:r w:rsidRPr="005C27E0">
              <w:rPr>
                <w:rFonts w:ascii="楷体" w:eastAsia="楷体" w:hAnsi="楷体" w:hint="eastAsia"/>
                <w:sz w:val="30"/>
                <w:szCs w:val="30"/>
              </w:rPr>
              <w:t>市级教育行政部门意见</w:t>
            </w:r>
          </w:p>
        </w:tc>
        <w:tc>
          <w:tcPr>
            <w:tcW w:w="6678" w:type="dxa"/>
            <w:gridSpan w:val="3"/>
            <w:vAlign w:val="bottom"/>
          </w:tcPr>
          <w:p w14:paraId="68576BE4" w14:textId="141BB7BC" w:rsidR="00561D65" w:rsidRPr="00561D65" w:rsidRDefault="00561D65" w:rsidP="00561D65">
            <w:pPr>
              <w:wordWrap w:val="0"/>
              <w:ind w:right="1200"/>
              <w:jc w:val="center"/>
              <w:rPr>
                <w:rFonts w:ascii="楷体" w:eastAsia="楷体" w:hAnsi="楷体"/>
                <w:sz w:val="30"/>
                <w:szCs w:val="30"/>
              </w:rPr>
            </w:pPr>
            <w:r>
              <w:rPr>
                <w:rFonts w:ascii="楷体" w:eastAsia="楷体" w:hAnsi="楷体" w:hint="eastAsia"/>
                <w:sz w:val="30"/>
                <w:szCs w:val="30"/>
              </w:rPr>
              <w:t xml:space="preserve"> </w:t>
            </w:r>
            <w:r>
              <w:rPr>
                <w:rFonts w:ascii="楷体" w:eastAsia="楷体" w:hAnsi="楷体"/>
                <w:sz w:val="30"/>
                <w:szCs w:val="30"/>
              </w:rPr>
              <w:t xml:space="preserve">                  </w:t>
            </w:r>
            <w:r w:rsidRPr="00561D65">
              <w:rPr>
                <w:rFonts w:ascii="楷体" w:eastAsia="楷体" w:hAnsi="楷体" w:hint="eastAsia"/>
                <w:sz w:val="30"/>
                <w:szCs w:val="30"/>
              </w:rPr>
              <w:t>（盖章）</w:t>
            </w:r>
            <w:r w:rsidRPr="00561D65">
              <w:rPr>
                <w:rFonts w:ascii="楷体" w:eastAsia="楷体" w:hAnsi="楷体"/>
                <w:sz w:val="30"/>
                <w:szCs w:val="30"/>
              </w:rPr>
              <w:t xml:space="preserve"> </w:t>
            </w:r>
          </w:p>
          <w:p w14:paraId="3F454516" w14:textId="3F2FD875" w:rsidR="005C27E0" w:rsidRDefault="00561D65" w:rsidP="00561D65">
            <w:pPr>
              <w:wordWrap w:val="0"/>
              <w:jc w:val="right"/>
            </w:pPr>
            <w:r w:rsidRPr="00561D65">
              <w:rPr>
                <w:rFonts w:ascii="楷体" w:eastAsia="楷体" w:hAnsi="楷体" w:hint="eastAsia"/>
                <w:sz w:val="30"/>
                <w:szCs w:val="30"/>
              </w:rPr>
              <w:t xml:space="preserve">年 </w:t>
            </w:r>
            <w:r w:rsidRPr="00561D65">
              <w:rPr>
                <w:rFonts w:ascii="楷体" w:eastAsia="楷体" w:hAnsi="楷体"/>
                <w:sz w:val="30"/>
                <w:szCs w:val="30"/>
              </w:rPr>
              <w:t xml:space="preserve">  </w:t>
            </w:r>
            <w:r w:rsidRPr="00561D65">
              <w:rPr>
                <w:rFonts w:ascii="楷体" w:eastAsia="楷体" w:hAnsi="楷体" w:hint="eastAsia"/>
                <w:sz w:val="30"/>
                <w:szCs w:val="30"/>
              </w:rPr>
              <w:t xml:space="preserve">月 </w:t>
            </w:r>
            <w:r w:rsidRPr="00561D65">
              <w:rPr>
                <w:rFonts w:ascii="楷体" w:eastAsia="楷体" w:hAnsi="楷体"/>
                <w:sz w:val="30"/>
                <w:szCs w:val="30"/>
              </w:rPr>
              <w:t xml:space="preserve">  </w:t>
            </w:r>
            <w:r w:rsidRPr="00561D65">
              <w:rPr>
                <w:rFonts w:ascii="楷体" w:eastAsia="楷体" w:hAnsi="楷体" w:hint="eastAsia"/>
                <w:sz w:val="30"/>
                <w:szCs w:val="30"/>
              </w:rPr>
              <w:t>日</w:t>
            </w:r>
            <w:r>
              <w:rPr>
                <w:rFonts w:ascii="楷体" w:eastAsia="楷体" w:hAnsi="楷体" w:hint="eastAsia"/>
                <w:sz w:val="30"/>
                <w:szCs w:val="30"/>
              </w:rPr>
              <w:t xml:space="preserve"> </w:t>
            </w:r>
            <w:r>
              <w:rPr>
                <w:rFonts w:ascii="楷体" w:eastAsia="楷体" w:hAnsi="楷体"/>
                <w:sz w:val="30"/>
                <w:szCs w:val="30"/>
              </w:rPr>
              <w:t xml:space="preserve">    </w:t>
            </w:r>
          </w:p>
        </w:tc>
      </w:tr>
    </w:tbl>
    <w:p w14:paraId="2313F0C0" w14:textId="77777777" w:rsidR="005C27E0" w:rsidRDefault="005C27E0"/>
    <w:sectPr w:rsidR="005C27E0" w:rsidSect="005C27E0">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8420F" w14:textId="77777777" w:rsidR="00FA58EE" w:rsidRDefault="00FA58EE" w:rsidP="0005615A">
      <w:r>
        <w:separator/>
      </w:r>
    </w:p>
  </w:endnote>
  <w:endnote w:type="continuationSeparator" w:id="0">
    <w:p w14:paraId="2EB4756F" w14:textId="77777777" w:rsidR="00FA58EE" w:rsidRDefault="00FA58EE" w:rsidP="00056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54EF3" w14:textId="77777777" w:rsidR="00FA58EE" w:rsidRDefault="00FA58EE" w:rsidP="0005615A">
      <w:r>
        <w:separator/>
      </w:r>
    </w:p>
  </w:footnote>
  <w:footnote w:type="continuationSeparator" w:id="0">
    <w:p w14:paraId="669EAFA2" w14:textId="77777777" w:rsidR="00FA58EE" w:rsidRDefault="00FA58EE" w:rsidP="000561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7E0"/>
    <w:rsid w:val="00035BF2"/>
    <w:rsid w:val="0005615A"/>
    <w:rsid w:val="000817B2"/>
    <w:rsid w:val="00273610"/>
    <w:rsid w:val="003E61EA"/>
    <w:rsid w:val="00561D65"/>
    <w:rsid w:val="005C27E0"/>
    <w:rsid w:val="006073E5"/>
    <w:rsid w:val="006B7A96"/>
    <w:rsid w:val="008F66F1"/>
    <w:rsid w:val="009008C9"/>
    <w:rsid w:val="009842A5"/>
    <w:rsid w:val="00A066EE"/>
    <w:rsid w:val="00B45C65"/>
    <w:rsid w:val="00DC4FFA"/>
    <w:rsid w:val="00F37694"/>
    <w:rsid w:val="00FA58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D7DDE4"/>
  <w15:chartTrackingRefBased/>
  <w15:docId w15:val="{8C139976-3080-4F2F-8D02-77207E238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73E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C27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066EE"/>
    <w:pPr>
      <w:ind w:firstLineChars="200" w:firstLine="420"/>
    </w:pPr>
  </w:style>
  <w:style w:type="paragraph" w:styleId="a5">
    <w:name w:val="header"/>
    <w:basedOn w:val="a"/>
    <w:link w:val="a6"/>
    <w:uiPriority w:val="99"/>
    <w:unhideWhenUsed/>
    <w:rsid w:val="0005615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05615A"/>
    <w:rPr>
      <w:sz w:val="18"/>
      <w:szCs w:val="18"/>
    </w:rPr>
  </w:style>
  <w:style w:type="paragraph" w:styleId="a7">
    <w:name w:val="footer"/>
    <w:basedOn w:val="a"/>
    <w:link w:val="a8"/>
    <w:uiPriority w:val="99"/>
    <w:unhideWhenUsed/>
    <w:rsid w:val="0005615A"/>
    <w:pPr>
      <w:tabs>
        <w:tab w:val="center" w:pos="4153"/>
        <w:tab w:val="right" w:pos="8306"/>
      </w:tabs>
      <w:snapToGrid w:val="0"/>
      <w:jc w:val="left"/>
    </w:pPr>
    <w:rPr>
      <w:sz w:val="18"/>
      <w:szCs w:val="18"/>
    </w:rPr>
  </w:style>
  <w:style w:type="character" w:customStyle="1" w:styleId="a8">
    <w:name w:val="页脚 字符"/>
    <w:basedOn w:val="a0"/>
    <w:link w:val="a7"/>
    <w:uiPriority w:val="99"/>
    <w:rsid w:val="0005615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363</Words>
  <Characters>2073</Characters>
  <Application>Microsoft Office Word</Application>
  <DocSecurity>0</DocSecurity>
  <Lines>17</Lines>
  <Paragraphs>4</Paragraphs>
  <ScaleCrop>false</ScaleCrop>
  <Company/>
  <LinksUpToDate>false</LinksUpToDate>
  <CharactersWithSpaces>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2022-08-16T08:22:00Z</dcterms:created>
  <dcterms:modified xsi:type="dcterms:W3CDTF">2022-08-16T08:26:00Z</dcterms:modified>
</cp:coreProperties>
</file>