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14"/>
        <w:rPr>
          <w:rFonts w:hint="eastAsia" w:ascii="黑体" w:eastAsia="黑体"/>
        </w:rPr>
      </w:pPr>
      <w:r>
        <w:rPr>
          <w:rFonts w:hint="eastAsia" w:ascii="黑体" w:eastAsia="黑体"/>
        </w:rPr>
        <w:t>附件1</w:t>
      </w:r>
    </w:p>
    <w:p>
      <w:pPr>
        <w:pStyle w:val="3"/>
        <w:spacing w:before="8"/>
        <w:rPr>
          <w:rFonts w:ascii="黑体"/>
          <w:sz w:val="73"/>
        </w:rPr>
      </w:pPr>
      <w:r>
        <w:br w:type="column"/>
      </w:r>
    </w:p>
    <w:p>
      <w:pPr>
        <w:pStyle w:val="2"/>
        <w:spacing w:before="1"/>
        <w:rPr>
          <w:rFonts w:hint="eastAsia" w:ascii="宋体" w:eastAsia="宋体"/>
        </w:rPr>
      </w:pPr>
      <w:r>
        <w:rPr>
          <w:rFonts w:hint="eastAsia" w:ascii="方正小标宋简体" w:hAnsi="方正小标宋简体" w:eastAsia="方正小标宋简体" w:cs="方正小标宋简体"/>
        </w:rPr>
        <w:t>送教上门、随班就读优秀案例申报表</w:t>
      </w:r>
    </w:p>
    <w:p>
      <w:pPr>
        <w:spacing w:after="0"/>
        <w:rPr>
          <w:rFonts w:hint="eastAsia" w:ascii="宋体" w:eastAsia="宋体"/>
        </w:rPr>
        <w:sectPr>
          <w:footerReference r:id="rId5" w:type="default"/>
          <w:pgSz w:w="11910" w:h="16840"/>
          <w:pgMar w:top="1600" w:right="1180" w:bottom="280" w:left="1300" w:header="720" w:footer="720" w:gutter="0"/>
          <w:pgNumType w:fmt="decimal"/>
          <w:cols w:equalWidth="0" w:num="2">
            <w:col w:w="957" w:space="61"/>
            <w:col w:w="8412"/>
          </w:cols>
        </w:sectPr>
      </w:pPr>
    </w:p>
    <w:p>
      <w:pPr>
        <w:pStyle w:val="3"/>
        <w:rPr>
          <w:sz w:val="20"/>
        </w:rPr>
      </w:pPr>
    </w:p>
    <w:p>
      <w:pPr>
        <w:pStyle w:val="3"/>
        <w:spacing w:before="7" w:after="1"/>
        <w:rPr>
          <w:sz w:val="12"/>
        </w:rPr>
      </w:pPr>
    </w:p>
    <w:tbl>
      <w:tblPr>
        <w:tblStyle w:val="6"/>
        <w:tblW w:w="921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1395"/>
        <w:gridCol w:w="761"/>
        <w:gridCol w:w="1248"/>
        <w:gridCol w:w="661"/>
        <w:gridCol w:w="202"/>
        <w:gridCol w:w="1402"/>
        <w:gridCol w:w="2392"/>
        <w:gridCol w:w="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736" w:hRule="atLeast"/>
        </w:trPr>
        <w:tc>
          <w:tcPr>
            <w:tcW w:w="1037" w:type="dxa"/>
            <w:vAlign w:val="center"/>
          </w:tcPr>
          <w:p>
            <w:pPr>
              <w:pStyle w:val="9"/>
              <w:spacing w:before="193"/>
              <w:ind w:left="239"/>
              <w:jc w:val="center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3404" w:type="dxa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Times New Roman" w:eastAsia="宋体"/>
                <w:sz w:val="32"/>
                <w:lang w:val="en-US" w:eastAsia="zh-CN"/>
              </w:rPr>
            </w:pPr>
            <w:r>
              <w:rPr>
                <w:rFonts w:hint="eastAsia" w:ascii="Times New Roman"/>
                <w:sz w:val="32"/>
                <w:lang w:val="en-US" w:eastAsia="zh-CN"/>
              </w:rPr>
              <w:t>毕宁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pStyle w:val="9"/>
              <w:spacing w:before="193"/>
              <w:ind w:left="149"/>
              <w:jc w:val="center"/>
              <w:rPr>
                <w:sz w:val="28"/>
              </w:rPr>
            </w:pPr>
            <w:r>
              <w:rPr>
                <w:sz w:val="28"/>
              </w:rPr>
              <w:t>单位</w:t>
            </w:r>
          </w:p>
        </w:tc>
        <w:tc>
          <w:tcPr>
            <w:tcW w:w="3794" w:type="dxa"/>
            <w:gridSpan w:val="2"/>
            <w:vAlign w:val="center"/>
          </w:tcPr>
          <w:p>
            <w:pPr>
              <w:pStyle w:val="9"/>
              <w:jc w:val="center"/>
              <w:rPr>
                <w:rFonts w:hint="default" w:ascii="Times New Roman" w:eastAsia="宋体"/>
                <w:sz w:val="32"/>
                <w:lang w:val="en-US" w:eastAsia="zh-CN"/>
              </w:rPr>
            </w:pPr>
            <w:bookmarkStart w:id="0" w:name="_GoBack"/>
            <w:r>
              <w:rPr>
                <w:rFonts w:hint="eastAsia" w:ascii="Times New Roman"/>
                <w:sz w:val="32"/>
                <w:lang w:val="en-US" w:eastAsia="zh-CN"/>
              </w:rPr>
              <w:t>日照市东港区南湖镇中心小学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737" w:hRule="atLeast"/>
        </w:trPr>
        <w:tc>
          <w:tcPr>
            <w:tcW w:w="2432" w:type="dxa"/>
            <w:gridSpan w:val="2"/>
            <w:vAlign w:val="center"/>
          </w:tcPr>
          <w:p>
            <w:pPr>
              <w:pStyle w:val="9"/>
              <w:spacing w:before="193"/>
              <w:ind w:left="659"/>
              <w:jc w:val="left"/>
              <w:rPr>
                <w:sz w:val="28"/>
              </w:rPr>
            </w:pPr>
            <w:r>
              <w:rPr>
                <w:sz w:val="28"/>
              </w:rPr>
              <w:t>案例名称</w:t>
            </w:r>
          </w:p>
        </w:tc>
        <w:tc>
          <w:tcPr>
            <w:tcW w:w="6666" w:type="dxa"/>
            <w:gridSpan w:val="6"/>
            <w:vAlign w:val="center"/>
          </w:tcPr>
          <w:p>
            <w:pPr>
              <w:pStyle w:val="9"/>
              <w:jc w:val="center"/>
              <w:rPr>
                <w:rFonts w:ascii="Times New Roman"/>
                <w:sz w:val="32"/>
              </w:rPr>
            </w:pPr>
            <w:r>
              <w:rPr>
                <w:rFonts w:hint="eastAsia" w:ascii="Times New Roman"/>
                <w:sz w:val="32"/>
              </w:rPr>
              <w:t>用爱灌溉  静待花开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737" w:hRule="atLeast"/>
        </w:trPr>
        <w:tc>
          <w:tcPr>
            <w:tcW w:w="2432" w:type="dxa"/>
            <w:gridSpan w:val="2"/>
            <w:vAlign w:val="center"/>
          </w:tcPr>
          <w:p>
            <w:pPr>
              <w:pStyle w:val="9"/>
              <w:spacing w:before="193"/>
              <w:ind w:left="520"/>
              <w:jc w:val="left"/>
              <w:rPr>
                <w:sz w:val="28"/>
              </w:rPr>
            </w:pPr>
            <w:r>
              <w:rPr>
                <w:sz w:val="28"/>
              </w:rPr>
              <w:t>申报人职称</w:t>
            </w:r>
          </w:p>
        </w:tc>
        <w:tc>
          <w:tcPr>
            <w:tcW w:w="2670" w:type="dxa"/>
            <w:gridSpan w:val="3"/>
            <w:vAlign w:val="center"/>
          </w:tcPr>
          <w:p>
            <w:pPr>
              <w:pStyle w:val="9"/>
              <w:jc w:val="center"/>
              <w:rPr>
                <w:rFonts w:hint="default" w:ascii="Times New Roman" w:eastAsia="宋体"/>
                <w:sz w:val="32"/>
                <w:lang w:val="en-US" w:eastAsia="zh-CN"/>
              </w:rPr>
            </w:pPr>
            <w:r>
              <w:rPr>
                <w:rFonts w:hint="eastAsia" w:ascii="Times New Roman"/>
                <w:sz w:val="32"/>
                <w:lang w:val="en-US" w:eastAsia="zh-CN"/>
              </w:rPr>
              <w:t>二级教师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pStyle w:val="9"/>
              <w:spacing w:before="193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392" w:type="dxa"/>
            <w:vAlign w:val="center"/>
          </w:tcPr>
          <w:p>
            <w:pPr>
              <w:pStyle w:val="9"/>
              <w:jc w:val="center"/>
              <w:rPr>
                <w:rFonts w:hint="default" w:ascii="Times New Roman" w:eastAsia="宋体"/>
                <w:sz w:val="32"/>
                <w:lang w:val="en-US" w:eastAsia="zh-CN"/>
              </w:rPr>
            </w:pPr>
            <w:r>
              <w:rPr>
                <w:rFonts w:hint="eastAsia" w:ascii="Times New Roman"/>
                <w:sz w:val="32"/>
                <w:lang w:val="en-US" w:eastAsia="zh-CN"/>
              </w:rPr>
              <w:t>18963382309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6391" w:hRule="atLeast"/>
        </w:trPr>
        <w:tc>
          <w:tcPr>
            <w:tcW w:w="9098" w:type="dxa"/>
            <w:gridSpan w:val="8"/>
          </w:tcPr>
          <w:p>
            <w:pPr>
              <w:pStyle w:val="9"/>
              <w:spacing w:before="40"/>
              <w:ind w:left="112"/>
              <w:rPr>
                <w:sz w:val="28"/>
              </w:rPr>
            </w:pPr>
            <w:r>
              <w:rPr>
                <w:sz w:val="28"/>
              </w:rPr>
              <w:t>正文：</w:t>
            </w: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   随班就读生是需要接受特殊教育的学生在普通班就读，意在发挥集体教育的优势，在教师的正向干预下，通过同龄儿童的交往互助，让随班就读生在班级中感受关爱、帮助和激励，从而模仿、学习，形成积极健康向上的学习心理和行为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2019年9月新生入学，我的班上来了3名随班就读学生——两位王同学、一位刘同学，这三个孩子，两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是精神残疾二级，一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是身体残疾。三年了，回想我们互助相扶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一起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走过的日子，心中满是欣慰和感慨。 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三年前我从教第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年，还是一位年轻教师，也是第一次与特殊学生相处。我记得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首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次看见名单的时候心里满满的担忧，不知道他们的心理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性格特点，不知道怎么处理他们时而烦躁的脾气，不知道怎么引导他们适应正常的学习生活，更不知道怎么处理预想中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的学校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生活矛盾……虽然未知和担忧很多，但我知道只有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端正心态，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学习摸索，耐心的总结反思，才能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处理好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日后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朝夕相处。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对于特殊儿童，我最初的心态是要有一颗平常心，这些孩子是无辜的，甚至是可怜的，他们选择不了自己健康的身体和精神，来到世上要承受很多不理解的嫌弃、无声的谴责，甚至是直接的白眼，这些对孩子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们及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家长本就脆弱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精神是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次次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累积的打击，甚至会成为他们崩溃的导火索，我不想让他们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再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无辜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承受这些伤害，所以我慢慢沉下心来学着与他们相处，学着引导他们接受正常教育,避免由于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身体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特殊而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受到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伤害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经过大家共同的努力，我微笑地欣赏着现在特殊孩子们阳光又努力的珍贵灵魂，坦然又自在的生活在班集体中的状态。回首三年时光，我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总结了一点浅显的经验分享给大家。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    一、爱是最好的教育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    没有爱，便没有教育。特别是对那些有生理或心理缺陷的残疾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儿童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教师的爱就越发显得重要。我们班其中一位特殊的小女孩王同学，一年级来学校报到上学时孩子总是胆怯、偷偷地观察，探头探脑、时不时自言自语几句，这是一个智力发育不良的孩子，孩子单纯、呆滞的目光中却流露出一丝对学校集体生活的渴求。在接下来的教学中，我发现孩子的注意力难以集中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总是沉浸在自己的世界里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。同学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有人恶作剧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笑她、捉弄她，孩子逐渐有点怕上学。我到她家进行了家访，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家里的情况更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让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我揪心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，母亲先天智障、生活勉强自理，家中只有体弱的父亲一人既要打工挣钱，还要照顾什么都不懂的妻女，日子过得十分艰辛，我被深深触动了。回校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班会时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，我把了解的情况编成了故事讲给同学们听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孩子们听后都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难过，我问同学们：“对比自己弱小的人应该怎么办？”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大家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纷纷表示应该帮助他们。学习生活中偶尔有特别调皮的孩子欺负了弱小的同学，我总是疾言厉色的告诉全班同学，同学之间相处要如春风般温暖。在我们的班级不允许出现欺负同学的现象，将拳头挥向弱小的人是懦弱的，他不敢欺负去欺负强壮的人，欺负弱小的人，我们瞧不起这样的人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此后的日子，班里的孩子们做任何事都不会嫌弃特殊孩子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同学们做任务时总是带着几个特殊孩子，教她们一些力所能及的事。一次级部拔河比赛，我们全班参与了，每个组都带一名特殊儿童参加，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们加入到集体中，虽然他们有的不懂得拔河的要点，有的身体不协调，但是都很努力，孩子们都被感动了，同学们都在为他们加油呐喊，我也陪同她们一起加油。最终的结果，我们班赢了，我们是拔河比赛级部第一名，孩子们享受着成功的喜悦，不分你我，特殊的孩子们更是兴奋极了，跟同学们笑笑闹闹凑在一起，那一刻我觉得他们都是一样的。这一刻，我也更加懂得了，他们需要大家的关爱、帮助，更需要同龄伙伴的认可、理解，更需要点点成功的激励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在日后的生活中，孩子们总是不分你我，其乐融融。去食堂吃饭的时候，女孩子们总是领着不太能自理的另一位王同学，帮她找座位，取她爱吃的馒头，领着她回教室、去厕所，没有人会嫌弃她，反而孩子们亲切坦然的接受她、照顾她，把她当做大家庭里的妹妹一样共同照顾她、呵护她，我感谢我的孩子们，在这里我更深切的感受到我的孩子们身上本真刻骨的善良。从这群单纯真挚的孩子们身上，我也学到了很多，他们是那样温暖柔和得和王同学交流，谆谆善诱的引导她帮助她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作为她们的老师，我更要向他们学习，保持一颗质朴善良的初心面对所有的孩子，引导他们学习知识，养成好的生活习惯和态度。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介绍两位王同学比较多，因为她俩情况比较严重，引导好了普通孩子和她们相处，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刘同学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在我的心中眼中不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再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算是特殊的孩子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highlight w:val="none"/>
              </w:rPr>
              <w:t>除了极少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发生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highlight w:val="none"/>
              </w:rPr>
              <w:t>与同学间矛盾，需要特别呵护处理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</w:rPr>
              <w:t>我一直把他们当做普通孩子对待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highlight w:val="none"/>
              </w:rPr>
              <w:t>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二、信任和耐心是希望的种子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right="0" w:rightChars="0"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刘同学是精神残疾二级的男同学，但他是一个开朗的男孩，从一开学我就觉得他纯真的可爱。开学之初，我虽然意识到他有一些不一样，但我一直把他当普通孩子对待，在学习方面，我对他的要求不低于任何学生，他的表现也比较让人放心。日常与同学相处，刘同学比较容易记仇，和同学间细小的矛盾，他会真的记在心里，好几天之后也不能忘怀，在课上与同学争论，时常拿出来打报告，每当这个时候我都单独把他叫到办公室，细心地听他叙述，安抚他心里的“小受伤”，引导他原谅别人的不小心、远离有恶意的人，不要纠结，老师会解决这些问题，给他一些小礼物奖励他最近的进步，以后要继续改掉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坏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毛病。再问问刘同学最近的情况，继续鼓励一番，每每这时刘同学总是展开明朗的笑颜，我心里也美滋滋的，这时我们是最坚固的同盟！我喜欢他，他信任我，在日常的学习生活里，我们总能沟通畅达，我成为他最信任的人，日后的教育问题即迎刃而解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陶行知先生说过：“先生不应该专教书，他的责任是教人做人；学生不应该专读书，他的责任是学习人生之道。”学校不仅要为社会培养人才，更要培养具备正确价值观与良好生活心态的人。成功的教育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可以给予特殊孩子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以勇气和信心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迈入并适应社会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。作为教师对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随班就读生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首先要有信心，多给他们关心和爱护，对他们多一些表扬，少一些责备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批评，要常对他们说：“你能行，老师相信你。”“不要怕，大胆试一试。”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帮助他们建立起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自信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。平时多和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特殊孩子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谈心，了解他们的心理，倾听他们的心声。老师的重视、关怀和期待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对培养他们的自信心理品质起着重要的作用。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三、因“生”制宜的教学策略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“随班就读”教学中最难处理的就是如何在班集体中照顾学生的差异。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如何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在教学中有效地照顾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学生间的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差异，满足随班学生的特殊需求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是不易平衡的。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教师在为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随班就读学生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制定学习目标时，既要考虑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他们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与正常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学习目标的差异，又必须有一定的挑战性，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最重要的是目标要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处于随读生的最近发展区域。我们应从教学目标、教学内容、教学方法等方面研究探索，找出一套适合自己班级的、行之有效的教学策略。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对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特殊孩子们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既强调补缺，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又要激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发他们的潜能，不断提高自己的学习质量。在教学中，注意利用随读生的其他感官功能来补偿生理缺陷，有目的、有针对性的进行练习，因材施教，科学补偿，给予他们更多的激励与评价。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    四、家校同心，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携手共育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除了处理好随班就读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生的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生活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，也要和家长取得有效联系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对随班就读学生而言，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家庭教育是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最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重要的教育资源，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能家访时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尽量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去家访，不能家访时可以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用其他方式与家长保持密切的联系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不论通过什么途径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都要当着学生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面，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向家长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表扬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孩子们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在学校的进步，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减轻家长的焦虑心理，引导家长在家耐心教育。通过有效沟通，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教育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和家庭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教育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有机结合，更好地教育随班就读生，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唤起家长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 xml:space="preserve">为孩子的明天而共同努力的信心。 </w:t>
            </w:r>
          </w:p>
          <w:p>
            <w:pPr>
              <w:widowControl/>
              <w:spacing w:line="360" w:lineRule="auto"/>
              <w:ind w:firstLine="560"/>
              <w:jc w:val="left"/>
              <w:rPr>
                <w:rFonts w:hint="default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是树儿，总会发芽；是花儿，总会开花；是人，心中总有理想和追求。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随读生这棵小小幼苗，在教师和家庭的关爱与细心教导的培育下，定能满怀希望，挺拔成长，拥抱生机勃勃的未来。</w:t>
            </w:r>
          </w:p>
          <w:p>
            <w:pPr>
              <w:widowControl/>
              <w:spacing w:line="360" w:lineRule="auto"/>
              <w:ind w:firstLine="560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rPr>
                <w:sz w:val="28"/>
              </w:rPr>
            </w:pPr>
          </w:p>
          <w:p>
            <w:pPr>
              <w:pStyle w:val="9"/>
              <w:spacing w:before="40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2657" w:hRule="atLeast"/>
        </w:trPr>
        <w:tc>
          <w:tcPr>
            <w:tcW w:w="9098" w:type="dxa"/>
            <w:gridSpan w:val="8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宣传推广情况：</w:t>
            </w:r>
          </w:p>
          <w:p>
            <w:pPr>
              <w:spacing w:line="40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1.建设省级随班就读示范校，聘</w:t>
            </w:r>
            <w:r>
              <w:rPr>
                <w:rFonts w:hint="eastAsia"/>
                <w:sz w:val="28"/>
                <w:szCs w:val="28"/>
              </w:rPr>
              <w:t>请专家培训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教</w:t>
            </w:r>
            <w:r>
              <w:rPr>
                <w:rFonts w:hint="eastAsia"/>
                <w:sz w:val="28"/>
                <w:szCs w:val="28"/>
              </w:rPr>
              <w:t>师，并开展一系列讲座活动，提高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/>
                <w:sz w:val="28"/>
                <w:szCs w:val="28"/>
              </w:rPr>
              <w:t>专业能力。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2.通过</w:t>
            </w:r>
            <w:r>
              <w:rPr>
                <w:rFonts w:hint="eastAsia"/>
                <w:sz w:val="28"/>
                <w:szCs w:val="28"/>
                <w:lang w:eastAsia="zh-CN"/>
              </w:rPr>
              <w:t>“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南湖小学</w:t>
            </w:r>
            <w:r>
              <w:rPr>
                <w:rFonts w:hint="eastAsia"/>
                <w:sz w:val="28"/>
                <w:szCs w:val="28"/>
                <w:lang w:eastAsia="zh-CN"/>
              </w:rPr>
              <w:t>”</w:t>
            </w:r>
            <w:r>
              <w:rPr>
                <w:rFonts w:hint="eastAsia"/>
                <w:sz w:val="28"/>
                <w:szCs w:val="28"/>
              </w:rPr>
              <w:t>微信公众号，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匿名宣传我们的随班就读案例进展，</w:t>
            </w:r>
            <w:r>
              <w:rPr>
                <w:rFonts w:hint="eastAsia"/>
                <w:sz w:val="28"/>
                <w:szCs w:val="28"/>
              </w:rPr>
              <w:t>定期更新内容，为学生和家长提供专业的、全面的、系统的理论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指导。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</w:t>
            </w:r>
            <w:r>
              <w:rPr>
                <w:sz w:val="28"/>
                <w:szCs w:val="28"/>
              </w:rPr>
              <w:t>成立“</w:t>
            </w:r>
            <w:r>
              <w:rPr>
                <w:rFonts w:hint="eastAsia"/>
                <w:sz w:val="28"/>
                <w:szCs w:val="28"/>
              </w:rPr>
              <w:t>新父母</w:t>
            </w:r>
            <w:r>
              <w:rPr>
                <w:sz w:val="28"/>
                <w:szCs w:val="28"/>
              </w:rPr>
              <w:t>大讲堂”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特殊教育案例作为补充内容</w:t>
            </w:r>
            <w:r>
              <w:rPr>
                <w:sz w:val="28"/>
                <w:szCs w:val="28"/>
              </w:rPr>
              <w:t>搬进农家院，对家长进行指导。</w:t>
            </w: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9" w:hRule="atLeast"/>
        </w:trPr>
        <w:tc>
          <w:tcPr>
            <w:tcW w:w="319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所在学校意见</w:t>
            </w:r>
          </w:p>
          <w:p>
            <w:pPr>
              <w:pStyle w:val="9"/>
              <w:spacing w:before="40"/>
              <w:ind w:left="112"/>
              <w:jc w:val="center"/>
              <w:rPr>
                <w:sz w:val="28"/>
              </w:rPr>
            </w:pPr>
          </w:p>
        </w:tc>
        <w:tc>
          <w:tcPr>
            <w:tcW w:w="6017" w:type="dxa"/>
            <w:gridSpan w:val="6"/>
          </w:tcPr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年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月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日</w:t>
            </w: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2" w:type="dxa"/>
          <w:trHeight w:val="3090" w:hRule="atLeast"/>
        </w:trPr>
        <w:tc>
          <w:tcPr>
            <w:tcW w:w="319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县级教育行政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部门意见</w:t>
            </w:r>
          </w:p>
          <w:p>
            <w:pPr>
              <w:pStyle w:val="9"/>
              <w:spacing w:before="40"/>
              <w:ind w:left="112"/>
              <w:jc w:val="center"/>
              <w:rPr>
                <w:sz w:val="28"/>
              </w:rPr>
            </w:pPr>
          </w:p>
        </w:tc>
        <w:tc>
          <w:tcPr>
            <w:tcW w:w="590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年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月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日</w:t>
            </w:r>
          </w:p>
          <w:p>
            <w:pPr>
              <w:pStyle w:val="9"/>
              <w:spacing w:before="40"/>
              <w:ind w:left="112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5" w:hRule="atLeast"/>
        </w:trPr>
        <w:tc>
          <w:tcPr>
            <w:tcW w:w="319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市级教育行政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部门意见</w:t>
            </w:r>
          </w:p>
          <w:p>
            <w:pPr>
              <w:pStyle w:val="9"/>
              <w:spacing w:before="40"/>
              <w:ind w:left="112"/>
              <w:jc w:val="center"/>
              <w:rPr>
                <w:sz w:val="28"/>
              </w:rPr>
            </w:pPr>
          </w:p>
        </w:tc>
        <w:tc>
          <w:tcPr>
            <w:tcW w:w="6017" w:type="dxa"/>
            <w:gridSpan w:val="6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960" w:firstLineChars="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960" w:firstLineChars="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960" w:firstLineChars="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960" w:firstLineChars="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年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月 </w:t>
            </w:r>
            <w:r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日</w:t>
            </w:r>
          </w:p>
          <w:p>
            <w:pPr>
              <w:pStyle w:val="9"/>
              <w:spacing w:before="40"/>
              <w:ind w:left="112"/>
              <w:rPr>
                <w:rFonts w:hint="eastAsia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  <w:sectPr>
          <w:type w:val="continuous"/>
          <w:pgSz w:w="11910" w:h="16840"/>
          <w:pgMar w:top="1580" w:right="1180" w:bottom="280" w:left="1300" w:header="720" w:footer="720" w:gutter="0"/>
          <w:pgNumType w:fmt="decimal"/>
          <w:cols w:space="720" w:num="1"/>
        </w:sectPr>
      </w:pPr>
    </w:p>
    <w:p>
      <w:pPr>
        <w:keepNext w:val="0"/>
        <w:keepLines w:val="0"/>
        <w:widowControl/>
        <w:suppressLineNumbers w:val="0"/>
        <w:ind w:left="876" w:leftChars="398" w:firstLine="3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-399415</wp:posOffset>
                </wp:positionV>
                <wp:extent cx="1097280" cy="406400"/>
                <wp:effectExtent l="0" t="0" r="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9728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ascii="黑体" w:hAnsi="宋体" w:eastAsia="黑体" w:cs="黑体"/>
                                <w:color w:val="000000"/>
                                <w:kern w:val="0"/>
                                <w:sz w:val="31"/>
                                <w:szCs w:val="31"/>
                                <w:lang w:val="en-US" w:eastAsia="zh-CN" w:bidi="ar"/>
                              </w:rPr>
                              <w:t>附件2</w:t>
                            </w:r>
                          </w:p>
                          <w:p/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6pt;margin-top:-31.45pt;height:32pt;width:86.4pt;z-index:251659264;mso-width-relative:page;mso-height-relative:page;" fillcolor="#FFFFFF" filled="t" stroked="f" coordsize="21600,21600" o:gfxdata="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FgAAAGRycy9QSwECFAAU&#10;AAAACACHTuJAxFR3IdUAAAAIAQAADwAAAAAAAAABACAAAAA4AAAAZHJzL2Rvd25yZXYueG1sUEsB&#10;AhQAFAAAAAgAh07iQKzRBKqpAQAALwMAAA4AAAAAAAAAAQAgAAAAOgEAAGRycy9lMm9Eb2MueG1s&#10;UEsFBgAAAAAGAAYAWQEAAF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ascii="黑体" w:hAnsi="宋体" w:eastAsia="黑体" w:cs="黑体"/>
                          <w:color w:val="000000"/>
                          <w:kern w:val="0"/>
                          <w:sz w:val="31"/>
                          <w:szCs w:val="31"/>
                          <w:lang w:val="en-US" w:eastAsia="zh-CN" w:bidi="ar"/>
                        </w:rPr>
                        <w:t>附件2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送教上门、随班就读优秀案例申报汇总表</w:t>
      </w:r>
    </w:p>
    <w:p>
      <w:pPr>
        <w:keepNext w:val="0"/>
        <w:keepLines w:val="0"/>
        <w:widowControl/>
        <w:suppressLineNumbers w:val="0"/>
        <w:ind w:left="876" w:leftChars="398" w:firstLine="3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教育行政部门： </w:t>
      </w:r>
      <w:r>
        <w:rPr>
          <w:rFonts w:hint="eastAsia" w:cs="宋体"/>
          <w:color w:val="000000"/>
          <w:kern w:val="0"/>
          <w:sz w:val="28"/>
          <w:szCs w:val="28"/>
          <w:lang w:val="en-US" w:eastAsia="zh-CN" w:bidi="ar"/>
        </w:rPr>
        <w:t xml:space="preserve">日照市东港区南湖镇中心小学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报送负责人： </w:t>
      </w:r>
      <w:r>
        <w:rPr>
          <w:rFonts w:hint="eastAsia" w:cs="宋体"/>
          <w:color w:val="000000"/>
          <w:kern w:val="0"/>
          <w:sz w:val="28"/>
          <w:szCs w:val="28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联系电话：</w:t>
      </w:r>
    </w:p>
    <w:tbl>
      <w:tblPr>
        <w:tblStyle w:val="7"/>
        <w:tblW w:w="14218" w:type="dxa"/>
        <w:tblInd w:w="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778"/>
        <w:gridCol w:w="1870"/>
        <w:gridCol w:w="2870"/>
        <w:gridCol w:w="237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序号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案例名称</w:t>
            </w:r>
          </w:p>
        </w:tc>
        <w:tc>
          <w:tcPr>
            <w:tcW w:w="1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作者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作者单位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联系方式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用爱灌溉  静待花开</w:t>
            </w:r>
          </w:p>
        </w:tc>
        <w:tc>
          <w:tcPr>
            <w:tcW w:w="1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毕宁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日照市东港区南湖镇中心小学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18963382309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交流</w:t>
            </w:r>
            <w:r>
              <w:rPr>
                <w:rFonts w:hint="eastAsia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377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1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377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1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377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1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8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3"/>
                <w:szCs w:val="43"/>
                <w:vertAlign w:val="baseline"/>
                <w:lang w:val="en-US" w:eastAsia="zh-CN" w:bidi="ar"/>
              </w:rPr>
            </w:pPr>
          </w:p>
        </w:tc>
      </w:tr>
    </w:tbl>
    <w:p/>
    <w:sectPr>
      <w:footerReference r:id="rId6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YTY4NTFkYzU3ZGQ1ODcxMTVlMGIyYjViMmQzZjcifQ=="/>
  </w:docVars>
  <w:rsids>
    <w:rsidRoot w:val="54C27315"/>
    <w:rsid w:val="0A596532"/>
    <w:rsid w:val="0A6F4DD5"/>
    <w:rsid w:val="1A1575F4"/>
    <w:rsid w:val="1F1740AC"/>
    <w:rsid w:val="2574401A"/>
    <w:rsid w:val="28331C1B"/>
    <w:rsid w:val="2F505567"/>
    <w:rsid w:val="413C316D"/>
    <w:rsid w:val="4ADF3541"/>
    <w:rsid w:val="4C3B3827"/>
    <w:rsid w:val="4DC764ED"/>
    <w:rsid w:val="545C1B2C"/>
    <w:rsid w:val="54C27315"/>
    <w:rsid w:val="685709FA"/>
    <w:rsid w:val="719721EE"/>
    <w:rsid w:val="725B675D"/>
    <w:rsid w:val="76CD1C54"/>
    <w:rsid w:val="7E9B637A"/>
    <w:rsid w:val="FDABF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19"/>
      <w:ind w:left="115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3357</Words>
  <Characters>3383</Characters>
  <Lines>0</Lines>
  <Paragraphs>0</Paragraphs>
  <TotalTime>10</TotalTime>
  <ScaleCrop>false</ScaleCrop>
  <LinksUpToDate>false</LinksUpToDate>
  <CharactersWithSpaces>3513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2022-08-08T20:34:00Z</dcterms:created>
  <dc:creator>棉花</dc:creator>
  <cp:lastModifiedBy>hollpe</cp:lastModifiedBy>
  <dcterms:modified xsi:type="dcterms:W3CDTF">2022-12-07T17:21:00Z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B0BC8FA9AA394B74A46A409E00BD2132</vt:lpwstr>
  </property>
</Properties>
</file>