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31"/>
        <w:ind w:left="116"/>
        <w:rPr>
          <w:rFonts w:hint="eastAsia" w:ascii="黑体" w:hAnsi="黑体" w:eastAsia="黑体" w:cs="黑体"/>
          <w:sz w:val="24"/>
        </w:rPr>
      </w:pPr>
      <w:r>
        <w:rPr>
          <w:rFonts w:hint="eastAsia" w:ascii="黑体" w:hAnsi="黑体" w:eastAsia="黑体" w:cs="黑体"/>
        </w:rPr>
        <w:t>附件1</w:t>
      </w:r>
    </w:p>
    <w:p>
      <w:pPr>
        <w:pStyle w:val="3"/>
      </w:pPr>
      <w:r>
        <w:t>送教上门、随班就读优秀案例申报表</w:t>
      </w:r>
    </w:p>
    <w:p>
      <w:pPr>
        <w:pStyle w:val="4"/>
        <w:spacing w:before="16" w:after="1"/>
        <w:rPr>
          <w:rFonts w:ascii="方正小标宋简体"/>
          <w:sz w:val="24"/>
        </w:rPr>
      </w:pPr>
    </w:p>
    <w:tbl>
      <w:tblPr>
        <w:tblStyle w:val="7"/>
        <w:tblW w:w="8900" w:type="dxa"/>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7"/>
        <w:gridCol w:w="875"/>
        <w:gridCol w:w="2409"/>
        <w:gridCol w:w="90"/>
        <w:gridCol w:w="964"/>
        <w:gridCol w:w="1028"/>
        <w:gridCol w:w="25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1027" w:type="dxa"/>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pPr>
            <w:r>
              <w:rPr>
                <w:rFonts w:hint="eastAsia" w:ascii="楷体_GB2312" w:hAnsi="楷体_GB2312" w:eastAsia="楷体_GB2312" w:cs="楷体_GB2312"/>
                <w:sz w:val="28"/>
                <w:szCs w:val="28"/>
                <w:lang w:val="zh-CN" w:eastAsia="zh-CN" w:bidi="zh-CN"/>
              </w:rPr>
              <w:t>姓名</w:t>
            </w:r>
          </w:p>
        </w:tc>
        <w:tc>
          <w:tcPr>
            <w:tcW w:w="3374"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pPr>
            <w:r>
              <w:rPr>
                <w:rFonts w:hint="eastAsia" w:ascii="仿宋_GB2312" w:hAnsi="仿宋_GB2312" w:eastAsia="仿宋_GB2312" w:cs="仿宋_GB2312"/>
                <w:sz w:val="28"/>
                <w:szCs w:val="28"/>
                <w:lang w:val="zh-CN" w:eastAsia="zh-CN" w:bidi="zh-CN"/>
              </w:rPr>
              <w:t>王瑞霞  陈朝祎</w:t>
            </w:r>
          </w:p>
        </w:tc>
        <w:tc>
          <w:tcPr>
            <w:tcW w:w="964" w:type="dxa"/>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hint="eastAsia"/>
              </w:rPr>
            </w:pPr>
            <w:r>
              <w:rPr>
                <w:rFonts w:hint="eastAsia" w:ascii="楷体_GB2312" w:hAnsi="楷体_GB2312" w:eastAsia="楷体_GB2312" w:cs="楷体_GB2312"/>
                <w:sz w:val="28"/>
                <w:szCs w:val="28"/>
                <w:lang w:val="zh-CN" w:eastAsia="zh-CN" w:bidi="zh-CN"/>
              </w:rPr>
              <w:t>单位</w:t>
            </w:r>
          </w:p>
        </w:tc>
        <w:tc>
          <w:tcPr>
            <w:tcW w:w="3535"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hint="eastAsia"/>
                <w:lang w:val="en-US"/>
              </w:rPr>
            </w:pPr>
            <w:r>
              <w:rPr>
                <w:rFonts w:hint="eastAsia" w:ascii="仿宋_GB2312" w:hAnsi="仿宋_GB2312" w:eastAsia="仿宋_GB2312" w:cs="仿宋_GB2312"/>
                <w:sz w:val="28"/>
                <w:szCs w:val="28"/>
                <w:lang w:val="en-US" w:eastAsia="zh-CN" w:bidi="zh-CN"/>
              </w:rPr>
              <w:t>潍坊市实验小学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1902"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hint="eastAsia" w:ascii="楷体_GB2312" w:hAnsi="楷体_GB2312" w:eastAsia="楷体_GB2312" w:cs="楷体_GB2312"/>
                <w:sz w:val="28"/>
                <w:szCs w:val="28"/>
                <w:lang w:val="zh-CN" w:eastAsia="zh-CN" w:bidi="zh-CN"/>
              </w:rPr>
            </w:pPr>
            <w:r>
              <w:rPr>
                <w:rFonts w:hint="eastAsia" w:ascii="楷体_GB2312" w:hAnsi="楷体_GB2312" w:eastAsia="楷体_GB2312" w:cs="楷体_GB2312"/>
                <w:sz w:val="28"/>
                <w:szCs w:val="28"/>
                <w:lang w:val="zh-CN" w:eastAsia="zh-CN" w:bidi="zh-CN"/>
              </w:rPr>
              <w:t>案例名称</w:t>
            </w:r>
          </w:p>
        </w:tc>
        <w:tc>
          <w:tcPr>
            <w:tcW w:w="6998" w:type="dxa"/>
            <w:gridSpan w:val="5"/>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pPr>
            <w:r>
              <w:rPr>
                <w:rFonts w:hint="eastAsia" w:ascii="仿宋_GB2312" w:hAnsi="仿宋_GB2312" w:eastAsia="仿宋_GB2312" w:cs="仿宋_GB2312"/>
                <w:sz w:val="28"/>
                <w:szCs w:val="28"/>
                <w:lang w:val="zh-CN" w:eastAsia="zh-CN" w:bidi="zh-CN"/>
              </w:rPr>
              <w:t>实施“133”育人机制，培育阳光少年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1902"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hint="eastAsia" w:ascii="楷体_GB2312" w:hAnsi="楷体_GB2312" w:eastAsia="楷体_GB2312" w:cs="楷体_GB2312"/>
                <w:sz w:val="28"/>
                <w:szCs w:val="28"/>
                <w:lang w:val="zh-CN" w:eastAsia="zh-CN" w:bidi="zh-CN"/>
              </w:rPr>
            </w:pPr>
            <w:r>
              <w:rPr>
                <w:rFonts w:hint="eastAsia" w:ascii="楷体_GB2312" w:hAnsi="楷体_GB2312" w:eastAsia="楷体_GB2312" w:cs="楷体_GB2312"/>
                <w:sz w:val="28"/>
                <w:szCs w:val="28"/>
                <w:lang w:val="zh-CN" w:eastAsia="zh-CN" w:bidi="zh-CN"/>
              </w:rPr>
              <w:t>申报人职称</w:t>
            </w:r>
          </w:p>
        </w:tc>
        <w:tc>
          <w:tcPr>
            <w:tcW w:w="2409" w:type="dxa"/>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pPr>
            <w:r>
              <w:rPr>
                <w:rFonts w:hint="eastAsia" w:ascii="仿宋_GB2312" w:hAnsi="仿宋_GB2312" w:eastAsia="仿宋_GB2312" w:cs="仿宋_GB2312"/>
                <w:sz w:val="28"/>
                <w:szCs w:val="28"/>
                <w:lang w:val="zh-CN" w:eastAsia="zh-CN" w:bidi="zh-CN"/>
              </w:rPr>
              <w:t>高级教师</w:t>
            </w:r>
          </w:p>
        </w:tc>
        <w:tc>
          <w:tcPr>
            <w:tcW w:w="2082"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pPr>
            <w:r>
              <w:rPr>
                <w:rFonts w:hint="eastAsia" w:ascii="楷体_GB2312" w:hAnsi="楷体_GB2312" w:eastAsia="楷体_GB2312" w:cs="楷体_GB2312"/>
                <w:sz w:val="28"/>
                <w:szCs w:val="28"/>
                <w:lang w:val="zh-CN" w:eastAsia="zh-CN" w:bidi="zh-CN"/>
              </w:rPr>
              <w:t>联系电话</w:t>
            </w:r>
          </w:p>
        </w:tc>
        <w:tc>
          <w:tcPr>
            <w:tcW w:w="2507" w:type="dxa"/>
            <w:vAlign w:val="center"/>
          </w:tcPr>
          <w:p>
            <w:pPr>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hint="eastAsia"/>
              </w:rPr>
            </w:pPr>
            <w:r>
              <w:rPr>
                <w:rFonts w:hint="eastAsia" w:ascii="仿宋_GB2312" w:hAnsi="仿宋_GB2312" w:eastAsia="仿宋_GB2312" w:cs="仿宋_GB2312"/>
                <w:sz w:val="28"/>
                <w:szCs w:val="28"/>
                <w:lang w:val="zh-CN" w:eastAsia="zh-CN" w:bidi="zh-CN"/>
              </w:rPr>
              <w:t>13793606056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93" w:hRule="atLeast"/>
        </w:trPr>
        <w:tc>
          <w:tcPr>
            <w:tcW w:w="8900" w:type="dxa"/>
            <w:gridSpan w:val="7"/>
            <w:vAlign w:val="center"/>
          </w:tcPr>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潍坊市实验小学在随班就读工作中，秉承“全纳教育”理念，倾力关注特殊孩子“适应终身发展和社会发展需要的必备品格和关键能力”的培养。多年来，学校依托阳光育人研究中心，始终贯彻“阳光育人”一条主线，通过夯实“三项措施”，落实好“三个保障”，努力让每一个随班就读学生都成为最好的自己。</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firstLineChars="200"/>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一、一条主线，统领工作</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学校随班就读工作实践中，学校紧紧围绕“阳光育人”主线，面向每一个特殊个体、面向全程开展教育，尊重生命，呵护心灵，唤醒自觉，培养阳光可爱的孩子。阳光社团是学校阳光育人的重要载体和途径，它以学校资源教室为活动场地，资源教师联合班主任、任课老师、家长协同努力，选择适合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热心助人的同班同学和随班就读学生建立起“阳光互助”小组。在“阳光心理社团”活动中，以沙盘游戏、意象心理布偶游戏、感觉统合游戏等游戏方式为主要媒介，通过团体的人际交互作用，促使个体认识和探索自我，观察并接纳他人，学习新的态度与行为方式，发展良好适应的助人过程，以帮助特殊学生融入集体生活。还通过个体心理辅导、康复训练等辅助性活动，让</w:t>
            </w:r>
            <w:r>
              <w:rPr>
                <w:rFonts w:hint="eastAsia" w:ascii="仿宋_GB2312" w:hAnsi="仿宋_GB2312" w:eastAsia="仿宋_GB2312" w:cs="仿宋_GB2312"/>
                <w:sz w:val="28"/>
                <w:szCs w:val="28"/>
                <w:lang w:val="en-US" w:eastAsia="zh-CN"/>
              </w:rPr>
              <w:t>学生</w:t>
            </w:r>
            <w:r>
              <w:rPr>
                <w:rFonts w:hint="eastAsia" w:ascii="仿宋_GB2312" w:hAnsi="仿宋_GB2312" w:eastAsia="仿宋_GB2312" w:cs="仿宋_GB2312"/>
                <w:sz w:val="28"/>
                <w:szCs w:val="28"/>
              </w:rPr>
              <w:t>体会到归属感和伙伴关系的支持，逐渐融入到正常的学习环境中，健康快乐地成长。</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黑体" w:hAnsi="黑体" w:eastAsia="黑体" w:cs="黑体"/>
                <w:b/>
                <w:bCs/>
                <w:sz w:val="28"/>
                <w:szCs w:val="28"/>
              </w:rPr>
            </w:pPr>
            <w:r>
              <w:rPr>
                <w:rFonts w:hint="eastAsia" w:ascii="黑体" w:hAnsi="黑体" w:eastAsia="黑体" w:cs="黑体"/>
                <w:b/>
                <w:bCs/>
                <w:sz w:val="28"/>
                <w:szCs w:val="28"/>
              </w:rPr>
              <w:t>二、三项举措，增强工作实效</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仿宋_GB2312" w:hAnsi="仿宋_GB2312" w:eastAsia="仿宋_GB2312" w:cs="仿宋_GB2312"/>
                <w:b/>
                <w:bCs/>
                <w:sz w:val="28"/>
                <w:szCs w:val="28"/>
              </w:rPr>
            </w:pPr>
            <w:r>
              <w:rPr>
                <w:rFonts w:hint="eastAsia" w:ascii="楷体_GB2312" w:hAnsi="Calibri" w:eastAsia="楷体_GB2312" w:cs="Times New Roman"/>
                <w:b w:val="0"/>
                <w:bCs/>
                <w:kern w:val="2"/>
                <w:sz w:val="28"/>
                <w:szCs w:val="28"/>
                <w:lang w:val="en-US" w:eastAsia="zh-CN" w:bidi="ar-SA"/>
              </w:rPr>
              <w:t>（一）抓牢常规工作，提升专题探究水平</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随班就读作为学校的一项重点工作，</w:t>
            </w:r>
            <w:r>
              <w:rPr>
                <w:rFonts w:hint="eastAsia" w:ascii="仿宋_GB2312" w:hAnsi="仿宋_GB2312" w:eastAsia="仿宋_GB2312" w:cs="仿宋_GB2312"/>
                <w:sz w:val="28"/>
                <w:szCs w:val="28"/>
                <w:lang w:val="en-US" w:eastAsia="zh-CN"/>
              </w:rPr>
              <w:t>必须</w:t>
            </w:r>
            <w:r>
              <w:rPr>
                <w:rFonts w:hint="eastAsia" w:ascii="仿宋_GB2312" w:hAnsi="仿宋_GB2312" w:eastAsia="仿宋_GB2312" w:cs="仿宋_GB2312"/>
                <w:sz w:val="28"/>
                <w:szCs w:val="28"/>
              </w:rPr>
              <w:t>狠抓教学教研等常规项目的落实。</w:t>
            </w:r>
            <w:r>
              <w:rPr>
                <w:rFonts w:hint="eastAsia" w:ascii="仿宋_GB2312" w:hAnsi="仿宋_GB2312" w:eastAsia="仿宋_GB2312" w:cs="仿宋_GB2312"/>
                <w:sz w:val="28"/>
                <w:szCs w:val="28"/>
                <w:lang w:val="en-US" w:eastAsia="zh-CN"/>
              </w:rPr>
              <w:t>学校</w:t>
            </w:r>
            <w:r>
              <w:rPr>
                <w:rFonts w:hint="eastAsia" w:ascii="仿宋_GB2312" w:hAnsi="仿宋_GB2312" w:eastAsia="仿宋_GB2312" w:cs="仿宋_GB2312"/>
                <w:sz w:val="28"/>
                <w:szCs w:val="28"/>
              </w:rPr>
              <w:t>分管校长带领阳光育人研究中心联合教导处和德育处，</w:t>
            </w:r>
            <w:r>
              <w:rPr>
                <w:rFonts w:hint="eastAsia" w:ascii="仿宋_GB2312" w:hAnsi="仿宋_GB2312" w:eastAsia="仿宋_GB2312" w:cs="仿宋_GB2312"/>
                <w:sz w:val="28"/>
                <w:szCs w:val="28"/>
                <w:lang w:val="en-US" w:eastAsia="zh-CN"/>
              </w:rPr>
              <w:t>开展系列工作。</w:t>
            </w:r>
            <w:r>
              <w:rPr>
                <w:rFonts w:hint="eastAsia" w:ascii="仿宋_GB2312" w:hAnsi="仿宋_GB2312" w:eastAsia="仿宋_GB2312" w:cs="仿宋_GB2312"/>
                <w:sz w:val="28"/>
                <w:szCs w:val="28"/>
              </w:rPr>
              <w:t>一是开展随班就读校本教学研究，围绕随班就读课堂教学模式、特色课程建设、学生评价方式、学科融合教育等主题，做到定时间定人员定主题定形式，进行专题探究交流，全面推进学校随班就读教学研究。二是积极参加上级部门组织的各种教研培训活动，在每学期开展好校级随班就读观摩课、案例评选等基础上，择优参加市区教体局组织的优质课、课题研究、金点子评选等展评项目。</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楷体_GB2312" w:hAnsi="Calibri" w:eastAsia="楷体_GB2312" w:cs="Times New Roman"/>
                <w:b w:val="0"/>
                <w:bCs/>
                <w:kern w:val="2"/>
                <w:sz w:val="28"/>
                <w:szCs w:val="28"/>
                <w:lang w:val="en-US" w:eastAsia="zh-CN" w:bidi="ar-SA"/>
              </w:rPr>
            </w:pPr>
            <w:r>
              <w:rPr>
                <w:rFonts w:hint="eastAsia" w:ascii="楷体_GB2312" w:hAnsi="Calibri" w:eastAsia="楷体_GB2312" w:cs="Times New Roman"/>
                <w:b w:val="0"/>
                <w:bCs/>
                <w:kern w:val="2"/>
                <w:sz w:val="28"/>
                <w:szCs w:val="28"/>
                <w:lang w:val="en-US" w:eastAsia="zh-CN" w:bidi="ar-SA"/>
              </w:rPr>
              <w:t>（二）挖掘特教课程，量身定制课程套餐</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这个特殊群体中，个体学习需求各不相同。在阳光育人研究中心统调下，合育团队通过学情会商，充分尊重和遵循残疾学生身心特点和学习规律，为每一个残疾学生制定个别化教育计划。同时，从沟通交往、社会适应、基本生活技能、智力开发等领域着手研制课程内容，尽可能贴近随班就读学生的内心世界，量身定制适宜的个性化课程内容，注重潜能开发与缺陷补偿，着力培养生活劳动能力，使得这部分学生也能像正常儿童一样学习成长。</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施教的每份套餐中，增设的特殊课程是其重要组成部分。根据每一个不同个体所需，确定辅导活动课程内容，比如：心理异常的学生以心理治疗活动课程为主；身有残疾的学生主要开设康复训练活动课程内容；自理能力差的孩子开设生活技能课程，学习钉扣子、系鞋带、整理书包等基本生活能力；给性格闭塞，有沟通障碍的孩子开设交往能力训练课程，利用心理辅导室进行交往训练等等，以增强特殊学生教育的适宜性和有效性。</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仿宋_GB2312" w:hAnsi="仿宋_GB2312" w:eastAsia="仿宋_GB2312" w:cs="仿宋_GB2312"/>
                <w:b/>
                <w:bCs/>
                <w:sz w:val="28"/>
                <w:szCs w:val="28"/>
              </w:rPr>
            </w:pPr>
            <w:r>
              <w:rPr>
                <w:rFonts w:hint="eastAsia" w:ascii="楷体_GB2312" w:hAnsi="Calibri" w:eastAsia="楷体_GB2312" w:cs="Times New Roman"/>
                <w:b w:val="0"/>
                <w:bCs/>
                <w:kern w:val="2"/>
                <w:sz w:val="28"/>
                <w:szCs w:val="28"/>
                <w:lang w:val="en-US" w:eastAsia="zh-CN" w:bidi="ar-SA"/>
              </w:rPr>
              <w:t>（三）运用灵动施教方式，化难为易照顾个性</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充分照顾到每一个残疾学生的独特性，合育团队成员根据个别化教育计划，在落实各自的课程套餐过程中，选择适宜的教学组织形式，并科学转化教学方式，从而时时兼顾到残疾学生。任课教师根据每个孩子的教学起点和接受能力，采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集体授课一分层练习一个别辅导</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的思路、“伙伴合作、分层递进、激励成功”的方法、“三优（优先发言、优先展示、优先面批）三多（多一点关心、多一点辅导、多一点鼓励）”的策略，达到学习的最大效益化。</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源教师具体去落实每一个随班就读学生的个性化教育计划，编排个性课程表，实施校本特教课程内容。每周一、三、五下午，孩子们会到资源教室进行集中的康复训练。通过沙盘游戏、房树人绘画等进行康复训练，使康复训练更有针对性；通过测试，监控，跟踪，对症下药，对他们进行适当的心理辅导；进行随班就读团体活动，使学生释放情绪，学习团体合作，为融入社会打下基础。</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仿宋_GB2312" w:hAnsi="仿宋_GB2312" w:eastAsia="仿宋_GB2312" w:cs="仿宋_GB2312"/>
                <w:b/>
                <w:bCs/>
                <w:sz w:val="28"/>
                <w:szCs w:val="28"/>
              </w:rPr>
            </w:pPr>
            <w:r>
              <w:rPr>
                <w:rFonts w:hint="eastAsia" w:ascii="黑体" w:hAnsi="黑体" w:eastAsia="黑体" w:cs="黑体"/>
                <w:b w:val="0"/>
                <w:bCs w:val="0"/>
                <w:sz w:val="28"/>
                <w:szCs w:val="28"/>
              </w:rPr>
              <w:t>三、三个保障，助力工作提升</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仿宋_GB2312" w:hAnsi="仿宋_GB2312" w:eastAsia="仿宋_GB2312" w:cs="仿宋_GB2312"/>
                <w:b/>
                <w:bCs/>
                <w:sz w:val="28"/>
                <w:szCs w:val="28"/>
              </w:rPr>
            </w:pPr>
            <w:r>
              <w:rPr>
                <w:rFonts w:hint="eastAsia" w:ascii="楷体_GB2312" w:hAnsi="Calibri" w:eastAsia="楷体_GB2312" w:cs="Times New Roman"/>
                <w:b w:val="0"/>
                <w:bCs/>
                <w:kern w:val="2"/>
                <w:sz w:val="28"/>
                <w:szCs w:val="28"/>
                <w:lang w:val="en-US" w:eastAsia="zh-CN" w:bidi="ar-SA"/>
              </w:rPr>
              <w:t>（一）经费设施保障，做好资源教室建设</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校每年不仅把上级统一拨付的生均8000元专项资金用于资源教室购买各种设备，而且还自费投资打造高规格的资源教室，及时更新设备，完全符合省资源教室建设的标准。区域设置合理，设施配备齐全，康复训练仪器丰富，无障碍设施完善，资源教师可充分利用开展各种特殊教育专业服务。</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仿宋_GB2312" w:hAnsi="仿宋_GB2312" w:eastAsia="仿宋_GB2312" w:cs="仿宋_GB2312"/>
                <w:b/>
                <w:bCs/>
                <w:sz w:val="28"/>
                <w:szCs w:val="28"/>
              </w:rPr>
            </w:pPr>
            <w:r>
              <w:rPr>
                <w:rFonts w:hint="eastAsia" w:ascii="楷体_GB2312" w:hAnsi="Calibri" w:eastAsia="楷体_GB2312" w:cs="Times New Roman"/>
                <w:b w:val="0"/>
                <w:bCs/>
                <w:kern w:val="2"/>
                <w:sz w:val="28"/>
                <w:szCs w:val="28"/>
                <w:lang w:val="en-US" w:eastAsia="zh-CN" w:bidi="ar-SA"/>
              </w:rPr>
              <w:t>（二）专业师资保障，助力残障学生发展</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选配教师，专业素养过硬。学校每学年都会为随班就读学生选派具备特殊教育经验、富有仁爱之心的班主任和任课教师，组成随班就读教育研究团队，让每一个随班就读的学生都能享受到老师的无私关爱和专业帮助。作为专业性最强的资源教师，学校精挑了特别热衷于随班就读和心理健康教育工作的三位老师，都是国家二级心理咨询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奎文区随班就读专家团队核心成员。多年来三位资源教师一直担当此任，边从事随班就读探究边参加各类培训学习，积累了丰富的工作经验。</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强化培训，提升专业水平。学校把随班就读教师培养列入教师发展整体规划首要位置，定期邀请多名特教专家对全体教师进行通识培训。学校更重视对随班就读教师的专业培训，政策激励，筹集资金外派资源教师参加各级各类项目的培训学习，提高特殊教育能力。</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配备导师，服务全方位。学校在特殊教育中，实施“三导师制”，为每一位残障孩子配备了三名导师。其中，班主任是生活学习方面的导师，全面呵护学生成长；资源教师为第二导师，专门对这些残障学生长期施加专业的心理咨询辅导和康复训练。还有每位校级领导认领1—2名特殊学生，列为第三位导师，定期组织学情会商，确定培养计划与策略，负责学生成长规划。</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楷体_GB2312" w:hAnsi="Calibri" w:eastAsia="楷体_GB2312" w:cs="Times New Roman"/>
                <w:b w:val="0"/>
                <w:bCs/>
                <w:kern w:val="2"/>
                <w:sz w:val="28"/>
                <w:szCs w:val="28"/>
                <w:lang w:val="en-US" w:eastAsia="zh-CN" w:bidi="ar-SA"/>
              </w:rPr>
            </w:pPr>
            <w:r>
              <w:rPr>
                <w:rFonts w:hint="eastAsia" w:ascii="楷体_GB2312" w:hAnsi="Calibri" w:eastAsia="楷体_GB2312" w:cs="Times New Roman"/>
                <w:b w:val="0"/>
                <w:bCs/>
                <w:kern w:val="2"/>
                <w:sz w:val="28"/>
                <w:szCs w:val="28"/>
                <w:lang w:val="en-US" w:eastAsia="zh-CN" w:bidi="ar-SA"/>
              </w:rPr>
              <w:t>（三）管理机制保障，高效运行稳步发展</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一是机构专设。学校自2011年成立阳光育人研究中心，专门负责随班就读和心理健康工作，以“阳光育人”为主线，扎实推进工作开展，不断探索随班就读学生的管理模式和方法。</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机制完善。制定并完善相关制度，成立以校长任组长的随班就读工作领导小组，校长为第一责任人，全面负责并领导随班就读工作，构建了从校长到资源教师到随班就读学生的工作网络机制。随班就读作为重点发展项目纳入三年发展规划之中，深入推进随班就读研究。</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团队健全。学校组建随班就读工作的三个团队。其中，个别化教育计划制定与指导团队，科学合理制定个别化教育计划并指导实施。课程评估与实施团队，指导并监督教师开展各项工作，随时对随班就读学生的康复和成长情况进行评估和反馈。合育团队，以资源教师为核心，班主任、任课教师、学生家长全方位多角度参与，形成教育合力。</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四、精耕细作，铸就品牌特色</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校在随班就读教育方面深入的探究与实践，逐步形成了品牌和特色。一是开发了“1+N”心育课程体系。“1”是指心理健康教育地方课程，“N”是学校针对随班就读学生开发使用的所有校本个性化特需课程，满足所有随班就读学生个性需求。二是构建了“1+1+3”阳光育人辅导模式。其中包括“1”个心理辅导方式——阳光社团；“1”条“绿色通道”，随时随地为随班就读学生提供“绿色全程服务”；学校资源教师将意象对话、心理绘画以及沙盘游戏等多种方法进行有效融合，形成意象心理绘画、意象沙盘游戏治疗、团体心理游戏辅导“3”个相融合的心理辅导方法。</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firstLine="56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践引领发展，多年探索取得丰硕成果，先后有30多位特殊学生顺利毕业。听障学生发挥绘画特长并获奖，选择性缄默症2人开始自如表达，并以优异成绩升入初中，自闭症及智力障碍孩子情绪变得稳定，人际关系明显转好。</w:t>
            </w:r>
          </w:p>
        </w:tc>
      </w:tr>
    </w:tbl>
    <w:p>
      <w:pPr>
        <w:pStyle w:val="4"/>
        <w:keepNext w:val="0"/>
        <w:keepLines w:val="0"/>
        <w:pageBreakBefore w:val="0"/>
        <w:widowControl w:val="0"/>
        <w:kinsoku/>
        <w:wordWrap/>
        <w:overflowPunct/>
        <w:topLinePunct w:val="0"/>
        <w:autoSpaceDE w:val="0"/>
        <w:autoSpaceDN w:val="0"/>
        <w:bidi w:val="0"/>
        <w:adjustRightInd/>
        <w:snapToGrid/>
        <w:spacing w:line="600" w:lineRule="exact"/>
        <w:jc w:val="left"/>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val="0"/>
        <w:autoSpaceDN w:val="0"/>
        <w:bidi w:val="0"/>
        <w:adjustRightInd/>
        <w:snapToGrid/>
        <w:spacing w:before="89" w:line="600" w:lineRule="exact"/>
        <w:ind w:right="426"/>
        <w:jc w:val="left"/>
        <w:textAlignment w:val="auto"/>
        <w:rPr>
          <w:rFonts w:hint="eastAsia" w:ascii="仿宋_GB2312" w:hAnsi="仿宋_GB2312" w:eastAsia="仿宋_GB2312" w:cs="仿宋_GB2312"/>
          <w:sz w:val="28"/>
          <w:szCs w:val="28"/>
        </w:rPr>
        <w:sectPr>
          <w:pgSz w:w="11910" w:h="16840"/>
          <w:pgMar w:top="1580" w:right="1300" w:bottom="280" w:left="1300" w:header="720" w:footer="720" w:gutter="0"/>
          <w:cols w:space="720" w:num="1"/>
        </w:sectPr>
      </w:pPr>
    </w:p>
    <w:tbl>
      <w:tblPr>
        <w:tblStyle w:val="7"/>
        <w:tblW w:w="8977" w:type="dxa"/>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1"/>
        <w:gridCol w:w="6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2" w:hRule="atLeast"/>
        </w:trPr>
        <w:tc>
          <w:tcPr>
            <w:tcW w:w="8977" w:type="dxa"/>
            <w:gridSpan w:val="2"/>
          </w:tcPr>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7"/>
              <w:jc w:val="left"/>
              <w:textAlignment w:val="auto"/>
              <w:rPr>
                <w:rFonts w:hint="eastAsia" w:ascii="黑体" w:hAnsi="黑体" w:eastAsia="黑体" w:cs="黑体"/>
                <w:kern w:val="2"/>
                <w:sz w:val="28"/>
                <w:szCs w:val="28"/>
                <w:lang w:val="en-US" w:eastAsia="zh-CN" w:bidi="ar-SA"/>
              </w:rPr>
            </w:pPr>
            <w:bookmarkStart w:id="0" w:name="_GoBack"/>
            <w:r>
              <w:rPr>
                <w:rFonts w:hint="eastAsia" w:ascii="黑体" w:hAnsi="黑体" w:eastAsia="黑体" w:cs="黑体"/>
                <w:kern w:val="2"/>
                <w:sz w:val="28"/>
                <w:szCs w:val="28"/>
                <w:lang w:val="en-US" w:eastAsia="zh-CN" w:bidi="ar-SA"/>
              </w:rPr>
              <w:t>宣传推广情况：</w:t>
            </w:r>
          </w:p>
          <w:p>
            <w:pPr>
              <w:pStyle w:val="11"/>
              <w:keepNext w:val="0"/>
              <w:keepLines w:val="0"/>
              <w:pageBreakBefore w:val="0"/>
              <w:widowControl w:val="0"/>
              <w:kinsoku/>
              <w:wordWrap/>
              <w:overflowPunct/>
              <w:topLinePunct w:val="0"/>
              <w:autoSpaceDE w:val="0"/>
              <w:autoSpaceDN w:val="0"/>
              <w:bidi w:val="0"/>
              <w:adjustRightInd/>
              <w:snapToGrid/>
              <w:spacing w:before="39" w:line="460" w:lineRule="exact"/>
              <w:ind w:left="108" w:leftChars="49"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持久深入的研究与实践，学校随班就读工作在区域内充分发挥了示范引领作用，形成了良好的社会效益。每学期为来自全国各地的参观团介绍推广学校的随班就读教学经验做法，不少地区的学校就随班就读工作慕名而来，满载而归，学校在随班就读方面的经验做法得到了一定推广，产生了一定影响。学校被评为山东省随班就读示范校、潍坊市心理健康教育活动特色校、潍坊市心理学工作先进集体。随班就读教学经验先后在山东省特殊教育工作推介会、潍坊市骨干教师培训会上作典型推介。多项教学活动、案例荣获奎文区心理健康特色活动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3" w:hRule="atLeast"/>
        </w:trPr>
        <w:tc>
          <w:tcPr>
            <w:tcW w:w="2691" w:type="dxa"/>
          </w:tcPr>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jc w:val="center"/>
              <w:textAlignment w:val="auto"/>
              <w:rPr>
                <w:rFonts w:hint="eastAsia" w:ascii="楷体_GB2312" w:hAnsi="Calibri" w:eastAsia="楷体_GB2312" w:cs="仿宋"/>
                <w:kern w:val="2"/>
                <w:sz w:val="28"/>
                <w:szCs w:val="28"/>
                <w:lang w:val="en-US" w:eastAsia="zh-CN" w:bidi="ar-SA"/>
              </w:rPr>
            </w:pPr>
            <w:r>
              <w:rPr>
                <w:rFonts w:hint="eastAsia" w:ascii="楷体_GB2312" w:hAnsi="Calibri" w:eastAsia="楷体_GB2312" w:cs="仿宋"/>
                <w:kern w:val="2"/>
                <w:sz w:val="28"/>
                <w:szCs w:val="28"/>
                <w:lang w:val="en-US" w:eastAsia="zh-CN" w:bidi="ar-SA"/>
              </w:rPr>
              <w:t>所在学校意见</w:t>
            </w:r>
          </w:p>
        </w:tc>
        <w:tc>
          <w:tcPr>
            <w:tcW w:w="6286" w:type="dxa"/>
          </w:tcPr>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r>
              <w:rPr>
                <w:rFonts w:hint="eastAsia" w:ascii="楷体_GB2312" w:hAnsi="Calibri" w:eastAsia="楷体_GB2312" w:cs="仿宋"/>
                <w:kern w:val="2"/>
                <w:sz w:val="28"/>
                <w:szCs w:val="28"/>
                <w:lang w:val="en-US" w:eastAsia="zh-CN" w:bidi="ar-SA"/>
              </w:rPr>
              <w:t xml:space="preserve">          同   意</w:t>
            </w: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keepNext w:val="0"/>
              <w:keepLines w:val="0"/>
              <w:pageBreakBefore w:val="0"/>
              <w:widowControl w:val="0"/>
              <w:kinsoku/>
              <w:overflowPunct/>
              <w:topLinePunct w:val="0"/>
              <w:autoSpaceDE w:val="0"/>
              <w:autoSpaceDN w:val="0"/>
              <w:bidi w:val="0"/>
              <w:adjustRightInd/>
              <w:snapToGrid/>
              <w:spacing w:line="460" w:lineRule="exact"/>
              <w:ind w:right="640"/>
              <w:jc w:val="center"/>
              <w:textAlignment w:val="auto"/>
              <w:rPr>
                <w:rFonts w:eastAsia="楷体_GB2312"/>
                <w:sz w:val="28"/>
                <w:szCs w:val="28"/>
              </w:rPr>
            </w:pPr>
            <w:r>
              <w:rPr>
                <w:rFonts w:eastAsia="楷体_GB2312"/>
                <w:sz w:val="28"/>
                <w:szCs w:val="28"/>
              </w:rPr>
              <w:t xml:space="preserve">  </w:t>
            </w:r>
            <w:r>
              <w:rPr>
                <w:rFonts w:hint="eastAsia" w:eastAsia="楷体_GB2312"/>
                <w:sz w:val="28"/>
                <w:szCs w:val="28"/>
                <w:lang w:val="en-US" w:eastAsia="zh-CN"/>
              </w:rPr>
              <w:t xml:space="preserve">                    </w:t>
            </w:r>
            <w:r>
              <w:rPr>
                <w:rFonts w:eastAsia="楷体_GB2312"/>
                <w:sz w:val="28"/>
                <w:szCs w:val="28"/>
              </w:rPr>
              <w:t xml:space="preserve"> </w:t>
            </w:r>
            <w:r>
              <w:rPr>
                <w:rFonts w:hint="eastAsia" w:eastAsia="楷体_GB2312"/>
                <w:sz w:val="28"/>
                <w:szCs w:val="28"/>
                <w:lang w:val="en-US" w:eastAsia="zh-CN"/>
              </w:rPr>
              <w:t xml:space="preserve">    </w:t>
            </w:r>
            <w:r>
              <w:rPr>
                <w:rFonts w:hint="eastAsia" w:eastAsia="楷体_GB2312"/>
                <w:sz w:val="28"/>
                <w:szCs w:val="28"/>
              </w:rPr>
              <w:t>（盖章）</w:t>
            </w:r>
          </w:p>
          <w:p>
            <w:pPr>
              <w:pStyle w:val="11"/>
              <w:keepNext w:val="0"/>
              <w:keepLines w:val="0"/>
              <w:pageBreakBefore w:val="0"/>
              <w:widowControl w:val="0"/>
              <w:kinsoku/>
              <w:wordWrap w:val="0"/>
              <w:overflowPunct/>
              <w:topLinePunct w:val="0"/>
              <w:autoSpaceDE w:val="0"/>
              <w:autoSpaceDN w:val="0"/>
              <w:bidi w:val="0"/>
              <w:adjustRightInd/>
              <w:snapToGrid/>
              <w:spacing w:line="460" w:lineRule="exact"/>
              <w:jc w:val="right"/>
              <w:textAlignment w:val="auto"/>
              <w:rPr>
                <w:rFonts w:hint="default" w:eastAsia="楷体_GB2312"/>
                <w:sz w:val="28"/>
                <w:szCs w:val="28"/>
                <w:lang w:val="en-US" w:eastAsia="zh-CN"/>
              </w:rPr>
            </w:pPr>
            <w:r>
              <w:rPr>
                <w:rFonts w:hint="eastAsia" w:eastAsia="楷体_GB2312"/>
                <w:sz w:val="28"/>
                <w:szCs w:val="28"/>
                <w:lang w:val="en-US" w:eastAsia="zh-CN"/>
              </w:rPr>
              <w:t xml:space="preserve">   </w:t>
            </w:r>
          </w:p>
          <w:p>
            <w:pPr>
              <w:pStyle w:val="11"/>
              <w:keepNext w:val="0"/>
              <w:keepLines w:val="0"/>
              <w:pageBreakBefore w:val="0"/>
              <w:widowControl w:val="0"/>
              <w:kinsoku/>
              <w:overflowPunct/>
              <w:topLinePunct w:val="0"/>
              <w:autoSpaceDE w:val="0"/>
              <w:autoSpaceDN w:val="0"/>
              <w:bidi w:val="0"/>
              <w:adjustRightInd/>
              <w:snapToGrid/>
              <w:spacing w:line="460" w:lineRule="exact"/>
              <w:jc w:val="right"/>
              <w:textAlignment w:val="auto"/>
              <w:rPr>
                <w:sz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0" w:hRule="atLeast"/>
        </w:trPr>
        <w:tc>
          <w:tcPr>
            <w:tcW w:w="2691" w:type="dxa"/>
          </w:tcPr>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before="9"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ind w:left="784" w:right="492" w:hanging="281"/>
              <w:textAlignment w:val="auto"/>
              <w:rPr>
                <w:rFonts w:hint="eastAsia" w:ascii="楷体_GB2312" w:hAnsi="Calibri" w:eastAsia="楷体_GB2312" w:cs="仿宋"/>
                <w:kern w:val="2"/>
                <w:sz w:val="28"/>
                <w:szCs w:val="28"/>
                <w:lang w:val="en-US" w:eastAsia="zh-CN" w:bidi="ar-SA"/>
              </w:rPr>
            </w:pPr>
            <w:r>
              <w:rPr>
                <w:rFonts w:hint="eastAsia" w:ascii="楷体_GB2312" w:hAnsi="Calibri" w:eastAsia="楷体_GB2312" w:cs="仿宋"/>
                <w:kern w:val="2"/>
                <w:sz w:val="28"/>
                <w:szCs w:val="28"/>
                <w:lang w:val="en-US" w:eastAsia="zh-CN" w:bidi="ar-SA"/>
              </w:rPr>
              <w:t>县级教育行政部门意见</w:t>
            </w:r>
          </w:p>
        </w:tc>
        <w:tc>
          <w:tcPr>
            <w:tcW w:w="6286" w:type="dxa"/>
          </w:tcPr>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before="5" w:line="460" w:lineRule="exact"/>
              <w:textAlignment w:val="auto"/>
              <w:rPr>
                <w:rFonts w:hint="eastAsia" w:ascii="楷体_GB2312" w:hAnsi="Calibri" w:eastAsia="楷体_GB2312" w:cs="仿宋"/>
                <w:kern w:val="2"/>
                <w:sz w:val="28"/>
                <w:szCs w:val="28"/>
                <w:lang w:val="en-US" w:eastAsia="zh-CN" w:bidi="ar-SA"/>
              </w:rPr>
            </w:pPr>
          </w:p>
          <w:p>
            <w:pPr>
              <w:keepNext w:val="0"/>
              <w:keepLines w:val="0"/>
              <w:pageBreakBefore w:val="0"/>
              <w:widowControl w:val="0"/>
              <w:kinsoku/>
              <w:overflowPunct/>
              <w:topLinePunct w:val="0"/>
              <w:autoSpaceDE w:val="0"/>
              <w:autoSpaceDN w:val="0"/>
              <w:bidi w:val="0"/>
              <w:adjustRightInd/>
              <w:snapToGrid/>
              <w:spacing w:line="460" w:lineRule="exact"/>
              <w:ind w:right="640"/>
              <w:jc w:val="center"/>
              <w:textAlignment w:val="auto"/>
              <w:rPr>
                <w:rFonts w:eastAsia="楷体_GB2312"/>
                <w:sz w:val="28"/>
                <w:szCs w:val="28"/>
              </w:rPr>
            </w:pPr>
            <w:r>
              <w:rPr>
                <w:rFonts w:eastAsia="楷体_GB2312"/>
                <w:sz w:val="28"/>
                <w:szCs w:val="28"/>
              </w:rPr>
              <w:t xml:space="preserve">   </w:t>
            </w:r>
            <w:r>
              <w:rPr>
                <w:rFonts w:hint="eastAsia" w:eastAsia="楷体_GB2312"/>
                <w:sz w:val="28"/>
                <w:szCs w:val="28"/>
                <w:lang w:val="en-US" w:eastAsia="zh-CN"/>
              </w:rPr>
              <w:t xml:space="preserve">                          </w:t>
            </w:r>
            <w:r>
              <w:rPr>
                <w:rFonts w:hint="eastAsia" w:eastAsia="楷体_GB2312"/>
                <w:sz w:val="28"/>
                <w:szCs w:val="28"/>
              </w:rPr>
              <w:t>（盖章）</w:t>
            </w:r>
          </w:p>
          <w:p>
            <w:pPr>
              <w:pStyle w:val="11"/>
              <w:keepNext w:val="0"/>
              <w:keepLines w:val="0"/>
              <w:pageBreakBefore w:val="0"/>
              <w:widowControl w:val="0"/>
              <w:kinsoku/>
              <w:overflowPunct/>
              <w:topLinePunct w:val="0"/>
              <w:autoSpaceDE w:val="0"/>
              <w:autoSpaceDN w:val="0"/>
              <w:bidi w:val="0"/>
              <w:adjustRightInd/>
              <w:snapToGrid/>
              <w:spacing w:before="217" w:line="460" w:lineRule="exact"/>
              <w:ind w:left="144"/>
              <w:jc w:val="right"/>
              <w:textAlignment w:val="auto"/>
              <w:rPr>
                <w:rFonts w:hint="eastAsia" w:ascii="楷体_GB2312" w:hAnsi="Calibri" w:eastAsia="楷体_GB2312" w:cs="仿宋"/>
                <w:kern w:val="2"/>
                <w:sz w:val="28"/>
                <w:szCs w:val="28"/>
                <w:lang w:val="en-US" w:eastAsia="zh-CN" w:bidi="ar-SA"/>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7" w:hRule="atLeast"/>
        </w:trPr>
        <w:tc>
          <w:tcPr>
            <w:tcW w:w="2691" w:type="dxa"/>
          </w:tcPr>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jc w:val="center"/>
              <w:textAlignment w:val="auto"/>
              <w:rPr>
                <w:rFonts w:hint="eastAsia" w:ascii="楷体_GB2312" w:hAnsi="Calibri" w:eastAsia="楷体_GB2312" w:cs="仿宋"/>
                <w:kern w:val="2"/>
                <w:sz w:val="28"/>
                <w:szCs w:val="28"/>
                <w:lang w:val="en-US" w:eastAsia="zh-CN" w:bidi="ar-SA"/>
              </w:rPr>
            </w:pPr>
            <w:r>
              <w:rPr>
                <w:rFonts w:hint="eastAsia" w:ascii="楷体_GB2312" w:hAnsi="Calibri" w:eastAsia="楷体_GB2312" w:cs="仿宋"/>
                <w:kern w:val="2"/>
                <w:sz w:val="28"/>
                <w:szCs w:val="28"/>
                <w:lang w:val="en-US" w:eastAsia="zh-CN" w:bidi="ar-SA"/>
              </w:rPr>
              <w:t>市级教育行政</w:t>
            </w:r>
          </w:p>
          <w:p>
            <w:pPr>
              <w:pStyle w:val="11"/>
              <w:keepNext w:val="0"/>
              <w:keepLines w:val="0"/>
              <w:pageBreakBefore w:val="0"/>
              <w:widowControl w:val="0"/>
              <w:kinsoku/>
              <w:overflowPunct/>
              <w:topLinePunct w:val="0"/>
              <w:autoSpaceDE w:val="0"/>
              <w:autoSpaceDN w:val="0"/>
              <w:bidi w:val="0"/>
              <w:adjustRightInd/>
              <w:snapToGrid/>
              <w:spacing w:line="460" w:lineRule="exact"/>
              <w:jc w:val="center"/>
              <w:textAlignment w:val="auto"/>
              <w:rPr>
                <w:rFonts w:hint="eastAsia" w:ascii="楷体_GB2312" w:hAnsi="Calibri" w:eastAsia="楷体_GB2312" w:cs="仿宋"/>
                <w:kern w:val="2"/>
                <w:sz w:val="28"/>
                <w:szCs w:val="28"/>
                <w:lang w:val="en-US" w:eastAsia="zh-CN" w:bidi="ar-SA"/>
              </w:rPr>
            </w:pPr>
            <w:r>
              <w:rPr>
                <w:rFonts w:hint="eastAsia" w:ascii="楷体_GB2312" w:hAnsi="Calibri" w:eastAsia="楷体_GB2312" w:cs="仿宋"/>
                <w:kern w:val="2"/>
                <w:sz w:val="28"/>
                <w:szCs w:val="28"/>
                <w:lang w:val="en-US" w:eastAsia="zh-CN" w:bidi="ar-SA"/>
              </w:rPr>
              <w:t>部门意见</w:t>
            </w:r>
          </w:p>
        </w:tc>
        <w:tc>
          <w:tcPr>
            <w:tcW w:w="6286" w:type="dxa"/>
          </w:tcPr>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eastAsia" w:ascii="楷体_GB2312" w:hAnsi="Calibri" w:eastAsia="楷体_GB2312" w:cs="仿宋"/>
                <w:kern w:val="2"/>
                <w:sz w:val="28"/>
                <w:szCs w:val="28"/>
                <w:lang w:val="en-US" w:eastAsia="zh-CN" w:bidi="ar-SA"/>
              </w:rPr>
            </w:pPr>
          </w:p>
          <w:p>
            <w:pPr>
              <w:pStyle w:val="11"/>
              <w:keepNext w:val="0"/>
              <w:keepLines w:val="0"/>
              <w:pageBreakBefore w:val="0"/>
              <w:widowControl w:val="0"/>
              <w:kinsoku/>
              <w:overflowPunct/>
              <w:topLinePunct w:val="0"/>
              <w:autoSpaceDE w:val="0"/>
              <w:autoSpaceDN w:val="0"/>
              <w:bidi w:val="0"/>
              <w:adjustRightInd/>
              <w:snapToGrid/>
              <w:spacing w:line="460" w:lineRule="exact"/>
              <w:textAlignment w:val="auto"/>
              <w:rPr>
                <w:rFonts w:hint="default" w:ascii="楷体_GB2312" w:hAnsi="Calibri" w:eastAsia="楷体_GB2312" w:cs="仿宋"/>
                <w:kern w:val="2"/>
                <w:sz w:val="28"/>
                <w:szCs w:val="28"/>
                <w:lang w:val="en-US" w:eastAsia="zh-CN" w:bidi="ar-SA"/>
              </w:rPr>
            </w:pPr>
            <w:r>
              <w:rPr>
                <w:rFonts w:hint="eastAsia" w:ascii="楷体_GB2312" w:hAnsi="Calibri" w:eastAsia="楷体_GB2312" w:cs="仿宋"/>
                <w:kern w:val="2"/>
                <w:sz w:val="28"/>
                <w:szCs w:val="28"/>
                <w:lang w:val="en-US" w:eastAsia="zh-CN" w:bidi="ar-SA"/>
              </w:rPr>
              <w:t xml:space="preserve">      </w:t>
            </w:r>
          </w:p>
          <w:p>
            <w:pPr>
              <w:keepNext w:val="0"/>
              <w:keepLines w:val="0"/>
              <w:pageBreakBefore w:val="0"/>
              <w:widowControl w:val="0"/>
              <w:kinsoku/>
              <w:overflowPunct/>
              <w:topLinePunct w:val="0"/>
              <w:autoSpaceDE w:val="0"/>
              <w:autoSpaceDN w:val="0"/>
              <w:bidi w:val="0"/>
              <w:adjustRightInd/>
              <w:snapToGrid/>
              <w:spacing w:line="460" w:lineRule="exact"/>
              <w:ind w:right="640"/>
              <w:jc w:val="center"/>
              <w:textAlignment w:val="auto"/>
              <w:rPr>
                <w:rFonts w:eastAsia="楷体_GB2312"/>
                <w:sz w:val="28"/>
                <w:szCs w:val="28"/>
              </w:rPr>
            </w:pPr>
            <w:r>
              <w:rPr>
                <w:rFonts w:eastAsia="楷体_GB2312"/>
                <w:sz w:val="28"/>
                <w:szCs w:val="28"/>
              </w:rPr>
              <w:t xml:space="preserve">   </w:t>
            </w:r>
            <w:r>
              <w:rPr>
                <w:rFonts w:hint="eastAsia" w:eastAsia="楷体_GB2312"/>
                <w:sz w:val="28"/>
                <w:szCs w:val="28"/>
                <w:lang w:val="en-US" w:eastAsia="zh-CN"/>
              </w:rPr>
              <w:t xml:space="preserve">                          </w:t>
            </w:r>
            <w:r>
              <w:rPr>
                <w:rFonts w:hint="eastAsia" w:eastAsia="楷体_GB2312"/>
                <w:sz w:val="28"/>
                <w:szCs w:val="28"/>
              </w:rPr>
              <w:t>（盖章）</w:t>
            </w:r>
          </w:p>
          <w:p>
            <w:pPr>
              <w:pStyle w:val="11"/>
              <w:keepNext w:val="0"/>
              <w:keepLines w:val="0"/>
              <w:pageBreakBefore w:val="0"/>
              <w:widowControl w:val="0"/>
              <w:kinsoku/>
              <w:overflowPunct/>
              <w:topLinePunct w:val="0"/>
              <w:autoSpaceDE w:val="0"/>
              <w:autoSpaceDN w:val="0"/>
              <w:bidi w:val="0"/>
              <w:adjustRightInd/>
              <w:snapToGrid/>
              <w:spacing w:line="460" w:lineRule="exact"/>
              <w:jc w:val="right"/>
              <w:textAlignment w:val="auto"/>
              <w:rPr>
                <w:rFonts w:hint="eastAsia" w:eastAsia="楷体_GB2312"/>
                <w:sz w:val="28"/>
                <w:szCs w:val="28"/>
                <w:lang w:val="en-US" w:eastAsia="zh-CN"/>
              </w:rPr>
            </w:pPr>
            <w:r>
              <w:rPr>
                <w:rFonts w:hint="eastAsia" w:eastAsia="楷体_GB2312"/>
                <w:sz w:val="28"/>
                <w:szCs w:val="28"/>
                <w:lang w:val="en-US" w:eastAsia="zh-CN"/>
              </w:rPr>
              <w:t xml:space="preserve">     </w:t>
            </w:r>
          </w:p>
          <w:p>
            <w:pPr>
              <w:pStyle w:val="11"/>
              <w:keepNext w:val="0"/>
              <w:keepLines w:val="0"/>
              <w:pageBreakBefore w:val="0"/>
              <w:widowControl w:val="0"/>
              <w:kinsoku/>
              <w:overflowPunct/>
              <w:topLinePunct w:val="0"/>
              <w:autoSpaceDE w:val="0"/>
              <w:autoSpaceDN w:val="0"/>
              <w:bidi w:val="0"/>
              <w:adjustRightInd/>
              <w:snapToGrid/>
              <w:spacing w:line="460" w:lineRule="exact"/>
              <w:jc w:val="right"/>
              <w:textAlignment w:val="auto"/>
              <w:rPr>
                <w:rFonts w:hint="eastAsia" w:ascii="楷体_GB2312" w:hAnsi="Calibri" w:eastAsia="楷体_GB2312" w:cs="仿宋"/>
                <w:kern w:val="2"/>
                <w:sz w:val="28"/>
                <w:szCs w:val="28"/>
                <w:lang w:val="en-US" w:eastAsia="zh-CN" w:bidi="ar-SA"/>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bookmarkEnd w:id="0"/>
    </w:tbl>
    <w:p>
      <w:pPr>
        <w:pStyle w:val="4"/>
        <w:rPr>
          <w:rFonts w:ascii="Times New Roman"/>
          <w:sz w:val="20"/>
        </w:rPr>
      </w:pPr>
    </w:p>
    <w:p>
      <w:pPr>
        <w:pStyle w:val="4"/>
        <w:rPr>
          <w:rFonts w:ascii="Times New Roman"/>
          <w:sz w:val="20"/>
        </w:rPr>
      </w:pPr>
    </w:p>
    <w:p>
      <w:pPr>
        <w:ind w:right="3654"/>
        <w:rPr>
          <w:rFonts w:ascii="Times New Roman" w:hAnsi="Times New Roman"/>
          <w:sz w:val="28"/>
        </w:rPr>
      </w:pPr>
    </w:p>
    <w:sectPr>
      <w:pgSz w:w="11910" w:h="16840"/>
      <w:pgMar w:top="780" w:right="280" w:bottom="1200" w:left="11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CD2D3C"/>
    <w:rsid w:val="00377762"/>
    <w:rsid w:val="005E5565"/>
    <w:rsid w:val="0097196E"/>
    <w:rsid w:val="00B84C6D"/>
    <w:rsid w:val="00CA2FBB"/>
    <w:rsid w:val="00CD2D3C"/>
    <w:rsid w:val="0B932D58"/>
    <w:rsid w:val="0C892530"/>
    <w:rsid w:val="0E4C36E2"/>
    <w:rsid w:val="134E1213"/>
    <w:rsid w:val="14B93D5D"/>
    <w:rsid w:val="1BD93A95"/>
    <w:rsid w:val="222608A0"/>
    <w:rsid w:val="2246693F"/>
    <w:rsid w:val="3AC641C9"/>
    <w:rsid w:val="3F6A7B5D"/>
    <w:rsid w:val="46650825"/>
    <w:rsid w:val="47421AF6"/>
    <w:rsid w:val="47BC37ED"/>
    <w:rsid w:val="48E80A66"/>
    <w:rsid w:val="4D7E2ACB"/>
    <w:rsid w:val="51803456"/>
    <w:rsid w:val="54597EE1"/>
    <w:rsid w:val="57454278"/>
    <w:rsid w:val="57A72940"/>
    <w:rsid w:val="5AC65F63"/>
    <w:rsid w:val="5F0613D2"/>
    <w:rsid w:val="6AF34358"/>
    <w:rsid w:val="72102305"/>
    <w:rsid w:val="7B986EAC"/>
    <w:rsid w:val="7CD06AE6"/>
    <w:rsid w:val="7E463997"/>
    <w:rsid w:val="EDB43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line="751" w:lineRule="exact"/>
      <w:ind w:right="1"/>
      <w:jc w:val="center"/>
      <w:outlineLvl w:val="0"/>
    </w:pPr>
    <w:rPr>
      <w:rFonts w:ascii="方正小标宋简体" w:hAnsi="方正小标宋简体" w:eastAsia="方正小标宋简体" w:cs="方正小标宋简体"/>
      <w:sz w:val="44"/>
      <w:szCs w:val="44"/>
    </w:rPr>
  </w:style>
  <w:style w:type="paragraph" w:styleId="2">
    <w:name w:val="heading 2"/>
    <w:basedOn w:val="1"/>
    <w:next w:val="1"/>
    <w:qFormat/>
    <w:uiPriority w:val="9"/>
    <w:pPr>
      <w:keepLines/>
      <w:spacing w:before="120" w:after="120"/>
      <w:outlineLvl w:val="1"/>
    </w:pPr>
    <w:rPr>
      <w:rFonts w:ascii="Cambria" w:hAnsi="Cambria" w:cs="Times New Roman"/>
      <w:b/>
      <w:bCs/>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sz w:val="32"/>
      <w:szCs w:val="32"/>
    </w:rPr>
  </w:style>
  <w:style w:type="paragraph" w:styleId="5">
    <w:name w:val="footer"/>
    <w:basedOn w:val="1"/>
    <w:link w:val="13"/>
    <w:qFormat/>
    <w:uiPriority w:val="0"/>
    <w:pPr>
      <w:tabs>
        <w:tab w:val="center" w:pos="4153"/>
        <w:tab w:val="right" w:pos="8306"/>
      </w:tabs>
      <w:snapToGrid w:val="0"/>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customStyle="1" w:styleId="9">
    <w:name w:val="Table Normal"/>
    <w:unhideWhenUsed/>
    <w:qFormat/>
    <w:uiPriority w:val="2"/>
    <w:tblPr>
      <w:tblCellMar>
        <w:top w:w="0" w:type="dxa"/>
        <w:left w:w="0" w:type="dxa"/>
        <w:bottom w:w="0" w:type="dxa"/>
        <w:right w:w="0" w:type="dxa"/>
      </w:tblCellMar>
    </w:tblPr>
  </w:style>
  <w:style w:type="paragraph" w:customStyle="1" w:styleId="10">
    <w:name w:val="列出段落1"/>
    <w:basedOn w:val="1"/>
    <w:qFormat/>
    <w:uiPriority w:val="1"/>
  </w:style>
  <w:style w:type="paragraph" w:customStyle="1" w:styleId="11">
    <w:name w:val="Table Paragraph"/>
    <w:basedOn w:val="1"/>
    <w:qFormat/>
    <w:uiPriority w:val="1"/>
  </w:style>
  <w:style w:type="character" w:customStyle="1" w:styleId="12">
    <w:name w:val="页眉 Char"/>
    <w:basedOn w:val="8"/>
    <w:link w:val="6"/>
    <w:qFormat/>
    <w:uiPriority w:val="0"/>
    <w:rPr>
      <w:rFonts w:ascii="宋体" w:hAnsi="宋体" w:eastAsia="宋体" w:cs="宋体"/>
      <w:sz w:val="18"/>
      <w:szCs w:val="18"/>
      <w:lang w:val="zh-CN" w:bidi="zh-CN"/>
    </w:rPr>
  </w:style>
  <w:style w:type="character" w:customStyle="1" w:styleId="13">
    <w:name w:val="页脚 Char"/>
    <w:basedOn w:val="8"/>
    <w:link w:val="5"/>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Win10NeT.COM</Company>
  <Pages>5</Pages>
  <Words>522</Words>
  <Characters>2978</Characters>
  <Lines>24</Lines>
  <Paragraphs>6</Paragraphs>
  <TotalTime>3</TotalTime>
  <ScaleCrop>false</ScaleCrop>
  <LinksUpToDate>false</LinksUpToDate>
  <CharactersWithSpaces>3494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2022-08-09T15:15:00Z</dcterms:created>
  <dc:creator>文印2</dc:creator>
  <cp:lastModifiedBy>hollpe</cp:lastModifiedBy>
  <cp:lastPrinted>2022-08-11T12:18:00Z</cp:lastPrinted>
  <dcterms:modified xsi:type="dcterms:W3CDTF">2022-10-18T10:22:53Z</dcterms:modified>
  <dc:title>山东省教育厅</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2022-07-27T00:00:00Z</vt:filetime>
  </property>
  <property fmtid="{D5CDD505-2E9C-101B-9397-08002B2CF9AE}" pid="3" name="Creator">
    <vt:lpwstr>Microsoft® Word 2016</vt:lpwstr>
  </property>
  <property fmtid="{D5CDD505-2E9C-101B-9397-08002B2CF9AE}" pid="4" name="LastSaved">
    <vt:filetime>2022-08-09T00:00:00Z</vt:filetime>
  </property>
  <property fmtid="{D5CDD505-2E9C-101B-9397-08002B2CF9AE}" pid="5" name="KSOProductBuildVer">
    <vt:lpwstr>2052-11.8.2.10337</vt:lpwstr>
  </property>
  <property fmtid="{D5CDD505-2E9C-101B-9397-08002B2CF9AE}" pid="6" name="ICV">
    <vt:lpwstr>D5B05726FF6E4F6AB2652B490C95F3DB</vt:lpwstr>
  </property>
</Properties>
</file>