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C7E" w:rsidRDefault="007C4C7E" w:rsidP="007C4C7E">
      <w:pPr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附件1</w:t>
      </w:r>
    </w:p>
    <w:p w:rsidR="007C4C7E" w:rsidRDefault="007C4C7E" w:rsidP="007C4C7E">
      <w:pPr>
        <w:spacing w:line="660" w:lineRule="exact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p w:rsidR="007C4C7E" w:rsidRDefault="007C4C7E" w:rsidP="007C4C7E">
      <w:pPr>
        <w:spacing w:line="540" w:lineRule="exact"/>
        <w:jc w:val="center"/>
        <w:rPr>
          <w:rFonts w:ascii="方正小标宋简体" w:eastAsia="方正小标宋简体" w:hAnsi="宋体" w:cs="宋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部省</w:t>
      </w:r>
      <w:r>
        <w:rPr>
          <w:rFonts w:ascii="方正小标宋简体" w:eastAsia="方正小标宋简体" w:hAnsi="宋体" w:cs="宋体"/>
          <w:bCs/>
          <w:color w:val="000000"/>
          <w:kern w:val="0"/>
          <w:sz w:val="44"/>
          <w:szCs w:val="44"/>
        </w:rPr>
        <w:t>共建国家</w:t>
      </w:r>
      <w:r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职业教育创新发展高地</w:t>
      </w:r>
    </w:p>
    <w:p w:rsidR="007C4C7E" w:rsidRDefault="007C4C7E" w:rsidP="007C4C7E">
      <w:pPr>
        <w:spacing w:line="540" w:lineRule="exact"/>
        <w:jc w:val="center"/>
        <w:rPr>
          <w:rFonts w:ascii="方正小标宋简体" w:eastAsia="方正小标宋简体" w:hAnsi="宋体" w:cs="宋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研究课题指南</w:t>
      </w:r>
    </w:p>
    <w:p w:rsidR="007C4C7E" w:rsidRDefault="007C4C7E" w:rsidP="007C4C7E">
      <w:pPr>
        <w:spacing w:line="540" w:lineRule="exact"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7C4C7E" w:rsidRDefault="007C4C7E" w:rsidP="007C4C7E">
      <w:pPr>
        <w:spacing w:line="540" w:lineRule="exact"/>
        <w:ind w:firstLineChars="200" w:firstLine="640"/>
        <w:rPr>
          <w:rFonts w:ascii="黑体" w:eastAsia="黑体" w:hAnsi="黑体" w:cs="黑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</w:rPr>
        <w:t>一、全面落实高度重视、加快发展的总要求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1.加强党对职业教育全面领导的研究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2.中国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特色职业教育制度和模式研究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3.职业教育提质培优、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增值赋能研究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教育整省推进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战略重点、实施策略与路径研究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.多元共治的职业教育管理体系研究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.高职院校干部队伍建设研究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.技工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院校与其他各类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职业院校融合发展研究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8.理顺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职业教育管理体制研究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28"/>
          <w:shd w:val="clear" w:color="auto" w:fill="FFFFFF"/>
        </w:rPr>
        <w:t>9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.职业院校办学自主权研究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10.职业院校治理体系和治理能力现代化研究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.职业教育财政分担扶持机制研究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12.十八大以来职业教育改革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发展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“山东模式”研究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黑体" w:eastAsia="黑体" w:hAnsi="黑体" w:cs="黑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</w:rPr>
        <w:t>二、创新各层次各类型职业教育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.各层次各类型职业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教育衔接研究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14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.基于类型教育属性的职业教育人才培养体系研究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15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.中等职业教育基础地位研究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16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.中等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职业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教育与普通高中教育互通机制研究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lastRenderedPageBreak/>
        <w:t>17.地方本科高校向应用型本科高校转型发展研究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18.本科层次职业教育研究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19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.高端技术技能人才长学制培养模式研究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20.“质量型”高职扩招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21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.高层次应用型人才培养体系研究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22.产学研用结合为途径的专业学位研究生培养模式研究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23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.职业教育高质量培训体系研究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24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.“职教高考”制度研究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黑体" w:eastAsia="黑体" w:hAnsi="黑体" w:cs="黑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</w:rPr>
        <w:t>三、提升职业院校办学水平和服务能力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25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.职业教育服务国家和区域重大战略发展研究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.职业教育推进“三教”改革研究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27.高水平高职学校和专业（群）建设研究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28.高水平中职学校和专业（群）建设研究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29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.优质中职举办五年制高职教育研究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30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.职业教育专业认证、质量评价、专业预警调控机制研究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31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.中等职业教育专业教学标准建设研究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32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.高等职业教育专业教学标准建设研究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33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.职业院校教师教学创新团队建设研究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34.职业教育新型教材建设研究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35.中等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职业教育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教学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用书选用制度研究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36.高职院校学分制改革研究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37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.职业教育专业教学资源库和在线开放精品课程建设和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使用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38.1+X证书制度和资历框架制度山东实践研究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39.山东省学分银行建设研究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40.基于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能力标准的普通教育、职业教育、继续教育间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学习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成果的认定、学分积累和转换研究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41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.职业教育评价机制研究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42.职业院校技能大赛开放性、普及性机制研究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黑体" w:eastAsia="黑体" w:hAnsi="黑体" w:cs="黑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</w:rPr>
        <w:t>四、建设产教深度融合的校企命运共同体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43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.职业教育产教融合、校企合作研究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44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.职业院校股份制、混合所有制改革研究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45.产教融合型城市建设研究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46.产教融合型企业建设研究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47.产教融合示范区（园）建设研究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48.大型智能（仿真）实习实训基地建设研究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49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.发挥企业重要办学主体作用的政策研究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50.基于产教融合的产业学院建设研究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51.职业教育集团实体化运作模式与机制研究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黑体" w:eastAsia="黑体" w:hAnsi="黑体" w:cs="黑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</w:rPr>
        <w:t>五、建设充满活力的“双师型”教师队伍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52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.职业院校“双师型”教师队伍建设研究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53.职业技术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教育师资培养培训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体系研究</w:t>
      </w:r>
    </w:p>
    <w:p w:rsidR="007C4C7E" w:rsidRDefault="007C4C7E" w:rsidP="007C4C7E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54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.职业技术师范大学建设研究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55.职业院校教师能力标准和评价体系建设研究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.职业院校兼职教师队伍建设研究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57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.职业院校教师绩效工资制度研究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58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.职业院校教师技术服务和社会服务支持政策研究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六、扩大和深化职业教育对外开放合作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59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.职业教育国际化研究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.职业教育中外合作办学模式研究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.中国特色“双元制”模式建设研究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62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.职业技能等级证书国际化研究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.职业教育国际通用的专业标准和课程体系建设研究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.“鲁班工坊”建设研究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.各国典型的职业教育模式研究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七、营造技术技能人才成长的良好环境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.技术技能人才成长发展渠道研究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67.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产业转型升级背景下的职业人才供需研究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68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.职业教育教研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体系研究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69.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职业</w:t>
      </w: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教育研究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人才队伍建设研究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0.山东职业教育高端智库建设研究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71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.山东省职业教育法律制度体系建设研究</w:t>
      </w: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72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.齐鲁职业教育文化研究</w:t>
      </w:r>
    </w:p>
    <w:p w:rsidR="007C4C7E" w:rsidRDefault="007C4C7E" w:rsidP="007C4C7E">
      <w:pPr>
        <w:spacing w:line="540" w:lineRule="exac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</w:p>
    <w:p w:rsidR="007C4C7E" w:rsidRDefault="007C4C7E" w:rsidP="007C4C7E">
      <w:pPr>
        <w:spacing w:line="540" w:lineRule="exact"/>
        <w:ind w:firstLineChars="200" w:firstLine="640"/>
        <w:rPr>
          <w:rFonts w:ascii="仿宋_GB2312" w:eastAsia="仿宋_GB2312" w:hAnsi="黑体" w:cs="宋体"/>
          <w:bCs/>
          <w:color w:val="000000"/>
          <w:kern w:val="0"/>
          <w:sz w:val="32"/>
          <w:szCs w:val="32"/>
        </w:rPr>
        <w:sectPr w:rsidR="007C4C7E">
          <w:pgSz w:w="11906" w:h="16838"/>
          <w:pgMar w:top="2041" w:right="1531" w:bottom="1985" w:left="1531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备注</w:t>
      </w:r>
      <w:r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：</w:t>
      </w:r>
      <w:r>
        <w:rPr>
          <w:rFonts w:ascii="仿宋_GB2312" w:eastAsia="仿宋_GB2312" w:hAnsi="黑体" w:cs="宋体" w:hint="eastAsia"/>
          <w:bCs/>
          <w:color w:val="000000"/>
          <w:kern w:val="0"/>
          <w:sz w:val="32"/>
          <w:szCs w:val="32"/>
        </w:rPr>
        <w:t>遴选确定研究课题时，原则上每项课题由一个牵头单位承担，因此：各申报单位要整合力量，结合自身优势申报；注意错位申报，避免过度集中于少数课题；对没有申报的课题，采取直接委托的方式开展工作。</w:t>
      </w:r>
    </w:p>
    <w:p w:rsidR="00DA1517" w:rsidRPr="007C4C7E" w:rsidRDefault="00DA1517">
      <w:bookmarkStart w:id="0" w:name="_GoBack"/>
      <w:bookmarkEnd w:id="0"/>
    </w:p>
    <w:sectPr w:rsidR="00DA1517" w:rsidRPr="007C4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858" w:rsidRDefault="00000858" w:rsidP="007C4C7E">
      <w:r>
        <w:separator/>
      </w:r>
    </w:p>
  </w:endnote>
  <w:endnote w:type="continuationSeparator" w:id="0">
    <w:p w:rsidR="00000858" w:rsidRDefault="00000858" w:rsidP="007C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858" w:rsidRDefault="00000858" w:rsidP="007C4C7E">
      <w:r>
        <w:separator/>
      </w:r>
    </w:p>
  </w:footnote>
  <w:footnote w:type="continuationSeparator" w:id="0">
    <w:p w:rsidR="00000858" w:rsidRDefault="00000858" w:rsidP="007C4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C3"/>
    <w:rsid w:val="00000858"/>
    <w:rsid w:val="004C4AC3"/>
    <w:rsid w:val="007C4C7E"/>
    <w:rsid w:val="00DA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D92DA7-6B8B-4FCD-8082-427A2BB43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C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4C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4C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4C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4C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248</Words>
  <Characters>1420</Characters>
  <Application>Microsoft Office Word</Application>
  <DocSecurity>0</DocSecurity>
  <Lines>11</Lines>
  <Paragraphs>3</Paragraphs>
  <ScaleCrop>false</ScaleCrop>
  <Company>神州网信技术有限公司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2020-05-06T01:11:00Z</dcterms:created>
  <dcterms:modified xsi:type="dcterms:W3CDTF">2020-05-06T01:12:00Z</dcterms:modified>
</cp:coreProperties>
</file>