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黑体" w:hAnsi="黑体" w:eastAsia="黑体"/>
          <w:szCs w:val="32"/>
        </w:rPr>
      </w:pPr>
      <w:r>
        <w:rPr>
          <w:rFonts w:ascii="黑体" w:hAnsi="黑体" w:eastAsia="黑体"/>
          <w:szCs w:val="32"/>
        </w:rPr>
        <w:t>附件4</w:t>
      </w:r>
    </w:p>
    <w:p>
      <w:pPr>
        <w:overflowPunct w:val="0"/>
        <w:snapToGrid w:val="0"/>
        <w:jc w:val="center"/>
        <w:rPr>
          <w:rFonts w:ascii="Times New Roman" w:eastAsia="方正小标宋简体"/>
          <w:sz w:val="44"/>
          <w:szCs w:val="44"/>
        </w:rPr>
      </w:pPr>
      <w:bookmarkStart w:id="0" w:name="_GoBack"/>
      <w:r>
        <w:rPr>
          <w:rFonts w:ascii="Times New Roman" w:eastAsia="方正小标宋简体"/>
          <w:sz w:val="44"/>
          <w:szCs w:val="44"/>
        </w:rPr>
        <w:t>参赛材料及有关要求</w:t>
      </w:r>
    </w:p>
    <w:bookmarkEnd w:id="0"/>
    <w:p>
      <w:pPr>
        <w:spacing w:line="400" w:lineRule="exact"/>
        <w:ind w:firstLine="632" w:firstLineChars="200"/>
        <w:rPr>
          <w:rFonts w:ascii="Times New Roman" w:eastAsia="黑体"/>
          <w:bCs/>
        </w:rPr>
      </w:pPr>
    </w:p>
    <w:p>
      <w:pPr>
        <w:spacing w:line="580" w:lineRule="exact"/>
        <w:ind w:firstLine="632" w:firstLineChars="200"/>
        <w:rPr>
          <w:rFonts w:ascii="Times New Roman" w:eastAsia="黑体"/>
          <w:bCs/>
        </w:rPr>
      </w:pPr>
      <w:r>
        <w:rPr>
          <w:rFonts w:ascii="Times New Roman" w:eastAsia="黑体"/>
          <w:bCs/>
        </w:rPr>
        <w:t>一、班级建设方案</w:t>
      </w:r>
    </w:p>
    <w:p>
      <w:pPr>
        <w:overflowPunct w:val="0"/>
        <w:spacing w:line="580" w:lineRule="exact"/>
        <w:ind w:firstLine="632" w:firstLineChars="200"/>
      </w:pPr>
      <w:r>
        <w:rPr>
          <w:rFonts w:hint="eastAsia"/>
        </w:rPr>
        <w:t>参赛选手根据中等职业学校学生德育与思想政治教育、人才培养等有关规定和要求，结合班级实际情况，撰写目前所带班级建班育人实践中使用的完整中职阶段（中职班为入学到毕业全过程，五年制高职班为前三年级）班级建设方案，推进建班育人。班级建设方案应包括但不限于班级情况分析、班级建设目标、建设内容、主要措施、活动安排等要素。</w:t>
      </w:r>
    </w:p>
    <w:p>
      <w:pPr>
        <w:overflowPunct w:val="0"/>
        <w:spacing w:line="580" w:lineRule="exact"/>
        <w:ind w:firstLine="632" w:firstLineChars="200"/>
      </w:pPr>
      <w:r>
        <w:rPr>
          <w:rFonts w:hint="eastAsia"/>
        </w:rPr>
        <w:t>班级情况分析应在了解每一名学生入学时的家庭情况、身心健康状况、思想状况、个性特点、学业基础、爱好特长、人际关系、发展诉求等的基础上，结合学生所学专业，简要分析班级特点，提出建班育人实践中需要重点关注的工作领域、学生个体，可能面临的困难和需要重点解决的问题，并提供班级学生基本情况表（如下表所示）。班级建设目标，要根据党和国家对高中阶段学生培养的共性要求、学生终身成长和可持续发展的需要、技术技能人才培养实际，注重因材施教，从班集体整体发展、班级学生个性成长和多样成才等方面提出科学合理、可行有效的目标。班级建设内容包含但不限于理想信念教育、爱国主义教育、传承中华优秀传统文化、劳动教育、心理健康教育、班风学风建设、学生思想政治工作、职业指导、家校共育、校企共育等方面内容，设计合理、重点突出、规范完整、详略得当，能够有效指导建班育人工作，应当侧重体现具体的班级建设内容和过程安排。中文字符不超过5000字（不含《班级学生基本情况表》，文末注明正文“中文字符统计数”，下同），插入的图表应有针对性、有效性，文字清晰可见，图表合计不超过12张，单张图表原则上不超过半页。</w:t>
      </w:r>
    </w:p>
    <w:p>
      <w:pPr>
        <w:overflowPunct w:val="0"/>
        <w:jc w:val="center"/>
        <w:rPr>
          <w:rFonts w:ascii="Times New Roman" w:eastAsia="方正小标宋简体"/>
          <w:sz w:val="28"/>
          <w:szCs w:val="28"/>
        </w:rPr>
      </w:pPr>
      <w:r>
        <w:rPr>
          <w:rFonts w:ascii="Times New Roman" w:eastAsia="方正小标宋简体"/>
          <w:sz w:val="28"/>
          <w:szCs w:val="28"/>
        </w:rPr>
        <w:t>班级学生基本情况表</w:t>
      </w: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968"/>
        <w:gridCol w:w="772"/>
        <w:gridCol w:w="827"/>
        <w:gridCol w:w="1466"/>
        <w:gridCol w:w="4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479" w:type="pct"/>
            <w:noWrap w:val="0"/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eastAsia="楷体_GB2312"/>
                <w:b/>
                <w:bCs/>
                <w:sz w:val="24"/>
              </w:rPr>
            </w:pPr>
            <w:r>
              <w:rPr>
                <w:rFonts w:ascii="Times New Roman" w:eastAsia="楷体_GB2312"/>
                <w:b/>
                <w:bCs/>
                <w:sz w:val="24"/>
              </w:rPr>
              <w:t>序号</w:t>
            </w:r>
          </w:p>
        </w:tc>
        <w:tc>
          <w:tcPr>
            <w:tcW w:w="534" w:type="pct"/>
            <w:noWrap w:val="0"/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eastAsia="楷体_GB2312"/>
                <w:b/>
                <w:bCs/>
                <w:sz w:val="24"/>
              </w:rPr>
            </w:pPr>
            <w:r>
              <w:rPr>
                <w:rFonts w:ascii="Times New Roman" w:eastAsia="楷体_GB2312"/>
                <w:b/>
                <w:bCs/>
                <w:sz w:val="24"/>
              </w:rPr>
              <w:t>姓名</w:t>
            </w:r>
          </w:p>
        </w:tc>
        <w:tc>
          <w:tcPr>
            <w:tcW w:w="426" w:type="pct"/>
            <w:noWrap w:val="0"/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eastAsia="楷体_GB2312"/>
                <w:b/>
                <w:bCs/>
                <w:sz w:val="24"/>
              </w:rPr>
            </w:pPr>
            <w:r>
              <w:rPr>
                <w:rFonts w:ascii="Times New Roman" w:eastAsia="楷体_GB2312"/>
                <w:b/>
                <w:bCs/>
                <w:sz w:val="24"/>
              </w:rPr>
              <w:t>性别</w:t>
            </w:r>
          </w:p>
        </w:tc>
        <w:tc>
          <w:tcPr>
            <w:tcW w:w="456" w:type="pct"/>
            <w:noWrap w:val="0"/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eastAsia="楷体_GB2312"/>
                <w:b/>
                <w:bCs/>
                <w:sz w:val="24"/>
              </w:rPr>
            </w:pPr>
            <w:r>
              <w:rPr>
                <w:rFonts w:ascii="Times New Roman" w:eastAsia="楷体_GB2312"/>
                <w:b/>
                <w:bCs/>
                <w:sz w:val="24"/>
              </w:rPr>
              <w:t>年龄</w:t>
            </w:r>
          </w:p>
        </w:tc>
        <w:tc>
          <w:tcPr>
            <w:tcW w:w="809" w:type="pct"/>
            <w:noWrap w:val="0"/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eastAsia="楷体_GB2312"/>
                <w:b/>
                <w:bCs/>
                <w:sz w:val="24"/>
              </w:rPr>
            </w:pPr>
            <w:r>
              <w:rPr>
                <w:rFonts w:ascii="Times New Roman" w:eastAsia="楷体_GB2312"/>
                <w:b/>
                <w:bCs/>
                <w:sz w:val="24"/>
              </w:rPr>
              <w:t>学（籍）号</w:t>
            </w:r>
          </w:p>
        </w:tc>
        <w:tc>
          <w:tcPr>
            <w:tcW w:w="2295" w:type="pct"/>
            <w:noWrap w:val="0"/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eastAsia="楷体_GB2312"/>
                <w:b/>
                <w:bCs/>
                <w:sz w:val="24"/>
              </w:rPr>
            </w:pPr>
            <w:r>
              <w:rPr>
                <w:rFonts w:ascii="Times New Roman" w:eastAsia="楷体_GB2312"/>
                <w:b/>
                <w:bCs/>
                <w:sz w:val="24"/>
              </w:rPr>
              <w:t>需要关注的主要方面</w:t>
            </w:r>
          </w:p>
          <w:p>
            <w:pPr>
              <w:overflowPunct w:val="0"/>
              <w:snapToGrid w:val="0"/>
              <w:jc w:val="center"/>
              <w:rPr>
                <w:rFonts w:ascii="Times New Roman" w:eastAsia="楷体_GB2312"/>
                <w:b/>
                <w:bCs/>
                <w:sz w:val="24"/>
              </w:rPr>
            </w:pPr>
            <w:r>
              <w:rPr>
                <w:rFonts w:ascii="Times New Roman" w:eastAsia="楷体_GB2312"/>
                <w:b/>
                <w:bCs/>
                <w:sz w:val="24"/>
              </w:rPr>
              <w:t>（每人不超过</w:t>
            </w:r>
            <w:r>
              <w:rPr>
                <w:rFonts w:hint="eastAsia" w:ascii="Times New Roman" w:eastAsia="楷体_GB2312"/>
                <w:b/>
                <w:bCs/>
                <w:sz w:val="24"/>
              </w:rPr>
              <w:t>100</w:t>
            </w:r>
            <w:r>
              <w:rPr>
                <w:rFonts w:ascii="Times New Roman" w:eastAsia="楷体_GB2312"/>
                <w:b/>
                <w:bCs/>
                <w:sz w:val="24"/>
              </w:rPr>
              <w:t>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79" w:type="pct"/>
            <w:noWrap w:val="0"/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eastAsia="方正仿宋简体"/>
                <w:sz w:val="24"/>
              </w:rPr>
            </w:pPr>
          </w:p>
        </w:tc>
        <w:tc>
          <w:tcPr>
            <w:tcW w:w="534" w:type="pct"/>
            <w:noWrap w:val="0"/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eastAsia="方正仿宋简体"/>
                <w:sz w:val="24"/>
              </w:rPr>
            </w:pPr>
          </w:p>
        </w:tc>
        <w:tc>
          <w:tcPr>
            <w:tcW w:w="426" w:type="pct"/>
            <w:noWrap w:val="0"/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eastAsia="方正仿宋简体"/>
                <w:sz w:val="24"/>
              </w:rPr>
            </w:pPr>
          </w:p>
        </w:tc>
        <w:tc>
          <w:tcPr>
            <w:tcW w:w="456" w:type="pct"/>
            <w:noWrap w:val="0"/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eastAsia="方正仿宋简体"/>
                <w:sz w:val="24"/>
              </w:rPr>
            </w:pPr>
          </w:p>
        </w:tc>
        <w:tc>
          <w:tcPr>
            <w:tcW w:w="809" w:type="pct"/>
            <w:noWrap w:val="0"/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eastAsia="方正仿宋简体"/>
                <w:sz w:val="24"/>
              </w:rPr>
            </w:pPr>
          </w:p>
        </w:tc>
        <w:tc>
          <w:tcPr>
            <w:tcW w:w="2295" w:type="pct"/>
            <w:noWrap w:val="0"/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79" w:type="pct"/>
            <w:noWrap w:val="0"/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eastAsia="方正仿宋简体"/>
                <w:sz w:val="24"/>
              </w:rPr>
            </w:pPr>
          </w:p>
        </w:tc>
        <w:tc>
          <w:tcPr>
            <w:tcW w:w="534" w:type="pct"/>
            <w:noWrap w:val="0"/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eastAsia="方正仿宋简体"/>
                <w:sz w:val="24"/>
              </w:rPr>
            </w:pPr>
          </w:p>
        </w:tc>
        <w:tc>
          <w:tcPr>
            <w:tcW w:w="426" w:type="pct"/>
            <w:noWrap w:val="0"/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eastAsia="方正仿宋简体"/>
                <w:sz w:val="24"/>
              </w:rPr>
            </w:pPr>
          </w:p>
        </w:tc>
        <w:tc>
          <w:tcPr>
            <w:tcW w:w="456" w:type="pct"/>
            <w:noWrap w:val="0"/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eastAsia="方正仿宋简体"/>
                <w:sz w:val="24"/>
              </w:rPr>
            </w:pPr>
          </w:p>
        </w:tc>
        <w:tc>
          <w:tcPr>
            <w:tcW w:w="809" w:type="pct"/>
            <w:noWrap w:val="0"/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eastAsia="方正仿宋简体"/>
                <w:sz w:val="24"/>
              </w:rPr>
            </w:pPr>
          </w:p>
        </w:tc>
        <w:tc>
          <w:tcPr>
            <w:tcW w:w="2295" w:type="pct"/>
            <w:noWrap w:val="0"/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79" w:type="pct"/>
            <w:noWrap w:val="0"/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eastAsia="方正仿宋简体"/>
                <w:sz w:val="24"/>
              </w:rPr>
            </w:pPr>
          </w:p>
        </w:tc>
        <w:tc>
          <w:tcPr>
            <w:tcW w:w="534" w:type="pct"/>
            <w:noWrap w:val="0"/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eastAsia="方正仿宋简体"/>
                <w:sz w:val="24"/>
              </w:rPr>
            </w:pPr>
          </w:p>
        </w:tc>
        <w:tc>
          <w:tcPr>
            <w:tcW w:w="426" w:type="pct"/>
            <w:noWrap w:val="0"/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eastAsia="方正仿宋简体"/>
                <w:sz w:val="24"/>
              </w:rPr>
            </w:pPr>
          </w:p>
        </w:tc>
        <w:tc>
          <w:tcPr>
            <w:tcW w:w="456" w:type="pct"/>
            <w:noWrap w:val="0"/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eastAsia="方正仿宋简体"/>
                <w:sz w:val="24"/>
              </w:rPr>
            </w:pPr>
          </w:p>
        </w:tc>
        <w:tc>
          <w:tcPr>
            <w:tcW w:w="809" w:type="pct"/>
            <w:noWrap w:val="0"/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eastAsia="方正仿宋简体"/>
                <w:sz w:val="24"/>
              </w:rPr>
            </w:pPr>
          </w:p>
        </w:tc>
        <w:tc>
          <w:tcPr>
            <w:tcW w:w="2295" w:type="pct"/>
            <w:noWrap w:val="0"/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eastAsia="方正仿宋简体"/>
                <w:sz w:val="24"/>
              </w:rPr>
            </w:pPr>
          </w:p>
        </w:tc>
      </w:tr>
    </w:tbl>
    <w:p>
      <w:pPr>
        <w:overflowPunct w:val="0"/>
        <w:snapToGrid w:val="0"/>
        <w:jc w:val="center"/>
        <w:rPr>
          <w:rFonts w:ascii="Times New Roman" w:eastAsia="方正仿宋简体"/>
          <w:sz w:val="24"/>
          <w:highlight w:val="yellow"/>
        </w:rPr>
      </w:pPr>
    </w:p>
    <w:p>
      <w:pPr>
        <w:spacing w:line="580" w:lineRule="exact"/>
        <w:ind w:firstLine="632" w:firstLineChars="200"/>
        <w:rPr>
          <w:rFonts w:hint="eastAsia" w:ascii="黑体" w:hAnsi="黑体" w:eastAsia="黑体" w:cs="黑体"/>
          <w:bCs/>
        </w:rPr>
      </w:pPr>
      <w:r>
        <w:rPr>
          <w:rFonts w:hint="eastAsia" w:ascii="黑体" w:hAnsi="黑体" w:eastAsia="黑体" w:cs="黑体"/>
          <w:bCs/>
        </w:rPr>
        <w:t>二、2023—2024学年班级建设计划</w:t>
      </w:r>
    </w:p>
    <w:p>
      <w:pPr>
        <w:overflowPunct w:val="0"/>
        <w:ind w:firstLine="632" w:firstLineChars="200"/>
      </w:pPr>
      <w:r>
        <w:rPr>
          <w:rFonts w:hint="eastAsia"/>
        </w:rPr>
        <w:t>参赛选手根据班级建设方案和专业人才培养方案，结合学生思想状况、身心特点和成长需求，以及2023—2024学年学校总体工作安排、教学计划、不同月份的教育活动要求等，统筹制订本学年的班级建设计划。有关安排应是班级建设方案在该学年的具体化，符合班级实际，与阶段性目标相呼应，侧重体现工作的整体设计和具体的活动部署、时间安排和操作执行等，有效支撑班级建设目标的达成。中文字符不超过2000字，插入的图表应有针对性、有效性，文字清晰可见，图表合计不超过8张，单张图表原则上不超过半页。</w:t>
      </w:r>
    </w:p>
    <w:p>
      <w:pPr>
        <w:spacing w:line="580" w:lineRule="exact"/>
        <w:ind w:firstLine="632" w:firstLineChars="200"/>
        <w:rPr>
          <w:rFonts w:ascii="Times New Roman" w:eastAsia="黑体"/>
          <w:bCs/>
        </w:rPr>
      </w:pPr>
      <w:r>
        <w:rPr>
          <w:rFonts w:hint="eastAsia" w:ascii="Times New Roman" w:eastAsia="黑体"/>
          <w:bCs/>
        </w:rPr>
        <w:t>三</w:t>
      </w:r>
      <w:r>
        <w:rPr>
          <w:rFonts w:ascii="Times New Roman" w:eastAsia="黑体"/>
          <w:bCs/>
        </w:rPr>
        <w:t>、</w:t>
      </w:r>
      <w:r>
        <w:rPr>
          <w:rFonts w:hint="eastAsia" w:ascii="Times New Roman" w:eastAsia="黑体"/>
          <w:bCs/>
        </w:rPr>
        <w:t>管理育人</w:t>
      </w:r>
      <w:r>
        <w:rPr>
          <w:rFonts w:ascii="Times New Roman" w:eastAsia="黑体"/>
          <w:bCs/>
        </w:rPr>
        <w:t>案例</w:t>
      </w:r>
    </w:p>
    <w:p>
      <w:pPr>
        <w:overflowPunct w:val="0"/>
        <w:ind w:firstLine="632" w:firstLineChars="200"/>
      </w:pPr>
      <w:r>
        <w:rPr>
          <w:rFonts w:hint="eastAsia"/>
        </w:rPr>
        <w:t>参赛选手结合建班育人实践，选取目前所带班级在教育教学规范、生活秩序的建立与维护，严格班级纪律、班级安全、班风学风建设等班级管理工作中实际出现过的典型问题或疑难情境，通过以育人为宗旨的管理实例，总结工作举措和经验，撰写工作案例。所选问题或疑难情境应具有一定的代表性和普适性，案例应聚焦管理育人，准确描述靶向解决的问题或遇到的疑难情境、详略得当、见人见事，分析问题产生的深层次原因，介绍解决问题的策略、方法、依据和实际工作举措，并总结得失，提出管理育人实践的共性思路和育人智慧，体现班主任的教育理念、职业素养和业务能力，避免成为“教育故事”或“事迹报告”，中文字符不超过2000字。</w:t>
      </w:r>
    </w:p>
    <w:p>
      <w:pPr>
        <w:spacing w:line="580" w:lineRule="exact"/>
        <w:ind w:firstLine="632" w:firstLineChars="200"/>
        <w:rPr>
          <w:rFonts w:ascii="Times New Roman" w:eastAsia="黑体"/>
          <w:bCs/>
        </w:rPr>
      </w:pPr>
      <w:r>
        <w:rPr>
          <w:rFonts w:hint="eastAsia" w:ascii="Times New Roman" w:eastAsia="黑体"/>
          <w:bCs/>
        </w:rPr>
        <w:t>四</w:t>
      </w:r>
      <w:r>
        <w:rPr>
          <w:rFonts w:ascii="Times New Roman" w:eastAsia="黑体"/>
          <w:bCs/>
        </w:rPr>
        <w:t>、</w:t>
      </w:r>
      <w:r>
        <w:rPr>
          <w:rFonts w:hint="eastAsia" w:ascii="Times New Roman" w:eastAsia="黑体"/>
          <w:bCs/>
        </w:rPr>
        <w:t>班级活动方案及</w:t>
      </w:r>
      <w:r>
        <w:rPr>
          <w:rFonts w:ascii="Times New Roman" w:eastAsia="黑体"/>
          <w:bCs/>
        </w:rPr>
        <w:t>实录视频</w:t>
      </w:r>
    </w:p>
    <w:p>
      <w:pPr>
        <w:overflowPunct w:val="0"/>
        <w:ind w:firstLine="632" w:firstLineChars="200"/>
        <w:rPr>
          <w:highlight w:val="yellow"/>
        </w:rPr>
      </w:pPr>
      <w:r>
        <w:rPr>
          <w:rFonts w:hint="eastAsia"/>
        </w:rPr>
        <w:t>参赛选手结合建班育人实践需要，设计2个班级活动方案。其中，1个班级活动结合《教育部办公厅关于开展2024年职业学校</w:t>
      </w:r>
      <w:r>
        <w:rPr>
          <w:rFonts w:hint="eastAsia" w:hAnsi="方正仿宋简体" w:cs="方正仿宋简体"/>
        </w:rPr>
        <w:t>“技能成才 强国有我”系列</w:t>
      </w:r>
      <w:r>
        <w:rPr>
          <w:rFonts w:hint="eastAsia"/>
        </w:rPr>
        <w:t>教育活动的通知》（教职成厅函〔2024〕14号）有关要求，以</w:t>
      </w:r>
      <w:r>
        <w:rPr>
          <w:rFonts w:hint="eastAsia" w:hAnsi="方正仿宋简体" w:cs="方正仿宋简体"/>
        </w:rPr>
        <w:t>开展“未来工匠”读书行动</w:t>
      </w:r>
      <w:r>
        <w:rPr>
          <w:rFonts w:hint="eastAsia"/>
        </w:rPr>
        <w:t>、职教学生读党报活动、“劳模工匠进校园”行动、技能传承中华优秀传统文化活动、爱国主义教育、走技能报国之路、心理健康教育、防止拐卖诈骗、防范校园欺凌等为主题设计；1个班级活动限定为主题班会，以庆祝中华人民共和国成立75周年为主题进行设计。每个班级活动方案字数不超过1500字。班级活动的形式应根据主题、内容、学生特点、班级实际等灵活选取，避免固化、集中在主题班会。</w:t>
      </w:r>
    </w:p>
    <w:p>
      <w:pPr>
        <w:overflowPunct w:val="0"/>
        <w:ind w:firstLine="632" w:firstLineChars="200"/>
      </w:pPr>
      <w:r>
        <w:rPr>
          <w:rFonts w:hint="eastAsia"/>
        </w:rPr>
        <w:t>参赛选手选取其中1个班级活动方案组织实施（原则为线下形式），录制1段实录视频，时长不超过40分钟，清晰呈现班级活动实况，展示学生面貌，附参加学生名单（仅姓名）。</w:t>
      </w:r>
    </w:p>
    <w:p>
      <w:pPr>
        <w:spacing w:line="580" w:lineRule="exact"/>
        <w:ind w:firstLine="632" w:firstLineChars="200"/>
        <w:rPr>
          <w:rFonts w:ascii="Times New Roman" w:eastAsia="黑体"/>
          <w:bCs/>
        </w:rPr>
      </w:pPr>
      <w:r>
        <w:rPr>
          <w:rFonts w:hint="eastAsia" w:ascii="Times New Roman" w:eastAsia="黑体"/>
          <w:bCs/>
        </w:rPr>
        <w:t>五</w:t>
      </w:r>
      <w:r>
        <w:rPr>
          <w:rFonts w:ascii="Times New Roman" w:eastAsia="黑体"/>
          <w:bCs/>
        </w:rPr>
        <w:t>、专业人才培养方案</w:t>
      </w:r>
    </w:p>
    <w:p>
      <w:pPr>
        <w:overflowPunct w:val="0"/>
        <w:ind w:firstLine="632" w:firstLineChars="200"/>
      </w:pPr>
      <w:r>
        <w:rPr>
          <w:rFonts w:hint="eastAsia"/>
        </w:rPr>
        <w:t>参赛选手提交经学校审核，所带班级实际使用的专业人才培养方案（无需参赛选手本人撰写），</w:t>
      </w:r>
      <w:r>
        <w:rPr>
          <w:rFonts w:hint="eastAsia" w:hAnsi="方正仿宋简体" w:cs="方正仿宋简体"/>
        </w:rPr>
        <w:t>方案的</w:t>
      </w:r>
      <w:r>
        <w:rPr>
          <w:rFonts w:hint="eastAsia"/>
        </w:rPr>
        <w:t>制订和公开等应符合《教育部关于职业院校专业人才培养方案制订与实施工作的指导意见》和教育部职业教育与成人教育司《关于组织做好职业院校专业人才培养方案制订与实施工作的通知》有关要求。参赛选手还应结合建班育人实践中发现的问题和困难，积极参与人才培养方案修订完善，促进教育教学深度融合，有效避</w:t>
      </w:r>
      <w:r>
        <w:rPr>
          <w:rFonts w:hint="eastAsia" w:hAnsi="方正仿宋简体" w:cs="方正仿宋简体"/>
        </w:rPr>
        <w:t>免“两张皮”。</w:t>
      </w:r>
    </w:p>
    <w:p>
      <w:pPr>
        <w:spacing w:line="580" w:lineRule="exact"/>
        <w:ind w:firstLine="632" w:firstLineChars="200"/>
        <w:rPr>
          <w:rFonts w:ascii="Times New Roman" w:eastAsia="黑体"/>
        </w:rPr>
      </w:pPr>
      <w:r>
        <w:rPr>
          <w:rFonts w:hint="eastAsia" w:ascii="Times New Roman" w:eastAsia="黑体"/>
        </w:rPr>
        <w:t>六</w:t>
      </w:r>
      <w:r>
        <w:rPr>
          <w:rFonts w:ascii="Times New Roman" w:eastAsia="黑体"/>
        </w:rPr>
        <w:t>、</w:t>
      </w:r>
      <w:r>
        <w:rPr>
          <w:rFonts w:ascii="Times New Roman" w:eastAsia="黑体"/>
          <w:bCs/>
        </w:rPr>
        <w:t>格式</w:t>
      </w:r>
      <w:r>
        <w:rPr>
          <w:rFonts w:ascii="Times New Roman" w:eastAsia="黑体"/>
        </w:rPr>
        <w:t>要求</w:t>
      </w:r>
    </w:p>
    <w:p>
      <w:pPr>
        <w:overflowPunct w:val="0"/>
        <w:ind w:firstLine="632" w:firstLineChars="200"/>
      </w:pPr>
      <w:r>
        <w:rPr>
          <w:rFonts w:hint="eastAsia"/>
        </w:rPr>
        <w:t>所有参赛文档材料均要求规范、简明、完整、朴实，正文使用四号字、单倍行距，</w:t>
      </w:r>
      <w:r>
        <w:rPr>
          <w:rFonts w:hint="eastAsia" w:hAnsi="方正仿宋简体" w:cs="方正仿宋简体"/>
        </w:rPr>
        <w:t>禁用以装饰为目的的图片或照片，</w:t>
      </w:r>
      <w:r>
        <w:rPr>
          <w:rFonts w:hint="eastAsia"/>
        </w:rPr>
        <w:t>以PDF格式提交，每个文件大小不超过100M。文档按“类型”分别命名，</w:t>
      </w:r>
      <w:r>
        <w:rPr>
          <w:rFonts w:hint="eastAsia" w:hAnsi="方正仿宋简体" w:cs="方正仿宋简体"/>
        </w:rPr>
        <w:t>如“班级建设方案”“管理育人案例”等。</w:t>
      </w:r>
    </w:p>
    <w:p>
      <w:pPr>
        <w:overflowPunct w:val="0"/>
        <w:ind w:firstLine="632" w:firstLineChars="200"/>
      </w:pPr>
      <w:r>
        <w:rPr>
          <w:rFonts w:hint="eastAsia"/>
        </w:rPr>
        <w:t>班级活动实录视频须采用三个不同机位，同步全程连续录制（不得使用无人机、虚拟演播系统、临时拼接大型LED显示屏等脱离建班育人实际、片面追求拍摄效果、费用昂贵的录制手段）。三个机位可根据班级活动需要摆放，均要求机位和镜头固定，画面中能够看到另外两个机位，三个机位共同覆盖班级活动场所全景无死角（班级活动需要多个场所的，每个场所均须按相同要求安放三个机位，可移动前一场所的其中一个机位，随师生转场，全程连续录制）。三个机位录制音视频须做到同步起止。录制过程中除实际参与班级活动的人员外，拍摄人员及其他人员不在场，提交的视频从拍摄人员离场开始到拍摄人员停机为止（班级活动之外的录制时长不超过2分钟）。所有机位拍摄的视频均需上传，须保证音轨连续，不允许另行剪辑及配音，不加片头片尾、字幕注解，不得泄露地区、学校名称以及教师个人姓名。</w:t>
      </w:r>
    </w:p>
    <w:p>
      <w:pPr>
        <w:overflowPunct w:val="0"/>
        <w:ind w:firstLine="632" w:firstLineChars="200"/>
      </w:pPr>
      <w:r>
        <w:rPr>
          <w:rFonts w:hint="eastAsia"/>
        </w:rPr>
        <w:t>视频采用MP4格式封装，每个文件大小不超过400M。视频录制软件不限，采用H.264/AVC（MPEG-4 Part10）编码格式压缩；动态码流的码率不低于1024Kbps，不超过1280Kbps；分辨率设定为720×576（标清4:3拍摄）或1280×720（高清16:9拍摄）；采用逐行扫描（帧率25帧/秒）。音频采用AAC（MPEG4 Part3）格式压缩；采样率48KHz；码流128Kbps（恒定）。</w:t>
      </w:r>
    </w:p>
    <w:p>
      <w:pPr>
        <w:overflowPunct w:val="0"/>
        <w:spacing w:line="580" w:lineRule="exact"/>
        <w:ind w:firstLine="632" w:firstLineChars="200"/>
        <w:rPr>
          <w:bCs/>
        </w:rPr>
      </w:pPr>
    </w:p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395E36"/>
    <w:rsid w:val="0AEE5859"/>
    <w:rsid w:val="131A0C81"/>
    <w:rsid w:val="2D395E36"/>
    <w:rsid w:val="5B19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2024-07-31T07:43:00Z</dcterms:created>
  <dc:creator>z</dc:creator>
  <cp:lastModifiedBy>z</cp:lastModifiedBy>
  <dcterms:modified xsi:type="dcterms:W3CDTF">2024-07-31T07:44:09Z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