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eastAsia="仿宋_GB2312"/>
          <w:sz w:val="36"/>
          <w:szCs w:val="36"/>
        </w:rPr>
      </w:pPr>
      <w:r>
        <w:rPr>
          <w:rFonts w:hint="eastAsia" w:eastAsia="方正小标宋简体"/>
          <w:sz w:val="36"/>
          <w:szCs w:val="36"/>
        </w:rPr>
        <w:t>开考高等教育自学考试财务管理专业的论证报告</w:t>
      </w:r>
    </w:p>
    <w:p>
      <w:pPr>
        <w:spacing w:line="560" w:lineRule="exact"/>
        <w:ind w:firstLine="640" w:firstLineChars="200"/>
        <w:rPr>
          <w:rFonts w:hint="eastAsia" w:eastAsia="黑体"/>
          <w:sz w:val="32"/>
          <w:szCs w:val="32"/>
        </w:rPr>
      </w:pPr>
      <w:r>
        <w:rPr>
          <w:rFonts w:hint="eastAsia" w:eastAsia="黑体"/>
          <w:sz w:val="32"/>
          <w:szCs w:val="32"/>
        </w:rPr>
        <w:t>一、财务管理专业前景</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中国是21世纪世界最大的新兴市场和经济体，但由于长期以来受计划经济体制下人才培养制度的影响，许多财务管理从业人员的素质、水平、能力尚不能达到与国际接轨的要求。本论证报告从以下几个方面来讨论一下中国财务管理从业人员的现状和职业能力及学历提升的要求。</w:t>
      </w:r>
    </w:p>
    <w:p>
      <w:pPr>
        <w:pStyle w:val="2"/>
        <w:keepNext w:val="0"/>
        <w:keepLines w:val="0"/>
        <w:spacing w:before="0" w:after="0" w:line="560" w:lineRule="exact"/>
        <w:ind w:left="420" w:leftChars="200"/>
        <w:rPr>
          <w:rFonts w:hint="eastAsia" w:ascii="楷体_GB2312" w:hAnsi="Times New Roman" w:eastAsia="楷体_GB2312" w:cs="楷体"/>
          <w:b w:val="0"/>
          <w:bCs w:val="0"/>
          <w:kern w:val="44"/>
          <w:sz w:val="32"/>
        </w:rPr>
      </w:pPr>
      <w:r>
        <w:rPr>
          <w:rFonts w:hint="eastAsia" w:ascii="楷体_GB2312" w:hAnsi="Times New Roman" w:eastAsia="楷体_GB2312" w:cs="楷体"/>
          <w:b w:val="0"/>
          <w:bCs w:val="0"/>
          <w:kern w:val="44"/>
          <w:sz w:val="32"/>
        </w:rPr>
        <w:t>（一）经济全球化对中国企业财务管理人员素质的要求</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经济全球化的发展使得越来越多的国际化企业集团走进中国市场，同时也有越来越多的中国本土企业参与到国际竞争中去。这就不可避免的使得中国本土企业与国际化财团在包括中国在内的全球市场范围内进行面对面的竞争。现代企业的竞争不再是简单的价格和成本的竞争，而是涵盖了市场拓展、营销手段、管理水平、供应链、公共关系等多方面、多层次的全方位立体竞争。在这种竞争的过程中，财务管理水平的高低直接决定了企业内部资金利用效率甚至盈利率的高低。中国企业只有快速提升企业财务和资本运营管理水平，并通过财务管理的现代化拉动企业管理水平的提高，才能使企业在市场竞争越来越激烈的今天立于不败之地。如果能够以现代的、先进的国际财务管理理论方法武装自己，就能在日趋激烈的国内外市场竞争中觅得先机，为企业的长远稳定发展奠定坚实的基础。</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从中国的情况看，中国会计人员及会计师主要从事记账和算账工作。将出纳、税务专员等计算在内，全国有会计人员约1200万。而从层次结构上看，低级财会人员已经过剩。近几年，不少国内大、中型企业集团不惜天价年薪，从海外聘请高级财务管理人员担任企业财务总监，对此，许多业内人士感到难以理解。其实，这种现象的出现并非偶然，它一方面反映出国内企业蓬勃发展，迅速与国际接轨，进而对事关企业发展大计的财务管理人员提出了更高的战略要求；另一方面也反映出国内高级财务管理人员的培养与企业，尤其是大中型、外向型企业集团的现实需求之间存在脱节问题。</w:t>
      </w:r>
    </w:p>
    <w:p>
      <w:pPr>
        <w:spacing w:line="560" w:lineRule="exact"/>
        <w:ind w:firstLine="640" w:firstLineChars="200"/>
        <w:rPr>
          <w:rFonts w:hint="eastAsia" w:ascii="楷体_GB2312" w:eastAsia="楷体_GB2312" w:cs="楷体"/>
          <w:kern w:val="44"/>
          <w:sz w:val="32"/>
          <w:szCs w:val="32"/>
        </w:rPr>
      </w:pPr>
      <w:r>
        <w:rPr>
          <w:rFonts w:hint="eastAsia" w:ascii="楷体_GB2312" w:eastAsia="楷体_GB2312" w:cs="楷体"/>
          <w:kern w:val="44"/>
          <w:sz w:val="32"/>
          <w:szCs w:val="32"/>
        </w:rPr>
        <w:t>（二）财务管理从业岗位面对信息化进程的竞争</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信息技术的应用和普及是人类历史上的一次革命，它把许多工作从简单繁缛的重复性劳动中解放了出来，提高了企业生产和管理效率。企业管理的信息化进程，通常以财务信息化作为起步。现代企业的岗位构成可以简单的分为3类：技术性岗位、业务性岗位、管理性岗位。而会计人员的工作基本上可以归类为技术性的岗位。我们认为：纯技术性的工作岗位随着信息化水平的不断发展，必然会被技术手段所取代。</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会计电算化的普及应用，通过信息技术大大减轻了会计人员进行凭证制作、记账处理、会计账目汇总及报表编制等的工作量及工作强度。显然，这是会计工作的进步，但同时这也意味着对低层次会计岗位需求的减少。</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近年来以财务管理为核心的管理软件发展迅速，在企业中的应用也越来越多。可以预想今后企业内部的财务与会计工作，将会变成“原始信息录入、自动生成报表、管理者直接调用分析结果”的模式。那么中国国内现有的大量中低层次财会从业人员向哪里去，就变成了一个急需解决的社会问题。</w:t>
      </w:r>
    </w:p>
    <w:p>
      <w:pPr>
        <w:spacing w:line="560" w:lineRule="exact"/>
        <w:ind w:firstLine="640" w:firstLineChars="200"/>
        <w:rPr>
          <w:rFonts w:hint="eastAsia" w:ascii="楷体_GB2312" w:eastAsia="楷体_GB2312" w:cs="楷体"/>
          <w:kern w:val="44"/>
          <w:sz w:val="32"/>
          <w:szCs w:val="32"/>
        </w:rPr>
      </w:pPr>
      <w:r>
        <w:rPr>
          <w:rFonts w:hint="eastAsia" w:ascii="楷体_GB2312" w:eastAsia="楷体_GB2312" w:cs="楷体"/>
          <w:kern w:val="44"/>
          <w:sz w:val="32"/>
          <w:szCs w:val="32"/>
        </w:rPr>
        <w:t>（三）从企业行为看中国企业管理的不均衡管理现状</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企业的活动行为主要分为三类，即：财务活动、经营活动和投资活动。由于观念的陈旧，多数中国企业长期把工作重点放在经营活动上面，而不太重视对企业发展至关重要的投资活动和财务活动。同时，大多数财会人员理财观念陈旧，财务管理理论匮乏，不能针对企业的投资活动提出自己的建议和观点，从而造成其所反映的财务状态的信息、数据不完善和观点的片面性。</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传统上中国企业的财务主管人员，包括会计主管、财务部经理、财务总监以及分管财务的副总经理，普遍把自己定位于传统的、大小不同的“账房先生”，认为财务人员的主要工作内容就是记账、算账，而且企业的领导者在过去也确实只要求他们做到这些。但是，现代财务管理制度体系下的要求不只是这些而已，上述的工作内容实际上只是反映了企业在过去的时期内的经营状况和财务状况，是对过去财务、经营信息的整理、归纳、总结，而针对企业未来发展不能够从自身职能的角度提出意见和建议。</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一方面，面对企业股份构成变化的复杂性和投资手段多样化带来的实际需求，管理层看到了目前的财务人员素质不能够满足企业发展的需要，缺乏具有实际操作、执行能力的高级财务人员。企业领导希望提高财务人员的能力要求，但却无法说明要求的具体内容；另一方面，财会人员尤其是高级财务管理人员也感觉到自身的素质和知识水平不能够满足企业的发展需要，希望能够通过学习来提高自身的职业能力和素质水平，但不知从何学起，学什么，达到什么目标。这反映出长期以来计划经济体制下企业培养的财会人员由于过去长期得不到重视，没有职业发展的压力和动力，在新的环境下企业由于发展的需要而转型时，突然面临增高的职业压力和素质要求，而茫然不知所从的状态。</w:t>
      </w:r>
    </w:p>
    <w:p>
      <w:pPr>
        <w:spacing w:line="560" w:lineRule="exact"/>
        <w:ind w:firstLine="640" w:firstLineChars="200"/>
        <w:rPr>
          <w:rFonts w:hint="eastAsia" w:ascii="楷体_GB2312" w:eastAsia="楷体_GB2312" w:cs="楷体"/>
          <w:kern w:val="44"/>
          <w:sz w:val="32"/>
          <w:szCs w:val="32"/>
        </w:rPr>
      </w:pPr>
      <w:r>
        <w:rPr>
          <w:rFonts w:hint="eastAsia" w:ascii="楷体_GB2312" w:eastAsia="楷体_GB2312" w:cs="楷体"/>
          <w:kern w:val="44"/>
          <w:sz w:val="32"/>
          <w:szCs w:val="32"/>
        </w:rPr>
        <w:t>（四）财会从业人员的长远职业发展出路</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中国加入WTO后需要大量具有国际水平的高级财务管理人员。有调查表明，未来几年内对具有国际水平的财务管理人员的需求相当大，其中顶级财务管理人员的缺口占60%，而目前能够符合要求的专业高级财务管理人员大部分是来自香港、海外人才。</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企业要求高级财务管理人员能在企业快速扩张过程中透彻分析企业业务、为制定企业发展扩张战略决策提供支持。战略性企业财务管理是以企业绩效管理为核心，涵盖财务集中管理与控制、资金集中管理与控制、全面预算管理与控制、财务报告、财务分析与决策支持等关键性财务管理业务，其目的是为企业提供一整套透彻分析集团业务、提升企业绩效的工具与方法。这要求企业高级财务管理人员不仅要具备扎实的财务管理理论基础，丰富的财务管理实战经验，更要具备作为一个管理者的战略眼光。</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与此同时，伴随着管理会计学及国际化的财务管理科学的发展，与企业发展的要求相适应，财务管理工作的重点正在发生重大转移。与此同时企业财会人员的工作重心也发生了重大转变；由单一的记账变为为企业绩效改善提供专业建议、为各级经理和公司整体的决策提供信息支持；由原来的记录交易逐步转移到投资、融资和资本运营管理等。这种转移使财务管理人员花在编制报表和提供报告上的时间越来越少，而花在通过财务分析促进企业价值增长及协调企业综合发展、改善公司治理结构上的时间越来越多，让财务管理人员的角色由传统的着重于财务数据处理的“账房先生”成为企业战略管理者。纵观国内财务管理者，能符合以上条件者寥寥无几，由于很难找到合适的本地高级财务管理人员，企业花高薪从海外聘请高级财务管理人员也就在所难免了。</w:t>
      </w:r>
    </w:p>
    <w:p>
      <w:pPr>
        <w:spacing w:line="560" w:lineRule="exact"/>
        <w:ind w:firstLine="640" w:firstLineChars="200"/>
        <w:rPr>
          <w:rFonts w:hint="eastAsia" w:ascii="楷体_GB2312" w:eastAsia="楷体_GB2312" w:cs="楷体"/>
          <w:kern w:val="44"/>
          <w:sz w:val="32"/>
          <w:szCs w:val="32"/>
        </w:rPr>
      </w:pPr>
      <w:r>
        <w:rPr>
          <w:rFonts w:hint="eastAsia" w:ascii="楷体_GB2312" w:eastAsia="楷体_GB2312" w:cs="楷体"/>
          <w:sz w:val="32"/>
          <w:szCs w:val="32"/>
        </w:rPr>
        <w:t>（五）</w:t>
      </w:r>
      <w:r>
        <w:rPr>
          <w:rFonts w:hint="eastAsia" w:ascii="楷体_GB2312" w:eastAsia="楷体_GB2312" w:cs="楷体"/>
          <w:kern w:val="44"/>
          <w:sz w:val="32"/>
          <w:szCs w:val="32"/>
        </w:rPr>
        <w:t>国际财务管理师的引进对财会人员职业转型的影响</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随着管理会计学及国际化财务管理科学的发展，与企业发展的要求相适应，财会人员的工作重心发生了重大转变。从20世纪90年代中后期开始，国际上逐渐兴起了以财务管理师为代表的新兴职业体系。财务管理师通过分析所搜集和保存的财务信息支持企业决策，完成计量核算任务，实现财务控制、管理财务风险，将企业的财务工作从事后核算转变到事前和过程的控制，并上升到全面的预算管理，充分发挥财务在企业经营和资本运作决策中不可替代的作用。</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中华人民共和国劳动和社会保障部根据《中华人民共和国行政许可法》和《中华人民共和国国务院第412号令》的有关规定，经过严格的申报程序和严格的论证，并征求有关单位意见后，在2004年5月决定引进国际管理会计师协会（IMAA）“国际财务管理师（IFM）职业资格认证体系”（注册号：劳引字[2004]001号），并认定其与国家职业资格证书具有同等的效力，将其纳入国家职业资格证书统一管理体系。</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这项职业测评体系的引进，填补了我国在财务管理职业发展领域里的空白。它为中国的财会从业人员的职业发展指出了新的道路和方向，为推动专业高级财务管理职业在中国的发展，提高我国财务管理人员的专业知识与能力水平、普及最新的财务管理知识与技能，从而促进我国财务管理的专业化、标准化与国际化，推动中国财务管理事业的发展，起到了积极的作用。</w:t>
      </w:r>
    </w:p>
    <w:p>
      <w:pPr>
        <w:spacing w:line="560" w:lineRule="exact"/>
        <w:ind w:firstLine="640" w:firstLineChars="200"/>
        <w:rPr>
          <w:rFonts w:hint="eastAsia" w:eastAsia="黑体" w:cs="黑体"/>
          <w:sz w:val="32"/>
          <w:szCs w:val="32"/>
        </w:rPr>
      </w:pPr>
      <w:r>
        <w:rPr>
          <w:rFonts w:hint="eastAsia" w:eastAsia="黑体" w:cs="黑体"/>
          <w:sz w:val="32"/>
          <w:szCs w:val="32"/>
        </w:rPr>
        <w:t>二、主考院校情况</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作为山东省高教自学考试财经类主考院校之一，自1984年自学考试开考以来，山东财经大学的自学考试主考专业目前已达17个，是山东省高等教育自学考试专业最多的主考院校之一；主考历史较长，师资力量较为雄厚，教学、管理经验较为丰富。</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近年来，由于山东财经大学考试服务工作业绩突出，多次被教育部、国家高等教育自学考试委员会、教育部考试中心、山东省教育厅和济南市教育局授予“先进集体”、“先进个人”等荣誉称号。</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山东财经大学会计学院目前有本科、硕士、博士三个办学层次。会计学科被教育部、省政府和省教育厅评定为省级重点学科、省级强化建设重点学科、“ 泰山学者 ” 设岗学科和省级特色重点学科。会计学与财务管理专业为传统优势专业，现有“会计学”、“财务管理”两个省级教学团队。其中，财务管理专业是国内首批设立的本科专业，2009年获得省级特色专业，2012年招收财务管理专业硕士研究生。学院设财务管理系，拥有专业教师近30人，近半数拥有教授、副教授职称。</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山东财经大学作为山东省高教自学考试本、专科会计等财经类专业主考院校，多年来较好地承担了该财经类专业命题、撰写辅导材料、助学、评卷、论文辅导与答辩等项工作任务，具有较为丰富的助考经验。其中，会计学院曾被评为全省自考工作先进集体。财务管理作为会计专业的一个分支，拟由该学院承担财务管理专业自考方面的工作。</w:t>
      </w:r>
    </w:p>
    <w:p>
      <w:pPr>
        <w:spacing w:line="560" w:lineRule="exact"/>
        <w:rPr>
          <w:rFonts w:hint="eastAsia" w:eastAsia="黑体" w:cs="黑体"/>
          <w:kern w:val="0"/>
          <w:sz w:val="32"/>
          <w:szCs w:val="32"/>
        </w:rPr>
      </w:pPr>
      <w:r>
        <w:rPr>
          <w:rFonts w:hint="eastAsia" w:eastAsia="仿宋_GB2312" w:cs="仿宋_GB2312"/>
          <w:kern w:val="0"/>
          <w:sz w:val="32"/>
          <w:szCs w:val="32"/>
        </w:rPr>
        <w:t xml:space="preserve">    </w:t>
      </w:r>
      <w:r>
        <w:rPr>
          <w:rFonts w:hint="eastAsia" w:eastAsia="黑体" w:cs="黑体"/>
          <w:kern w:val="0"/>
          <w:sz w:val="32"/>
          <w:szCs w:val="32"/>
        </w:rPr>
        <w:t>三、高等教育自学考试财务管理专业（独立本科段）考试计划</w:t>
      </w:r>
    </w:p>
    <w:p>
      <w:pPr>
        <w:spacing w:line="560" w:lineRule="exact"/>
        <w:ind w:firstLine="640" w:firstLineChars="200"/>
        <w:jc w:val="left"/>
        <w:rPr>
          <w:rFonts w:hint="eastAsia" w:ascii="楷体_GB2312" w:eastAsia="楷体_GB2312" w:cs="楷体"/>
          <w:bCs/>
          <w:sz w:val="32"/>
          <w:szCs w:val="32"/>
        </w:rPr>
      </w:pPr>
      <w:r>
        <w:rPr>
          <w:rFonts w:hint="eastAsia" w:ascii="楷体_GB2312" w:eastAsia="楷体_GB2312" w:cs="楷体"/>
          <w:bCs/>
          <w:sz w:val="32"/>
          <w:szCs w:val="32"/>
        </w:rPr>
        <w:t>（一）指导思想</w:t>
      </w:r>
    </w:p>
    <w:p>
      <w:pPr>
        <w:spacing w:line="560" w:lineRule="exact"/>
        <w:ind w:firstLine="640" w:firstLineChars="200"/>
        <w:jc w:val="left"/>
        <w:rPr>
          <w:rFonts w:hint="eastAsia" w:eastAsia="仿宋_GB2312" w:cs="仿宋_GB2312"/>
          <w:sz w:val="32"/>
          <w:szCs w:val="32"/>
        </w:rPr>
      </w:pPr>
      <w:r>
        <w:rPr>
          <w:rFonts w:hint="eastAsia" w:eastAsia="仿宋_GB2312" w:cs="仿宋_GB2312"/>
          <w:sz w:val="32"/>
          <w:szCs w:val="32"/>
        </w:rPr>
        <w:t>高等教育自学考试财务管理专业在总体上与一般全日制普通高等学校相应专业的水平一致。根据高等教育自学考试开放、灵活的特点，针对财务管理专业特点和行业背景，在专业设置上突出了较强的针对性和实用性，并注重考核考生对基本理论、基本知识和基本技能的掌握以及解决实际问题的能力。</w:t>
      </w:r>
    </w:p>
    <w:p>
      <w:pPr>
        <w:spacing w:line="560" w:lineRule="exact"/>
        <w:ind w:firstLine="640" w:firstLineChars="200"/>
        <w:jc w:val="left"/>
        <w:rPr>
          <w:rFonts w:hint="eastAsia" w:ascii="楷体_GB2312" w:eastAsia="楷体_GB2312" w:cs="楷体"/>
          <w:bCs/>
          <w:sz w:val="32"/>
          <w:szCs w:val="32"/>
        </w:rPr>
      </w:pPr>
      <w:r>
        <w:rPr>
          <w:rFonts w:hint="eastAsia" w:ascii="楷体_GB2312" w:eastAsia="楷体_GB2312" w:cs="楷体"/>
          <w:bCs/>
          <w:sz w:val="32"/>
          <w:szCs w:val="32"/>
        </w:rPr>
        <w:t>（二）学历层次与规格</w:t>
      </w:r>
    </w:p>
    <w:p>
      <w:pPr>
        <w:spacing w:line="560" w:lineRule="exact"/>
        <w:ind w:firstLine="640" w:firstLineChars="200"/>
        <w:jc w:val="left"/>
        <w:rPr>
          <w:rFonts w:hint="eastAsia" w:eastAsia="仿宋_GB2312" w:cs="仿宋_GB2312"/>
          <w:sz w:val="32"/>
          <w:szCs w:val="32"/>
        </w:rPr>
      </w:pPr>
      <w:r>
        <w:rPr>
          <w:rFonts w:hint="eastAsia" w:eastAsia="仿宋_GB2312" w:cs="仿宋_GB2312"/>
          <w:sz w:val="32"/>
          <w:szCs w:val="32"/>
        </w:rPr>
        <w:t>本专业为高等教育本科层次，共设13门课程，各门课程均采用学分制计算，共计70学分。凡取得本专业计划所规定的13门课程合格成绩，并完成规定的毕业论文及其他实践性环节的考核，思想品德鉴定符合要求者，经审核合格后，颁发主考院校副署的高等教育自学考试财务管理专业本科毕业证书。其学业水平达到国家规定的学位标准，按《中华人民共和国高等教育法》和《中华人民共和国学位条例》规定，主考院校授予学士学位。</w:t>
      </w:r>
    </w:p>
    <w:p>
      <w:pPr>
        <w:spacing w:line="560" w:lineRule="exact"/>
        <w:ind w:firstLine="640" w:firstLineChars="200"/>
        <w:jc w:val="left"/>
        <w:rPr>
          <w:rFonts w:hint="eastAsia" w:ascii="楷体_GB2312" w:eastAsia="楷体_GB2312" w:cs="楷体"/>
          <w:bCs/>
          <w:sz w:val="32"/>
          <w:szCs w:val="32"/>
        </w:rPr>
      </w:pPr>
      <w:r>
        <w:rPr>
          <w:rFonts w:hint="eastAsia" w:ascii="楷体_GB2312" w:eastAsia="楷体_GB2312" w:cs="楷体"/>
          <w:bCs/>
          <w:sz w:val="32"/>
          <w:szCs w:val="32"/>
        </w:rPr>
        <w:t>（三）培养目标与基本要求</w:t>
      </w:r>
    </w:p>
    <w:p>
      <w:pPr>
        <w:spacing w:line="560" w:lineRule="exact"/>
        <w:ind w:firstLine="640" w:firstLineChars="200"/>
        <w:jc w:val="left"/>
        <w:rPr>
          <w:rFonts w:hint="eastAsia" w:eastAsia="仿宋_GB2312" w:cs="仿宋_GB2312"/>
          <w:sz w:val="32"/>
          <w:szCs w:val="32"/>
        </w:rPr>
      </w:pPr>
      <w:r>
        <w:rPr>
          <w:rFonts w:hint="eastAsia" w:eastAsia="仿宋_GB2312" w:cs="仿宋_GB2312"/>
          <w:sz w:val="32"/>
          <w:szCs w:val="32"/>
        </w:rPr>
        <w:t>本专业旨在培养德、智、体、美全面发展，掌握必要的财务管理基础理论及操作技能，具备现代经济、金融、管理、会计、法律等方面的知识及相关能力，能够运用现代化企业管理手段，从事各类企业（包括金融机构）、行政事业单位财务管理工作和会计工作的应用型高级专门人才。基本要求包括：比较系统地掌握理财、会计的基本理论和基本方法，具有较强的财务预测、决策、计划、控制、分析能力，能够参与企业等单位的筹资决策、投资决策和经营决策；了解本学科、本专业的发展动态和趋势，掌握经济、金融、管理和法律等方面的基本知识，熟悉管理学的分析方法，善于结合单位和经济管理工作的实际，运用政策、法规，分析和解决财务管理和会计实际问题；并具有一定的专业创新能力；</w:t>
      </w:r>
    </w:p>
    <w:p>
      <w:pPr>
        <w:spacing w:line="560" w:lineRule="exact"/>
        <w:ind w:firstLine="640" w:firstLineChars="200"/>
        <w:jc w:val="left"/>
        <w:rPr>
          <w:rFonts w:hint="eastAsia" w:ascii="楷体_GB2312" w:eastAsia="楷体_GB2312" w:cs="楷体"/>
          <w:bCs/>
          <w:sz w:val="32"/>
          <w:szCs w:val="32"/>
        </w:rPr>
      </w:pPr>
      <w:r>
        <w:rPr>
          <w:rFonts w:hint="eastAsia" w:ascii="楷体_GB2312" w:eastAsia="楷体_GB2312" w:cs="楷体"/>
          <w:bCs/>
          <w:sz w:val="32"/>
          <w:szCs w:val="32"/>
        </w:rPr>
        <w:t>（四）报考对象</w:t>
      </w:r>
    </w:p>
    <w:p>
      <w:pPr>
        <w:spacing w:line="560" w:lineRule="exact"/>
        <w:ind w:right="592" w:firstLine="640" w:firstLineChars="200"/>
        <w:jc w:val="left"/>
        <w:rPr>
          <w:rFonts w:hint="eastAsia" w:eastAsia="仿宋_GB2312" w:cs="仿宋_GB2312"/>
          <w:sz w:val="32"/>
          <w:szCs w:val="32"/>
        </w:rPr>
      </w:pPr>
      <w:r>
        <w:rPr>
          <w:rFonts w:hint="eastAsia" w:eastAsia="仿宋_GB2312" w:cs="仿宋_GB2312"/>
          <w:bCs/>
          <w:sz w:val="32"/>
          <w:szCs w:val="32"/>
        </w:rPr>
        <w:t>凡具有专科及以上学历</w:t>
      </w:r>
      <w:r>
        <w:rPr>
          <w:rFonts w:hint="eastAsia" w:eastAsia="仿宋_GB2312" w:cs="仿宋_GB2312"/>
          <w:sz w:val="32"/>
          <w:szCs w:val="32"/>
        </w:rPr>
        <w:t>者均可报考。</w:t>
      </w:r>
    </w:p>
    <w:p>
      <w:pPr>
        <w:spacing w:line="560" w:lineRule="exact"/>
        <w:ind w:firstLine="640" w:firstLineChars="200"/>
        <w:jc w:val="left"/>
        <w:rPr>
          <w:rFonts w:hint="eastAsia" w:ascii="楷体_GB2312" w:eastAsia="楷体_GB2312" w:cs="楷体"/>
          <w:bCs/>
          <w:sz w:val="32"/>
          <w:szCs w:val="32"/>
        </w:rPr>
      </w:pPr>
      <w:r>
        <w:rPr>
          <w:rFonts w:hint="eastAsia" w:ascii="楷体_GB2312" w:eastAsia="楷体_GB2312" w:cs="楷体"/>
          <w:bCs/>
          <w:sz w:val="32"/>
          <w:szCs w:val="32"/>
        </w:rPr>
        <w:t>（五）课程设置与学分</w:t>
      </w:r>
    </w:p>
    <w:p>
      <w:pPr>
        <w:spacing w:line="560" w:lineRule="exact"/>
        <w:ind w:right="630" w:rightChars="300" w:firstLine="640" w:firstLineChars="200"/>
        <w:jc w:val="left"/>
        <w:rPr>
          <w:rFonts w:hint="eastAsia" w:eastAsia="仿宋_GB2312" w:cs="仿宋_GB2312"/>
          <w:color w:val="000000"/>
          <w:sz w:val="32"/>
          <w:szCs w:val="32"/>
        </w:rPr>
      </w:pPr>
      <w:r>
        <w:rPr>
          <w:rFonts w:hint="eastAsia" w:eastAsia="仿宋_GB2312" w:cs="仿宋_GB2312"/>
          <w:color w:val="000000"/>
          <w:sz w:val="32"/>
          <w:szCs w:val="32"/>
        </w:rPr>
        <w:t>专业代码：120204</w:t>
      </w:r>
    </w:p>
    <w:tbl>
      <w:tblPr>
        <w:tblStyle w:val="4"/>
        <w:tblW w:w="87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1359"/>
        <w:gridCol w:w="3975"/>
        <w:gridCol w:w="854"/>
        <w:gridCol w:w="1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933" w:type="dxa"/>
            <w:vAlign w:val="center"/>
          </w:tcPr>
          <w:p>
            <w:pPr>
              <w:autoSpaceDN w:val="0"/>
              <w:adjustRightInd w:val="0"/>
              <w:snapToGrid w:val="0"/>
              <w:jc w:val="center"/>
              <w:rPr>
                <w:rFonts w:hint="eastAsia" w:cs="宋体"/>
                <w:snapToGrid w:val="0"/>
                <w:kern w:val="0"/>
                <w:sz w:val="24"/>
              </w:rPr>
            </w:pPr>
            <w:r>
              <w:rPr>
                <w:rFonts w:hint="eastAsia" w:cs="宋体"/>
                <w:snapToGrid w:val="0"/>
                <w:kern w:val="0"/>
                <w:sz w:val="24"/>
              </w:rPr>
              <w:t>序号</w:t>
            </w:r>
          </w:p>
        </w:tc>
        <w:tc>
          <w:tcPr>
            <w:tcW w:w="1359" w:type="dxa"/>
            <w:vAlign w:val="center"/>
          </w:tcPr>
          <w:p>
            <w:pPr>
              <w:autoSpaceDN w:val="0"/>
              <w:adjustRightInd w:val="0"/>
              <w:snapToGrid w:val="0"/>
              <w:jc w:val="center"/>
              <w:rPr>
                <w:rFonts w:hint="eastAsia" w:cs="宋体"/>
                <w:snapToGrid w:val="0"/>
                <w:kern w:val="0"/>
                <w:sz w:val="24"/>
              </w:rPr>
            </w:pPr>
            <w:r>
              <w:rPr>
                <w:rFonts w:hint="eastAsia" w:cs="宋体"/>
                <w:snapToGrid w:val="0"/>
                <w:kern w:val="0"/>
                <w:sz w:val="24"/>
              </w:rPr>
              <w:t>课程代码</w:t>
            </w:r>
          </w:p>
        </w:tc>
        <w:tc>
          <w:tcPr>
            <w:tcW w:w="3975" w:type="dxa"/>
            <w:vAlign w:val="center"/>
          </w:tcPr>
          <w:p>
            <w:pPr>
              <w:autoSpaceDN w:val="0"/>
              <w:adjustRightInd w:val="0"/>
              <w:snapToGrid w:val="0"/>
              <w:jc w:val="center"/>
              <w:rPr>
                <w:rFonts w:hint="eastAsia" w:cs="宋体"/>
                <w:snapToGrid w:val="0"/>
                <w:kern w:val="0"/>
                <w:sz w:val="24"/>
              </w:rPr>
            </w:pPr>
            <w:r>
              <w:rPr>
                <w:rFonts w:hint="eastAsia" w:cs="宋体"/>
                <w:snapToGrid w:val="0"/>
                <w:kern w:val="0"/>
                <w:sz w:val="24"/>
              </w:rPr>
              <w:t>课程名称</w:t>
            </w:r>
          </w:p>
        </w:tc>
        <w:tc>
          <w:tcPr>
            <w:tcW w:w="854" w:type="dxa"/>
            <w:vAlign w:val="center"/>
          </w:tcPr>
          <w:p>
            <w:pPr>
              <w:autoSpaceDN w:val="0"/>
              <w:adjustRightInd w:val="0"/>
              <w:snapToGrid w:val="0"/>
              <w:jc w:val="center"/>
              <w:rPr>
                <w:rFonts w:hint="eastAsia" w:cs="宋体"/>
                <w:snapToGrid w:val="0"/>
                <w:kern w:val="0"/>
                <w:sz w:val="24"/>
              </w:rPr>
            </w:pPr>
            <w:r>
              <w:rPr>
                <w:rFonts w:hint="eastAsia" w:cs="宋体"/>
                <w:snapToGrid w:val="0"/>
                <w:kern w:val="0"/>
                <w:sz w:val="24"/>
              </w:rPr>
              <w:t>学分</w:t>
            </w:r>
          </w:p>
        </w:tc>
        <w:tc>
          <w:tcPr>
            <w:tcW w:w="1666" w:type="dxa"/>
            <w:vAlign w:val="center"/>
          </w:tcPr>
          <w:p>
            <w:pPr>
              <w:autoSpaceDN w:val="0"/>
              <w:adjustRightInd w:val="0"/>
              <w:snapToGrid w:val="0"/>
              <w:jc w:val="center"/>
              <w:rPr>
                <w:rFonts w:hint="eastAsia" w:cs="宋体"/>
                <w:snapToGrid w:val="0"/>
                <w:kern w:val="0"/>
                <w:sz w:val="24"/>
              </w:rPr>
            </w:pPr>
            <w:r>
              <w:rPr>
                <w:rFonts w:hint="eastAsia" w:cs="宋体"/>
                <w:snapToGrid w:val="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933" w:type="dxa"/>
            <w:vAlign w:val="center"/>
          </w:tcPr>
          <w:p>
            <w:pPr>
              <w:autoSpaceDN w:val="0"/>
              <w:adjustRightInd w:val="0"/>
              <w:snapToGrid w:val="0"/>
              <w:jc w:val="center"/>
              <w:rPr>
                <w:rFonts w:hint="eastAsia" w:cs="宋体"/>
                <w:snapToGrid w:val="0"/>
                <w:kern w:val="0"/>
                <w:sz w:val="24"/>
              </w:rPr>
            </w:pPr>
            <w:r>
              <w:rPr>
                <w:rFonts w:hint="eastAsia" w:cs="宋体"/>
                <w:snapToGrid w:val="0"/>
                <w:kern w:val="0"/>
                <w:sz w:val="24"/>
              </w:rPr>
              <w:t>1</w:t>
            </w:r>
          </w:p>
        </w:tc>
        <w:tc>
          <w:tcPr>
            <w:tcW w:w="1359" w:type="dxa"/>
            <w:vAlign w:val="center"/>
          </w:tcPr>
          <w:p>
            <w:pPr>
              <w:autoSpaceDN w:val="0"/>
              <w:adjustRightInd w:val="0"/>
              <w:snapToGrid w:val="0"/>
              <w:jc w:val="center"/>
              <w:rPr>
                <w:rFonts w:hint="eastAsia" w:cs="宋体"/>
                <w:snapToGrid w:val="0"/>
                <w:kern w:val="0"/>
                <w:sz w:val="24"/>
              </w:rPr>
            </w:pPr>
            <w:r>
              <w:rPr>
                <w:rFonts w:hint="eastAsia" w:cs="宋体"/>
                <w:snapToGrid w:val="0"/>
                <w:kern w:val="0"/>
                <w:sz w:val="24"/>
              </w:rPr>
              <w:t>03708</w:t>
            </w:r>
          </w:p>
        </w:tc>
        <w:tc>
          <w:tcPr>
            <w:tcW w:w="3975" w:type="dxa"/>
            <w:vAlign w:val="center"/>
          </w:tcPr>
          <w:p>
            <w:pPr>
              <w:autoSpaceDN w:val="0"/>
              <w:adjustRightInd w:val="0"/>
              <w:snapToGrid w:val="0"/>
              <w:jc w:val="center"/>
              <w:rPr>
                <w:rFonts w:hint="eastAsia" w:cs="宋体"/>
                <w:snapToGrid w:val="0"/>
                <w:kern w:val="0"/>
                <w:sz w:val="24"/>
              </w:rPr>
            </w:pPr>
            <w:r>
              <w:rPr>
                <w:rFonts w:hint="eastAsia" w:cs="宋体"/>
                <w:snapToGrid w:val="0"/>
                <w:kern w:val="0"/>
                <w:sz w:val="24"/>
              </w:rPr>
              <w:t>中国近现代史纲要</w:t>
            </w:r>
          </w:p>
        </w:tc>
        <w:tc>
          <w:tcPr>
            <w:tcW w:w="854" w:type="dxa"/>
            <w:vAlign w:val="center"/>
          </w:tcPr>
          <w:p>
            <w:pPr>
              <w:autoSpaceDN w:val="0"/>
              <w:adjustRightInd w:val="0"/>
              <w:snapToGrid w:val="0"/>
              <w:jc w:val="center"/>
              <w:rPr>
                <w:rFonts w:hint="eastAsia" w:cs="宋体"/>
                <w:snapToGrid w:val="0"/>
                <w:kern w:val="0"/>
                <w:sz w:val="24"/>
              </w:rPr>
            </w:pPr>
            <w:r>
              <w:rPr>
                <w:rFonts w:hint="eastAsia" w:cs="宋体"/>
                <w:snapToGrid w:val="0"/>
                <w:kern w:val="0"/>
                <w:sz w:val="24"/>
              </w:rPr>
              <w:t>2</w:t>
            </w:r>
          </w:p>
        </w:tc>
        <w:tc>
          <w:tcPr>
            <w:tcW w:w="1666" w:type="dxa"/>
            <w:vAlign w:val="center"/>
          </w:tcPr>
          <w:p>
            <w:pPr>
              <w:autoSpaceDN w:val="0"/>
              <w:adjustRightInd w:val="0"/>
              <w:snapToGrid w:val="0"/>
              <w:jc w:val="center"/>
              <w:rPr>
                <w:rFonts w:hint="eastAsia" w:cs="宋体"/>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933" w:type="dxa"/>
            <w:vAlign w:val="center"/>
          </w:tcPr>
          <w:p>
            <w:pPr>
              <w:autoSpaceDN w:val="0"/>
              <w:adjustRightInd w:val="0"/>
              <w:snapToGrid w:val="0"/>
              <w:jc w:val="center"/>
              <w:rPr>
                <w:rFonts w:hint="eastAsia" w:cs="宋体"/>
                <w:snapToGrid w:val="0"/>
                <w:kern w:val="0"/>
                <w:sz w:val="24"/>
              </w:rPr>
            </w:pPr>
            <w:r>
              <w:rPr>
                <w:rFonts w:hint="eastAsia" w:cs="宋体"/>
                <w:snapToGrid w:val="0"/>
                <w:kern w:val="0"/>
                <w:sz w:val="24"/>
              </w:rPr>
              <w:t>2</w:t>
            </w:r>
          </w:p>
        </w:tc>
        <w:tc>
          <w:tcPr>
            <w:tcW w:w="1359" w:type="dxa"/>
            <w:vAlign w:val="center"/>
          </w:tcPr>
          <w:p>
            <w:pPr>
              <w:autoSpaceDN w:val="0"/>
              <w:adjustRightInd w:val="0"/>
              <w:snapToGrid w:val="0"/>
              <w:jc w:val="center"/>
              <w:rPr>
                <w:rFonts w:hint="eastAsia" w:cs="宋体"/>
                <w:snapToGrid w:val="0"/>
                <w:kern w:val="0"/>
                <w:sz w:val="24"/>
              </w:rPr>
            </w:pPr>
            <w:r>
              <w:rPr>
                <w:rFonts w:hint="eastAsia" w:cs="宋体"/>
                <w:snapToGrid w:val="0"/>
                <w:kern w:val="0"/>
                <w:sz w:val="24"/>
              </w:rPr>
              <w:t>03709</w:t>
            </w:r>
          </w:p>
        </w:tc>
        <w:tc>
          <w:tcPr>
            <w:tcW w:w="3975" w:type="dxa"/>
            <w:vAlign w:val="center"/>
          </w:tcPr>
          <w:p>
            <w:pPr>
              <w:autoSpaceDN w:val="0"/>
              <w:adjustRightInd w:val="0"/>
              <w:snapToGrid w:val="0"/>
              <w:jc w:val="center"/>
              <w:rPr>
                <w:rFonts w:hint="eastAsia" w:cs="宋体"/>
                <w:snapToGrid w:val="0"/>
                <w:kern w:val="0"/>
                <w:sz w:val="24"/>
              </w:rPr>
            </w:pPr>
            <w:r>
              <w:rPr>
                <w:rFonts w:hint="eastAsia" w:cs="宋体"/>
                <w:snapToGrid w:val="0"/>
                <w:kern w:val="0"/>
                <w:sz w:val="24"/>
              </w:rPr>
              <w:t>马克思主义基本原理概论</w:t>
            </w:r>
          </w:p>
        </w:tc>
        <w:tc>
          <w:tcPr>
            <w:tcW w:w="854" w:type="dxa"/>
            <w:vAlign w:val="center"/>
          </w:tcPr>
          <w:p>
            <w:pPr>
              <w:autoSpaceDN w:val="0"/>
              <w:adjustRightInd w:val="0"/>
              <w:snapToGrid w:val="0"/>
              <w:jc w:val="center"/>
              <w:rPr>
                <w:rFonts w:hint="eastAsia" w:cs="宋体"/>
                <w:snapToGrid w:val="0"/>
                <w:kern w:val="0"/>
                <w:sz w:val="24"/>
              </w:rPr>
            </w:pPr>
            <w:r>
              <w:rPr>
                <w:rFonts w:hint="eastAsia" w:cs="宋体"/>
                <w:snapToGrid w:val="0"/>
                <w:kern w:val="0"/>
                <w:sz w:val="24"/>
              </w:rPr>
              <w:t>4</w:t>
            </w:r>
          </w:p>
        </w:tc>
        <w:tc>
          <w:tcPr>
            <w:tcW w:w="1666" w:type="dxa"/>
            <w:vAlign w:val="center"/>
          </w:tcPr>
          <w:p>
            <w:pPr>
              <w:autoSpaceDN w:val="0"/>
              <w:adjustRightInd w:val="0"/>
              <w:snapToGrid w:val="0"/>
              <w:jc w:val="center"/>
              <w:rPr>
                <w:rFonts w:hint="eastAsia" w:cs="宋体"/>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933" w:type="dxa"/>
            <w:vAlign w:val="center"/>
          </w:tcPr>
          <w:p>
            <w:pPr>
              <w:autoSpaceDN w:val="0"/>
              <w:adjustRightInd w:val="0"/>
              <w:snapToGrid w:val="0"/>
              <w:jc w:val="center"/>
              <w:rPr>
                <w:rFonts w:hint="eastAsia" w:cs="宋体"/>
                <w:snapToGrid w:val="0"/>
                <w:kern w:val="0"/>
                <w:sz w:val="24"/>
              </w:rPr>
            </w:pPr>
            <w:r>
              <w:rPr>
                <w:rFonts w:hint="eastAsia" w:cs="宋体"/>
                <w:snapToGrid w:val="0"/>
                <w:kern w:val="0"/>
                <w:sz w:val="24"/>
              </w:rPr>
              <w:t>3</w:t>
            </w:r>
          </w:p>
        </w:tc>
        <w:tc>
          <w:tcPr>
            <w:tcW w:w="1359" w:type="dxa"/>
            <w:vAlign w:val="center"/>
          </w:tcPr>
          <w:p>
            <w:pPr>
              <w:autoSpaceDN w:val="0"/>
              <w:adjustRightInd w:val="0"/>
              <w:snapToGrid w:val="0"/>
              <w:jc w:val="center"/>
              <w:rPr>
                <w:rFonts w:hint="eastAsia" w:cs="宋体"/>
                <w:snapToGrid w:val="0"/>
                <w:kern w:val="0"/>
                <w:sz w:val="24"/>
              </w:rPr>
            </w:pPr>
            <w:r>
              <w:rPr>
                <w:rFonts w:hint="eastAsia" w:cs="宋体"/>
                <w:snapToGrid w:val="0"/>
                <w:kern w:val="0"/>
                <w:sz w:val="24"/>
              </w:rPr>
              <w:t>00015</w:t>
            </w:r>
          </w:p>
        </w:tc>
        <w:tc>
          <w:tcPr>
            <w:tcW w:w="3975" w:type="dxa"/>
            <w:vAlign w:val="center"/>
          </w:tcPr>
          <w:p>
            <w:pPr>
              <w:autoSpaceDN w:val="0"/>
              <w:adjustRightInd w:val="0"/>
              <w:snapToGrid w:val="0"/>
              <w:jc w:val="center"/>
              <w:rPr>
                <w:rFonts w:hint="eastAsia" w:cs="宋体"/>
                <w:snapToGrid w:val="0"/>
                <w:kern w:val="0"/>
                <w:sz w:val="24"/>
              </w:rPr>
            </w:pPr>
            <w:r>
              <w:rPr>
                <w:rFonts w:hint="eastAsia" w:cs="宋体"/>
                <w:snapToGrid w:val="0"/>
                <w:kern w:val="0"/>
                <w:sz w:val="24"/>
              </w:rPr>
              <w:t>英语（二）</w:t>
            </w:r>
          </w:p>
        </w:tc>
        <w:tc>
          <w:tcPr>
            <w:tcW w:w="854" w:type="dxa"/>
            <w:vAlign w:val="center"/>
          </w:tcPr>
          <w:p>
            <w:pPr>
              <w:autoSpaceDN w:val="0"/>
              <w:adjustRightInd w:val="0"/>
              <w:snapToGrid w:val="0"/>
              <w:jc w:val="center"/>
              <w:rPr>
                <w:rFonts w:hint="eastAsia" w:cs="宋体"/>
                <w:snapToGrid w:val="0"/>
                <w:kern w:val="0"/>
                <w:sz w:val="24"/>
              </w:rPr>
            </w:pPr>
            <w:r>
              <w:rPr>
                <w:rFonts w:hint="eastAsia" w:cs="宋体"/>
                <w:snapToGrid w:val="0"/>
                <w:kern w:val="0"/>
                <w:sz w:val="24"/>
              </w:rPr>
              <w:t>14</w:t>
            </w:r>
          </w:p>
        </w:tc>
        <w:tc>
          <w:tcPr>
            <w:tcW w:w="1666" w:type="dxa"/>
            <w:vAlign w:val="center"/>
          </w:tcPr>
          <w:p>
            <w:pPr>
              <w:autoSpaceDN w:val="0"/>
              <w:adjustRightInd w:val="0"/>
              <w:snapToGrid w:val="0"/>
              <w:jc w:val="center"/>
              <w:rPr>
                <w:rFonts w:hint="eastAsia" w:cs="宋体"/>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933" w:type="dxa"/>
            <w:vAlign w:val="center"/>
          </w:tcPr>
          <w:p>
            <w:pPr>
              <w:autoSpaceDN w:val="0"/>
              <w:adjustRightInd w:val="0"/>
              <w:snapToGrid w:val="0"/>
              <w:jc w:val="center"/>
              <w:rPr>
                <w:rFonts w:hint="eastAsia" w:cs="宋体"/>
                <w:snapToGrid w:val="0"/>
                <w:kern w:val="0"/>
                <w:sz w:val="24"/>
              </w:rPr>
            </w:pPr>
            <w:r>
              <w:rPr>
                <w:rFonts w:hint="eastAsia" w:cs="宋体"/>
                <w:snapToGrid w:val="0"/>
                <w:kern w:val="0"/>
                <w:sz w:val="24"/>
              </w:rPr>
              <w:t>4</w:t>
            </w:r>
          </w:p>
        </w:tc>
        <w:tc>
          <w:tcPr>
            <w:tcW w:w="1359" w:type="dxa"/>
            <w:vAlign w:val="center"/>
          </w:tcPr>
          <w:p>
            <w:pPr>
              <w:autoSpaceDN w:val="0"/>
              <w:adjustRightInd w:val="0"/>
              <w:snapToGrid w:val="0"/>
              <w:jc w:val="center"/>
              <w:rPr>
                <w:rFonts w:hint="eastAsia" w:cs="宋体"/>
                <w:snapToGrid w:val="0"/>
                <w:kern w:val="0"/>
                <w:sz w:val="24"/>
              </w:rPr>
            </w:pPr>
            <w:r>
              <w:rPr>
                <w:rFonts w:hint="eastAsia" w:cs="宋体"/>
                <w:snapToGrid w:val="0"/>
                <w:kern w:val="0"/>
                <w:sz w:val="24"/>
              </w:rPr>
              <w:t>04183</w:t>
            </w:r>
          </w:p>
        </w:tc>
        <w:tc>
          <w:tcPr>
            <w:tcW w:w="3975" w:type="dxa"/>
            <w:vAlign w:val="center"/>
          </w:tcPr>
          <w:p>
            <w:pPr>
              <w:autoSpaceDN w:val="0"/>
              <w:adjustRightInd w:val="0"/>
              <w:snapToGrid w:val="0"/>
              <w:jc w:val="center"/>
              <w:rPr>
                <w:rFonts w:hint="eastAsia" w:cs="宋体"/>
                <w:snapToGrid w:val="0"/>
                <w:kern w:val="0"/>
                <w:sz w:val="24"/>
              </w:rPr>
            </w:pPr>
            <w:r>
              <w:rPr>
                <w:rFonts w:hint="eastAsia" w:cs="宋体"/>
                <w:snapToGrid w:val="0"/>
                <w:kern w:val="0"/>
                <w:sz w:val="24"/>
              </w:rPr>
              <w:t>概率论与数理统计（经管类）</w:t>
            </w:r>
          </w:p>
        </w:tc>
        <w:tc>
          <w:tcPr>
            <w:tcW w:w="854" w:type="dxa"/>
            <w:vAlign w:val="center"/>
          </w:tcPr>
          <w:p>
            <w:pPr>
              <w:autoSpaceDN w:val="0"/>
              <w:adjustRightInd w:val="0"/>
              <w:snapToGrid w:val="0"/>
              <w:jc w:val="center"/>
              <w:rPr>
                <w:rFonts w:hint="eastAsia" w:cs="宋体"/>
                <w:snapToGrid w:val="0"/>
                <w:kern w:val="0"/>
                <w:sz w:val="24"/>
              </w:rPr>
            </w:pPr>
            <w:r>
              <w:rPr>
                <w:rFonts w:hint="eastAsia" w:cs="宋体"/>
                <w:snapToGrid w:val="0"/>
                <w:kern w:val="0"/>
                <w:sz w:val="24"/>
              </w:rPr>
              <w:t>5</w:t>
            </w:r>
          </w:p>
        </w:tc>
        <w:tc>
          <w:tcPr>
            <w:tcW w:w="1666" w:type="dxa"/>
            <w:vAlign w:val="center"/>
          </w:tcPr>
          <w:p>
            <w:pPr>
              <w:autoSpaceDN w:val="0"/>
              <w:adjustRightInd w:val="0"/>
              <w:snapToGrid w:val="0"/>
              <w:jc w:val="center"/>
              <w:rPr>
                <w:rFonts w:hint="eastAsia" w:cs="宋体"/>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933" w:type="dxa"/>
            <w:vAlign w:val="center"/>
          </w:tcPr>
          <w:p>
            <w:pPr>
              <w:autoSpaceDN w:val="0"/>
              <w:adjustRightInd w:val="0"/>
              <w:snapToGrid w:val="0"/>
              <w:jc w:val="center"/>
              <w:rPr>
                <w:rFonts w:hint="eastAsia" w:cs="宋体"/>
                <w:snapToGrid w:val="0"/>
                <w:kern w:val="0"/>
                <w:sz w:val="24"/>
              </w:rPr>
            </w:pPr>
            <w:r>
              <w:rPr>
                <w:rFonts w:hint="eastAsia" w:cs="宋体"/>
                <w:snapToGrid w:val="0"/>
                <w:kern w:val="0"/>
                <w:sz w:val="24"/>
              </w:rPr>
              <w:t>5</w:t>
            </w:r>
          </w:p>
        </w:tc>
        <w:tc>
          <w:tcPr>
            <w:tcW w:w="1359" w:type="dxa"/>
            <w:vAlign w:val="center"/>
          </w:tcPr>
          <w:p>
            <w:pPr>
              <w:autoSpaceDN w:val="0"/>
              <w:adjustRightInd w:val="0"/>
              <w:snapToGrid w:val="0"/>
              <w:jc w:val="center"/>
              <w:rPr>
                <w:rFonts w:hint="eastAsia" w:cs="宋体"/>
                <w:snapToGrid w:val="0"/>
                <w:kern w:val="0"/>
                <w:sz w:val="24"/>
              </w:rPr>
            </w:pPr>
            <w:r>
              <w:rPr>
                <w:rFonts w:hint="eastAsia" w:cs="宋体"/>
                <w:snapToGrid w:val="0"/>
                <w:kern w:val="0"/>
                <w:sz w:val="24"/>
              </w:rPr>
              <w:t>04184</w:t>
            </w:r>
          </w:p>
        </w:tc>
        <w:tc>
          <w:tcPr>
            <w:tcW w:w="3975" w:type="dxa"/>
            <w:vAlign w:val="center"/>
          </w:tcPr>
          <w:p>
            <w:pPr>
              <w:autoSpaceDN w:val="0"/>
              <w:adjustRightInd w:val="0"/>
              <w:snapToGrid w:val="0"/>
              <w:jc w:val="center"/>
              <w:rPr>
                <w:rFonts w:hint="eastAsia" w:cs="宋体"/>
                <w:snapToGrid w:val="0"/>
                <w:kern w:val="0"/>
                <w:sz w:val="24"/>
              </w:rPr>
            </w:pPr>
            <w:r>
              <w:rPr>
                <w:rFonts w:hint="eastAsia" w:cs="宋体"/>
                <w:snapToGrid w:val="0"/>
                <w:kern w:val="0"/>
                <w:sz w:val="24"/>
              </w:rPr>
              <w:t>线性代数（经管类）</w:t>
            </w:r>
          </w:p>
        </w:tc>
        <w:tc>
          <w:tcPr>
            <w:tcW w:w="854" w:type="dxa"/>
            <w:vAlign w:val="center"/>
          </w:tcPr>
          <w:p>
            <w:pPr>
              <w:autoSpaceDN w:val="0"/>
              <w:adjustRightInd w:val="0"/>
              <w:snapToGrid w:val="0"/>
              <w:jc w:val="center"/>
              <w:rPr>
                <w:rFonts w:hint="eastAsia" w:cs="宋体"/>
                <w:snapToGrid w:val="0"/>
                <w:kern w:val="0"/>
                <w:sz w:val="24"/>
              </w:rPr>
            </w:pPr>
            <w:r>
              <w:rPr>
                <w:rFonts w:hint="eastAsia" w:cs="宋体"/>
                <w:snapToGrid w:val="0"/>
                <w:kern w:val="0"/>
                <w:sz w:val="24"/>
              </w:rPr>
              <w:t>4</w:t>
            </w:r>
          </w:p>
        </w:tc>
        <w:tc>
          <w:tcPr>
            <w:tcW w:w="1666" w:type="dxa"/>
            <w:vAlign w:val="center"/>
          </w:tcPr>
          <w:p>
            <w:pPr>
              <w:autoSpaceDN w:val="0"/>
              <w:adjustRightInd w:val="0"/>
              <w:snapToGrid w:val="0"/>
              <w:jc w:val="center"/>
              <w:rPr>
                <w:rFonts w:hint="eastAsia" w:cs="宋体"/>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933" w:type="dxa"/>
            <w:vAlign w:val="center"/>
          </w:tcPr>
          <w:p>
            <w:pPr>
              <w:adjustRightInd w:val="0"/>
              <w:snapToGrid w:val="0"/>
              <w:jc w:val="center"/>
              <w:rPr>
                <w:rFonts w:hint="eastAsia" w:cs="宋体"/>
                <w:snapToGrid w:val="0"/>
                <w:kern w:val="0"/>
                <w:sz w:val="24"/>
              </w:rPr>
            </w:pPr>
            <w:r>
              <w:rPr>
                <w:rFonts w:hint="eastAsia" w:cs="宋体"/>
                <w:snapToGrid w:val="0"/>
                <w:kern w:val="0"/>
                <w:sz w:val="24"/>
              </w:rPr>
              <w:t>6</w:t>
            </w:r>
          </w:p>
        </w:tc>
        <w:tc>
          <w:tcPr>
            <w:tcW w:w="1359" w:type="dxa"/>
            <w:vAlign w:val="center"/>
          </w:tcPr>
          <w:p>
            <w:pPr>
              <w:autoSpaceDN w:val="0"/>
              <w:adjustRightInd w:val="0"/>
              <w:snapToGrid w:val="0"/>
              <w:jc w:val="center"/>
              <w:rPr>
                <w:rFonts w:hint="eastAsia" w:cs="宋体"/>
                <w:snapToGrid w:val="0"/>
                <w:kern w:val="0"/>
                <w:sz w:val="24"/>
              </w:rPr>
            </w:pPr>
            <w:r>
              <w:rPr>
                <w:rFonts w:hint="eastAsia" w:cs="宋体"/>
                <w:snapToGrid w:val="0"/>
                <w:kern w:val="0"/>
                <w:sz w:val="24"/>
              </w:rPr>
              <w:t>00144</w:t>
            </w:r>
          </w:p>
        </w:tc>
        <w:tc>
          <w:tcPr>
            <w:tcW w:w="3975" w:type="dxa"/>
            <w:vAlign w:val="center"/>
          </w:tcPr>
          <w:p>
            <w:pPr>
              <w:autoSpaceDN w:val="0"/>
              <w:adjustRightInd w:val="0"/>
              <w:snapToGrid w:val="0"/>
              <w:jc w:val="center"/>
              <w:rPr>
                <w:rFonts w:hint="eastAsia" w:cs="宋体"/>
                <w:snapToGrid w:val="0"/>
                <w:kern w:val="0"/>
                <w:sz w:val="24"/>
              </w:rPr>
            </w:pPr>
            <w:r>
              <w:rPr>
                <w:rFonts w:hint="eastAsia" w:cs="宋体"/>
                <w:snapToGrid w:val="0"/>
                <w:kern w:val="0"/>
                <w:sz w:val="24"/>
              </w:rPr>
              <w:t>企业管理概论</w:t>
            </w:r>
          </w:p>
        </w:tc>
        <w:tc>
          <w:tcPr>
            <w:tcW w:w="854" w:type="dxa"/>
            <w:vAlign w:val="center"/>
          </w:tcPr>
          <w:p>
            <w:pPr>
              <w:autoSpaceDN w:val="0"/>
              <w:adjustRightInd w:val="0"/>
              <w:snapToGrid w:val="0"/>
              <w:jc w:val="center"/>
              <w:rPr>
                <w:rFonts w:hint="eastAsia" w:cs="宋体"/>
                <w:snapToGrid w:val="0"/>
                <w:kern w:val="0"/>
                <w:sz w:val="24"/>
              </w:rPr>
            </w:pPr>
            <w:r>
              <w:rPr>
                <w:rFonts w:hint="eastAsia" w:cs="宋体"/>
                <w:snapToGrid w:val="0"/>
                <w:kern w:val="0"/>
                <w:sz w:val="24"/>
              </w:rPr>
              <w:t>5</w:t>
            </w:r>
          </w:p>
        </w:tc>
        <w:tc>
          <w:tcPr>
            <w:tcW w:w="1666" w:type="dxa"/>
            <w:vAlign w:val="center"/>
          </w:tcPr>
          <w:p>
            <w:pPr>
              <w:adjustRightInd w:val="0"/>
              <w:snapToGrid w:val="0"/>
              <w:jc w:val="center"/>
              <w:rPr>
                <w:rFonts w:hint="eastAsia" w:cs="宋体"/>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933" w:type="dxa"/>
            <w:vAlign w:val="center"/>
          </w:tcPr>
          <w:p>
            <w:pPr>
              <w:adjustRightInd w:val="0"/>
              <w:snapToGrid w:val="0"/>
              <w:jc w:val="center"/>
              <w:rPr>
                <w:rFonts w:hint="eastAsia" w:cs="宋体"/>
                <w:snapToGrid w:val="0"/>
                <w:kern w:val="0"/>
                <w:sz w:val="24"/>
              </w:rPr>
            </w:pPr>
            <w:r>
              <w:rPr>
                <w:rFonts w:hint="eastAsia" w:cs="宋体"/>
                <w:snapToGrid w:val="0"/>
                <w:kern w:val="0"/>
                <w:sz w:val="24"/>
              </w:rPr>
              <w:t>7</w:t>
            </w:r>
          </w:p>
        </w:tc>
        <w:tc>
          <w:tcPr>
            <w:tcW w:w="1359" w:type="dxa"/>
            <w:vAlign w:val="center"/>
          </w:tcPr>
          <w:p>
            <w:pPr>
              <w:autoSpaceDN w:val="0"/>
              <w:adjustRightInd w:val="0"/>
              <w:snapToGrid w:val="0"/>
              <w:jc w:val="center"/>
              <w:rPr>
                <w:rFonts w:hint="eastAsia" w:cs="宋体"/>
                <w:snapToGrid w:val="0"/>
                <w:kern w:val="0"/>
                <w:sz w:val="24"/>
              </w:rPr>
            </w:pPr>
            <w:r>
              <w:rPr>
                <w:rFonts w:hint="eastAsia" w:cs="宋体"/>
                <w:snapToGrid w:val="0"/>
                <w:kern w:val="0"/>
                <w:sz w:val="24"/>
              </w:rPr>
              <w:t>00058</w:t>
            </w:r>
          </w:p>
        </w:tc>
        <w:tc>
          <w:tcPr>
            <w:tcW w:w="3975" w:type="dxa"/>
            <w:vAlign w:val="center"/>
          </w:tcPr>
          <w:p>
            <w:pPr>
              <w:autoSpaceDN w:val="0"/>
              <w:adjustRightInd w:val="0"/>
              <w:snapToGrid w:val="0"/>
              <w:jc w:val="center"/>
              <w:rPr>
                <w:rFonts w:hint="eastAsia" w:cs="宋体"/>
                <w:snapToGrid w:val="0"/>
                <w:kern w:val="0"/>
                <w:sz w:val="24"/>
              </w:rPr>
            </w:pPr>
            <w:r>
              <w:rPr>
                <w:rFonts w:hint="eastAsia" w:cs="宋体"/>
                <w:snapToGrid w:val="0"/>
                <w:kern w:val="0"/>
                <w:sz w:val="24"/>
              </w:rPr>
              <w:t>市场营销学</w:t>
            </w:r>
          </w:p>
        </w:tc>
        <w:tc>
          <w:tcPr>
            <w:tcW w:w="854" w:type="dxa"/>
            <w:vAlign w:val="center"/>
          </w:tcPr>
          <w:p>
            <w:pPr>
              <w:autoSpaceDN w:val="0"/>
              <w:adjustRightInd w:val="0"/>
              <w:snapToGrid w:val="0"/>
              <w:jc w:val="center"/>
              <w:rPr>
                <w:rFonts w:hint="eastAsia" w:cs="宋体"/>
                <w:snapToGrid w:val="0"/>
                <w:kern w:val="0"/>
                <w:sz w:val="24"/>
              </w:rPr>
            </w:pPr>
            <w:r>
              <w:rPr>
                <w:rFonts w:hint="eastAsia" w:cs="宋体"/>
                <w:snapToGrid w:val="0"/>
                <w:kern w:val="0"/>
                <w:sz w:val="24"/>
              </w:rPr>
              <w:t>5</w:t>
            </w:r>
          </w:p>
        </w:tc>
        <w:tc>
          <w:tcPr>
            <w:tcW w:w="1666" w:type="dxa"/>
            <w:vAlign w:val="center"/>
          </w:tcPr>
          <w:p>
            <w:pPr>
              <w:adjustRightInd w:val="0"/>
              <w:snapToGrid w:val="0"/>
              <w:jc w:val="center"/>
              <w:rPr>
                <w:rFonts w:hint="eastAsia" w:cs="宋体"/>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933" w:type="dxa"/>
            <w:vAlign w:val="center"/>
          </w:tcPr>
          <w:p>
            <w:pPr>
              <w:adjustRightInd w:val="0"/>
              <w:snapToGrid w:val="0"/>
              <w:jc w:val="center"/>
              <w:rPr>
                <w:rFonts w:hint="eastAsia" w:cs="宋体"/>
                <w:snapToGrid w:val="0"/>
                <w:kern w:val="0"/>
                <w:sz w:val="24"/>
              </w:rPr>
            </w:pPr>
            <w:r>
              <w:rPr>
                <w:rFonts w:hint="eastAsia" w:cs="宋体"/>
                <w:snapToGrid w:val="0"/>
                <w:kern w:val="0"/>
                <w:sz w:val="24"/>
              </w:rPr>
              <w:t>8</w:t>
            </w:r>
          </w:p>
        </w:tc>
        <w:tc>
          <w:tcPr>
            <w:tcW w:w="1359" w:type="dxa"/>
            <w:vAlign w:val="center"/>
          </w:tcPr>
          <w:p>
            <w:pPr>
              <w:autoSpaceDN w:val="0"/>
              <w:adjustRightInd w:val="0"/>
              <w:snapToGrid w:val="0"/>
              <w:jc w:val="center"/>
              <w:rPr>
                <w:rFonts w:hint="eastAsia" w:cs="宋体"/>
                <w:snapToGrid w:val="0"/>
                <w:kern w:val="0"/>
                <w:sz w:val="24"/>
              </w:rPr>
            </w:pPr>
            <w:r>
              <w:rPr>
                <w:rFonts w:hint="eastAsia" w:cs="宋体"/>
                <w:snapToGrid w:val="0"/>
                <w:kern w:val="0"/>
                <w:sz w:val="24"/>
              </w:rPr>
              <w:t>00067</w:t>
            </w:r>
          </w:p>
        </w:tc>
        <w:tc>
          <w:tcPr>
            <w:tcW w:w="3975" w:type="dxa"/>
            <w:vAlign w:val="center"/>
          </w:tcPr>
          <w:p>
            <w:pPr>
              <w:autoSpaceDN w:val="0"/>
              <w:adjustRightInd w:val="0"/>
              <w:snapToGrid w:val="0"/>
              <w:jc w:val="center"/>
              <w:rPr>
                <w:rFonts w:hint="eastAsia" w:cs="宋体"/>
                <w:snapToGrid w:val="0"/>
                <w:kern w:val="0"/>
                <w:sz w:val="24"/>
              </w:rPr>
            </w:pPr>
            <w:r>
              <w:rPr>
                <w:rFonts w:hint="eastAsia" w:cs="宋体"/>
                <w:snapToGrid w:val="0"/>
                <w:kern w:val="0"/>
                <w:sz w:val="24"/>
              </w:rPr>
              <w:t>财务管理学</w:t>
            </w:r>
          </w:p>
        </w:tc>
        <w:tc>
          <w:tcPr>
            <w:tcW w:w="854" w:type="dxa"/>
            <w:vAlign w:val="center"/>
          </w:tcPr>
          <w:p>
            <w:pPr>
              <w:autoSpaceDN w:val="0"/>
              <w:adjustRightInd w:val="0"/>
              <w:snapToGrid w:val="0"/>
              <w:jc w:val="center"/>
              <w:rPr>
                <w:rFonts w:hint="eastAsia" w:cs="宋体"/>
                <w:snapToGrid w:val="0"/>
                <w:kern w:val="0"/>
                <w:sz w:val="24"/>
              </w:rPr>
            </w:pPr>
            <w:r>
              <w:rPr>
                <w:rFonts w:hint="eastAsia" w:cs="宋体"/>
                <w:snapToGrid w:val="0"/>
                <w:kern w:val="0"/>
                <w:sz w:val="24"/>
              </w:rPr>
              <w:t>6</w:t>
            </w:r>
          </w:p>
        </w:tc>
        <w:tc>
          <w:tcPr>
            <w:tcW w:w="1666" w:type="dxa"/>
            <w:vAlign w:val="center"/>
          </w:tcPr>
          <w:p>
            <w:pPr>
              <w:adjustRightInd w:val="0"/>
              <w:snapToGrid w:val="0"/>
              <w:jc w:val="center"/>
              <w:rPr>
                <w:rFonts w:hint="eastAsia" w:cs="宋体"/>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933" w:type="dxa"/>
            <w:vAlign w:val="center"/>
          </w:tcPr>
          <w:p>
            <w:pPr>
              <w:autoSpaceDN w:val="0"/>
              <w:adjustRightInd w:val="0"/>
              <w:snapToGrid w:val="0"/>
              <w:jc w:val="center"/>
              <w:rPr>
                <w:rFonts w:hint="eastAsia" w:cs="宋体"/>
                <w:snapToGrid w:val="0"/>
                <w:kern w:val="0"/>
                <w:sz w:val="24"/>
              </w:rPr>
            </w:pPr>
            <w:r>
              <w:rPr>
                <w:rFonts w:hint="eastAsia" w:cs="宋体"/>
                <w:snapToGrid w:val="0"/>
                <w:kern w:val="0"/>
                <w:sz w:val="24"/>
              </w:rPr>
              <w:t>9</w:t>
            </w:r>
          </w:p>
        </w:tc>
        <w:tc>
          <w:tcPr>
            <w:tcW w:w="1359" w:type="dxa"/>
            <w:vAlign w:val="center"/>
          </w:tcPr>
          <w:p>
            <w:pPr>
              <w:autoSpaceDN w:val="0"/>
              <w:adjustRightInd w:val="0"/>
              <w:snapToGrid w:val="0"/>
              <w:jc w:val="center"/>
              <w:rPr>
                <w:rFonts w:hint="eastAsia" w:cs="宋体"/>
                <w:snapToGrid w:val="0"/>
                <w:kern w:val="0"/>
                <w:sz w:val="24"/>
              </w:rPr>
            </w:pPr>
            <w:r>
              <w:rPr>
                <w:rFonts w:hint="eastAsia" w:cs="宋体"/>
                <w:snapToGrid w:val="0"/>
                <w:kern w:val="0"/>
                <w:sz w:val="24"/>
              </w:rPr>
              <w:t>00103</w:t>
            </w:r>
          </w:p>
        </w:tc>
        <w:tc>
          <w:tcPr>
            <w:tcW w:w="3975" w:type="dxa"/>
            <w:vAlign w:val="center"/>
          </w:tcPr>
          <w:p>
            <w:pPr>
              <w:autoSpaceDN w:val="0"/>
              <w:adjustRightInd w:val="0"/>
              <w:snapToGrid w:val="0"/>
              <w:jc w:val="center"/>
              <w:rPr>
                <w:rFonts w:hint="eastAsia" w:cs="宋体"/>
                <w:snapToGrid w:val="0"/>
                <w:kern w:val="0"/>
                <w:sz w:val="24"/>
              </w:rPr>
            </w:pPr>
            <w:r>
              <w:rPr>
                <w:rFonts w:hint="eastAsia" w:cs="宋体"/>
                <w:snapToGrid w:val="0"/>
                <w:kern w:val="0"/>
                <w:sz w:val="24"/>
              </w:rPr>
              <w:t>证券投资学</w:t>
            </w:r>
          </w:p>
        </w:tc>
        <w:tc>
          <w:tcPr>
            <w:tcW w:w="854" w:type="dxa"/>
            <w:vAlign w:val="center"/>
          </w:tcPr>
          <w:p>
            <w:pPr>
              <w:autoSpaceDN w:val="0"/>
              <w:adjustRightInd w:val="0"/>
              <w:snapToGrid w:val="0"/>
              <w:jc w:val="center"/>
              <w:rPr>
                <w:rFonts w:hint="eastAsia" w:cs="宋体"/>
                <w:snapToGrid w:val="0"/>
                <w:kern w:val="0"/>
                <w:sz w:val="24"/>
              </w:rPr>
            </w:pPr>
            <w:r>
              <w:rPr>
                <w:rFonts w:hint="eastAsia" w:cs="宋体"/>
                <w:snapToGrid w:val="0"/>
                <w:kern w:val="0"/>
                <w:sz w:val="24"/>
              </w:rPr>
              <w:t>5</w:t>
            </w:r>
          </w:p>
        </w:tc>
        <w:tc>
          <w:tcPr>
            <w:tcW w:w="1666" w:type="dxa"/>
            <w:vAlign w:val="center"/>
          </w:tcPr>
          <w:p>
            <w:pPr>
              <w:autoSpaceDN w:val="0"/>
              <w:adjustRightInd w:val="0"/>
              <w:snapToGrid w:val="0"/>
              <w:jc w:val="center"/>
              <w:rPr>
                <w:rFonts w:hint="eastAsia" w:cs="宋体"/>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933" w:type="dxa"/>
            <w:vAlign w:val="center"/>
          </w:tcPr>
          <w:p>
            <w:pPr>
              <w:autoSpaceDN w:val="0"/>
              <w:adjustRightInd w:val="0"/>
              <w:snapToGrid w:val="0"/>
              <w:jc w:val="center"/>
              <w:rPr>
                <w:rFonts w:hint="eastAsia" w:cs="宋体"/>
                <w:snapToGrid w:val="0"/>
                <w:kern w:val="0"/>
                <w:sz w:val="24"/>
              </w:rPr>
            </w:pPr>
            <w:r>
              <w:rPr>
                <w:rFonts w:hint="eastAsia" w:cs="宋体"/>
                <w:snapToGrid w:val="0"/>
                <w:kern w:val="0"/>
                <w:sz w:val="24"/>
              </w:rPr>
              <w:t>10</w:t>
            </w:r>
          </w:p>
        </w:tc>
        <w:tc>
          <w:tcPr>
            <w:tcW w:w="1359" w:type="dxa"/>
            <w:vAlign w:val="center"/>
          </w:tcPr>
          <w:p>
            <w:pPr>
              <w:autoSpaceDN w:val="0"/>
              <w:adjustRightInd w:val="0"/>
              <w:snapToGrid w:val="0"/>
              <w:jc w:val="center"/>
              <w:rPr>
                <w:rFonts w:hint="eastAsia" w:cs="宋体"/>
                <w:snapToGrid w:val="0"/>
                <w:kern w:val="0"/>
                <w:sz w:val="24"/>
              </w:rPr>
            </w:pPr>
            <w:r>
              <w:rPr>
                <w:rFonts w:hint="eastAsia" w:cs="宋体"/>
                <w:snapToGrid w:val="0"/>
                <w:kern w:val="0"/>
                <w:sz w:val="24"/>
              </w:rPr>
              <w:t>00159</w:t>
            </w:r>
          </w:p>
        </w:tc>
        <w:tc>
          <w:tcPr>
            <w:tcW w:w="3975" w:type="dxa"/>
            <w:vAlign w:val="center"/>
          </w:tcPr>
          <w:p>
            <w:pPr>
              <w:autoSpaceDN w:val="0"/>
              <w:adjustRightInd w:val="0"/>
              <w:snapToGrid w:val="0"/>
              <w:jc w:val="center"/>
              <w:rPr>
                <w:rFonts w:hint="eastAsia" w:cs="宋体"/>
                <w:snapToGrid w:val="0"/>
                <w:kern w:val="0"/>
                <w:sz w:val="24"/>
              </w:rPr>
            </w:pPr>
            <w:r>
              <w:rPr>
                <w:rFonts w:hint="eastAsia" w:cs="宋体"/>
                <w:snapToGrid w:val="0"/>
                <w:kern w:val="0"/>
                <w:sz w:val="24"/>
              </w:rPr>
              <w:t>高级财务会计</w:t>
            </w:r>
          </w:p>
        </w:tc>
        <w:tc>
          <w:tcPr>
            <w:tcW w:w="854" w:type="dxa"/>
            <w:vAlign w:val="center"/>
          </w:tcPr>
          <w:p>
            <w:pPr>
              <w:autoSpaceDN w:val="0"/>
              <w:adjustRightInd w:val="0"/>
              <w:snapToGrid w:val="0"/>
              <w:jc w:val="center"/>
              <w:rPr>
                <w:rFonts w:hint="eastAsia" w:cs="宋体"/>
                <w:snapToGrid w:val="0"/>
                <w:kern w:val="0"/>
                <w:sz w:val="24"/>
              </w:rPr>
            </w:pPr>
            <w:r>
              <w:rPr>
                <w:rFonts w:hint="eastAsia" w:cs="宋体"/>
                <w:snapToGrid w:val="0"/>
                <w:kern w:val="0"/>
                <w:sz w:val="24"/>
              </w:rPr>
              <w:t>6</w:t>
            </w:r>
          </w:p>
        </w:tc>
        <w:tc>
          <w:tcPr>
            <w:tcW w:w="1666" w:type="dxa"/>
            <w:vAlign w:val="center"/>
          </w:tcPr>
          <w:p>
            <w:pPr>
              <w:autoSpaceDN w:val="0"/>
              <w:adjustRightInd w:val="0"/>
              <w:snapToGrid w:val="0"/>
              <w:jc w:val="center"/>
              <w:rPr>
                <w:rFonts w:hint="eastAsia" w:cs="宋体"/>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933" w:type="dxa"/>
            <w:vAlign w:val="center"/>
          </w:tcPr>
          <w:p>
            <w:pPr>
              <w:autoSpaceDN w:val="0"/>
              <w:adjustRightInd w:val="0"/>
              <w:snapToGrid w:val="0"/>
              <w:jc w:val="center"/>
              <w:rPr>
                <w:rFonts w:hint="eastAsia" w:cs="宋体"/>
                <w:snapToGrid w:val="0"/>
                <w:kern w:val="0"/>
                <w:sz w:val="24"/>
              </w:rPr>
            </w:pPr>
            <w:r>
              <w:rPr>
                <w:rFonts w:hint="eastAsia" w:cs="宋体"/>
                <w:snapToGrid w:val="0"/>
                <w:kern w:val="0"/>
                <w:sz w:val="24"/>
              </w:rPr>
              <w:t>11</w:t>
            </w:r>
          </w:p>
        </w:tc>
        <w:tc>
          <w:tcPr>
            <w:tcW w:w="1359" w:type="dxa"/>
            <w:vAlign w:val="center"/>
          </w:tcPr>
          <w:p>
            <w:pPr>
              <w:autoSpaceDN w:val="0"/>
              <w:adjustRightInd w:val="0"/>
              <w:snapToGrid w:val="0"/>
              <w:jc w:val="center"/>
              <w:rPr>
                <w:rFonts w:hint="eastAsia" w:cs="宋体"/>
                <w:snapToGrid w:val="0"/>
                <w:kern w:val="0"/>
                <w:sz w:val="24"/>
              </w:rPr>
            </w:pPr>
            <w:r>
              <w:rPr>
                <w:rFonts w:hint="eastAsia" w:cs="宋体"/>
                <w:snapToGrid w:val="0"/>
                <w:kern w:val="0"/>
                <w:sz w:val="24"/>
              </w:rPr>
              <w:t>00160</w:t>
            </w:r>
          </w:p>
        </w:tc>
        <w:tc>
          <w:tcPr>
            <w:tcW w:w="3975" w:type="dxa"/>
            <w:vAlign w:val="center"/>
          </w:tcPr>
          <w:p>
            <w:pPr>
              <w:autoSpaceDN w:val="0"/>
              <w:adjustRightInd w:val="0"/>
              <w:snapToGrid w:val="0"/>
              <w:jc w:val="center"/>
              <w:rPr>
                <w:rFonts w:hint="eastAsia" w:cs="宋体"/>
                <w:snapToGrid w:val="0"/>
                <w:kern w:val="0"/>
                <w:sz w:val="24"/>
              </w:rPr>
            </w:pPr>
            <w:r>
              <w:rPr>
                <w:rFonts w:hint="eastAsia" w:cs="宋体"/>
                <w:snapToGrid w:val="0"/>
                <w:kern w:val="0"/>
                <w:sz w:val="24"/>
              </w:rPr>
              <w:t>审计学</w:t>
            </w:r>
          </w:p>
        </w:tc>
        <w:tc>
          <w:tcPr>
            <w:tcW w:w="854" w:type="dxa"/>
            <w:vAlign w:val="center"/>
          </w:tcPr>
          <w:p>
            <w:pPr>
              <w:autoSpaceDN w:val="0"/>
              <w:adjustRightInd w:val="0"/>
              <w:snapToGrid w:val="0"/>
              <w:jc w:val="center"/>
              <w:rPr>
                <w:rFonts w:hint="eastAsia" w:cs="宋体"/>
                <w:snapToGrid w:val="0"/>
                <w:kern w:val="0"/>
                <w:sz w:val="24"/>
              </w:rPr>
            </w:pPr>
            <w:r>
              <w:rPr>
                <w:rFonts w:hint="eastAsia" w:cs="宋体"/>
                <w:snapToGrid w:val="0"/>
                <w:kern w:val="0"/>
                <w:sz w:val="24"/>
              </w:rPr>
              <w:t>4</w:t>
            </w:r>
          </w:p>
        </w:tc>
        <w:tc>
          <w:tcPr>
            <w:tcW w:w="1666" w:type="dxa"/>
            <w:vAlign w:val="center"/>
          </w:tcPr>
          <w:p>
            <w:pPr>
              <w:autoSpaceDN w:val="0"/>
              <w:adjustRightInd w:val="0"/>
              <w:snapToGrid w:val="0"/>
              <w:jc w:val="center"/>
              <w:rPr>
                <w:rFonts w:hint="eastAsia" w:cs="宋体"/>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933" w:type="dxa"/>
            <w:vAlign w:val="center"/>
          </w:tcPr>
          <w:p>
            <w:pPr>
              <w:autoSpaceDN w:val="0"/>
              <w:adjustRightInd w:val="0"/>
              <w:snapToGrid w:val="0"/>
              <w:jc w:val="center"/>
              <w:rPr>
                <w:rFonts w:hint="eastAsia" w:cs="宋体"/>
                <w:snapToGrid w:val="0"/>
                <w:kern w:val="0"/>
                <w:sz w:val="24"/>
              </w:rPr>
            </w:pPr>
            <w:r>
              <w:rPr>
                <w:rFonts w:hint="eastAsia" w:cs="宋体"/>
                <w:snapToGrid w:val="0"/>
                <w:kern w:val="0"/>
                <w:sz w:val="24"/>
              </w:rPr>
              <w:t>12</w:t>
            </w:r>
          </w:p>
        </w:tc>
        <w:tc>
          <w:tcPr>
            <w:tcW w:w="1359" w:type="dxa"/>
            <w:vAlign w:val="center"/>
          </w:tcPr>
          <w:p>
            <w:pPr>
              <w:autoSpaceDN w:val="0"/>
              <w:adjustRightInd w:val="0"/>
              <w:snapToGrid w:val="0"/>
              <w:jc w:val="center"/>
              <w:rPr>
                <w:rFonts w:hint="eastAsia" w:cs="宋体"/>
                <w:snapToGrid w:val="0"/>
                <w:kern w:val="0"/>
                <w:sz w:val="24"/>
              </w:rPr>
            </w:pPr>
            <w:r>
              <w:rPr>
                <w:rFonts w:hint="eastAsia" w:cs="宋体"/>
                <w:snapToGrid w:val="0"/>
                <w:kern w:val="0"/>
                <w:sz w:val="24"/>
              </w:rPr>
              <w:t>00161</w:t>
            </w:r>
          </w:p>
        </w:tc>
        <w:tc>
          <w:tcPr>
            <w:tcW w:w="3975" w:type="dxa"/>
            <w:vAlign w:val="center"/>
          </w:tcPr>
          <w:p>
            <w:pPr>
              <w:autoSpaceDN w:val="0"/>
              <w:adjustRightInd w:val="0"/>
              <w:snapToGrid w:val="0"/>
              <w:jc w:val="center"/>
              <w:rPr>
                <w:rFonts w:hint="eastAsia" w:cs="宋体"/>
                <w:snapToGrid w:val="0"/>
                <w:kern w:val="0"/>
                <w:sz w:val="24"/>
              </w:rPr>
            </w:pPr>
            <w:r>
              <w:rPr>
                <w:rFonts w:hint="eastAsia" w:cs="宋体"/>
                <w:snapToGrid w:val="0"/>
                <w:kern w:val="0"/>
                <w:sz w:val="24"/>
              </w:rPr>
              <w:t>财务报表分析（一）</w:t>
            </w:r>
          </w:p>
        </w:tc>
        <w:tc>
          <w:tcPr>
            <w:tcW w:w="854" w:type="dxa"/>
            <w:vAlign w:val="center"/>
          </w:tcPr>
          <w:p>
            <w:pPr>
              <w:autoSpaceDN w:val="0"/>
              <w:adjustRightInd w:val="0"/>
              <w:snapToGrid w:val="0"/>
              <w:jc w:val="center"/>
              <w:rPr>
                <w:rFonts w:hint="eastAsia" w:cs="宋体"/>
                <w:snapToGrid w:val="0"/>
                <w:kern w:val="0"/>
                <w:sz w:val="24"/>
              </w:rPr>
            </w:pPr>
            <w:r>
              <w:rPr>
                <w:rFonts w:hint="eastAsia" w:cs="宋体"/>
                <w:snapToGrid w:val="0"/>
                <w:kern w:val="0"/>
                <w:sz w:val="24"/>
              </w:rPr>
              <w:t>5</w:t>
            </w:r>
          </w:p>
        </w:tc>
        <w:tc>
          <w:tcPr>
            <w:tcW w:w="1666" w:type="dxa"/>
            <w:vAlign w:val="center"/>
          </w:tcPr>
          <w:p>
            <w:pPr>
              <w:autoSpaceDN w:val="0"/>
              <w:adjustRightInd w:val="0"/>
              <w:snapToGrid w:val="0"/>
              <w:rPr>
                <w:rFonts w:hint="eastAsia" w:cs="宋体"/>
                <w:snapToGrid w:val="0"/>
                <w:kern w:val="0"/>
                <w:sz w:val="24"/>
              </w:rPr>
            </w:pPr>
            <w:r>
              <w:rPr>
                <w:rFonts w:hint="eastAsia" w:cs="宋体"/>
                <w:snapToGrid w:val="0"/>
                <w:kern w:val="0"/>
                <w:sz w:val="24"/>
              </w:rPr>
              <w:t>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933" w:type="dxa"/>
            <w:vAlign w:val="center"/>
          </w:tcPr>
          <w:p>
            <w:pPr>
              <w:autoSpaceDN w:val="0"/>
              <w:adjustRightInd w:val="0"/>
              <w:snapToGrid w:val="0"/>
              <w:jc w:val="center"/>
              <w:rPr>
                <w:rFonts w:hint="eastAsia" w:cs="宋体"/>
                <w:snapToGrid w:val="0"/>
                <w:kern w:val="0"/>
                <w:sz w:val="24"/>
              </w:rPr>
            </w:pPr>
            <w:r>
              <w:rPr>
                <w:rFonts w:hint="eastAsia" w:cs="宋体"/>
                <w:snapToGrid w:val="0"/>
                <w:kern w:val="0"/>
                <w:sz w:val="24"/>
              </w:rPr>
              <w:t>13</w:t>
            </w:r>
          </w:p>
        </w:tc>
        <w:tc>
          <w:tcPr>
            <w:tcW w:w="1359" w:type="dxa"/>
            <w:vAlign w:val="center"/>
          </w:tcPr>
          <w:p>
            <w:pPr>
              <w:autoSpaceDN w:val="0"/>
              <w:adjustRightInd w:val="0"/>
              <w:snapToGrid w:val="0"/>
              <w:jc w:val="center"/>
              <w:rPr>
                <w:rFonts w:hint="eastAsia" w:cs="宋体"/>
                <w:snapToGrid w:val="0"/>
                <w:kern w:val="0"/>
                <w:sz w:val="24"/>
              </w:rPr>
            </w:pPr>
            <w:r>
              <w:rPr>
                <w:rFonts w:hint="eastAsia" w:cs="宋体"/>
                <w:snapToGrid w:val="0"/>
                <w:kern w:val="0"/>
                <w:sz w:val="24"/>
              </w:rPr>
              <w:t>08309</w:t>
            </w:r>
          </w:p>
        </w:tc>
        <w:tc>
          <w:tcPr>
            <w:tcW w:w="3975" w:type="dxa"/>
            <w:vAlign w:val="center"/>
          </w:tcPr>
          <w:p>
            <w:pPr>
              <w:autoSpaceDN w:val="0"/>
              <w:adjustRightInd w:val="0"/>
              <w:snapToGrid w:val="0"/>
              <w:jc w:val="center"/>
              <w:rPr>
                <w:rFonts w:hint="eastAsia" w:cs="宋体"/>
                <w:snapToGrid w:val="0"/>
                <w:kern w:val="0"/>
                <w:sz w:val="24"/>
              </w:rPr>
            </w:pPr>
            <w:r>
              <w:rPr>
                <w:rFonts w:hint="eastAsia" w:cs="宋体"/>
                <w:snapToGrid w:val="0"/>
                <w:kern w:val="0"/>
                <w:sz w:val="24"/>
              </w:rPr>
              <w:t>投资项目分析</w:t>
            </w:r>
          </w:p>
        </w:tc>
        <w:tc>
          <w:tcPr>
            <w:tcW w:w="854" w:type="dxa"/>
            <w:vAlign w:val="center"/>
          </w:tcPr>
          <w:p>
            <w:pPr>
              <w:autoSpaceDN w:val="0"/>
              <w:adjustRightInd w:val="0"/>
              <w:snapToGrid w:val="0"/>
              <w:jc w:val="center"/>
              <w:rPr>
                <w:rFonts w:hint="eastAsia" w:cs="宋体"/>
                <w:snapToGrid w:val="0"/>
                <w:kern w:val="0"/>
                <w:sz w:val="24"/>
              </w:rPr>
            </w:pPr>
            <w:r>
              <w:rPr>
                <w:rFonts w:hint="eastAsia" w:cs="宋体"/>
                <w:snapToGrid w:val="0"/>
                <w:kern w:val="0"/>
                <w:sz w:val="24"/>
              </w:rPr>
              <w:t>5</w:t>
            </w:r>
          </w:p>
        </w:tc>
        <w:tc>
          <w:tcPr>
            <w:tcW w:w="1666" w:type="dxa"/>
            <w:vAlign w:val="center"/>
          </w:tcPr>
          <w:p>
            <w:pPr>
              <w:autoSpaceDN w:val="0"/>
              <w:adjustRightInd w:val="0"/>
              <w:snapToGrid w:val="0"/>
              <w:jc w:val="center"/>
              <w:rPr>
                <w:rFonts w:hint="eastAsia" w:cs="宋体"/>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933" w:type="dxa"/>
            <w:vAlign w:val="center"/>
          </w:tcPr>
          <w:p>
            <w:pPr>
              <w:autoSpaceDN w:val="0"/>
              <w:adjustRightInd w:val="0"/>
              <w:snapToGrid w:val="0"/>
              <w:jc w:val="center"/>
              <w:rPr>
                <w:rFonts w:hint="eastAsia" w:cs="宋体"/>
                <w:snapToGrid w:val="0"/>
                <w:kern w:val="0"/>
                <w:sz w:val="24"/>
              </w:rPr>
            </w:pPr>
          </w:p>
        </w:tc>
        <w:tc>
          <w:tcPr>
            <w:tcW w:w="1359" w:type="dxa"/>
            <w:vAlign w:val="center"/>
          </w:tcPr>
          <w:p>
            <w:pPr>
              <w:autoSpaceDN w:val="0"/>
              <w:adjustRightInd w:val="0"/>
              <w:snapToGrid w:val="0"/>
              <w:jc w:val="center"/>
              <w:rPr>
                <w:rFonts w:hint="eastAsia" w:cs="宋体"/>
                <w:snapToGrid w:val="0"/>
                <w:kern w:val="0"/>
                <w:sz w:val="24"/>
              </w:rPr>
            </w:pPr>
            <w:r>
              <w:rPr>
                <w:rFonts w:hint="eastAsia" w:cs="宋体"/>
                <w:snapToGrid w:val="0"/>
                <w:kern w:val="0"/>
                <w:sz w:val="24"/>
              </w:rPr>
              <w:t>06999</w:t>
            </w:r>
          </w:p>
        </w:tc>
        <w:tc>
          <w:tcPr>
            <w:tcW w:w="3975" w:type="dxa"/>
            <w:vAlign w:val="center"/>
          </w:tcPr>
          <w:p>
            <w:pPr>
              <w:autoSpaceDN w:val="0"/>
              <w:adjustRightInd w:val="0"/>
              <w:snapToGrid w:val="0"/>
              <w:jc w:val="center"/>
              <w:rPr>
                <w:rFonts w:hint="eastAsia" w:cs="宋体"/>
                <w:snapToGrid w:val="0"/>
                <w:kern w:val="0"/>
                <w:sz w:val="24"/>
              </w:rPr>
            </w:pPr>
            <w:r>
              <w:rPr>
                <w:rFonts w:hint="eastAsia" w:cs="宋体"/>
                <w:snapToGrid w:val="0"/>
                <w:kern w:val="0"/>
                <w:sz w:val="24"/>
              </w:rPr>
              <w:t>毕业论文</w:t>
            </w:r>
          </w:p>
        </w:tc>
        <w:tc>
          <w:tcPr>
            <w:tcW w:w="854" w:type="dxa"/>
            <w:vAlign w:val="center"/>
          </w:tcPr>
          <w:p>
            <w:pPr>
              <w:autoSpaceDN w:val="0"/>
              <w:adjustRightInd w:val="0"/>
              <w:snapToGrid w:val="0"/>
              <w:jc w:val="center"/>
              <w:rPr>
                <w:rFonts w:hint="eastAsia" w:cs="宋体"/>
                <w:snapToGrid w:val="0"/>
                <w:kern w:val="0"/>
                <w:sz w:val="24"/>
              </w:rPr>
            </w:pPr>
          </w:p>
        </w:tc>
        <w:tc>
          <w:tcPr>
            <w:tcW w:w="1666" w:type="dxa"/>
            <w:vAlign w:val="center"/>
          </w:tcPr>
          <w:p>
            <w:pPr>
              <w:autoSpaceDN w:val="0"/>
              <w:adjustRightInd w:val="0"/>
              <w:snapToGrid w:val="0"/>
              <w:jc w:val="center"/>
              <w:rPr>
                <w:rFonts w:hint="eastAsia" w:cs="宋体"/>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6267" w:type="dxa"/>
            <w:gridSpan w:val="3"/>
            <w:vAlign w:val="center"/>
          </w:tcPr>
          <w:p>
            <w:pPr>
              <w:autoSpaceDN w:val="0"/>
              <w:adjustRightInd w:val="0"/>
              <w:snapToGrid w:val="0"/>
              <w:jc w:val="center"/>
              <w:rPr>
                <w:rFonts w:hint="eastAsia" w:cs="宋体"/>
                <w:snapToGrid w:val="0"/>
                <w:kern w:val="0"/>
                <w:sz w:val="24"/>
              </w:rPr>
            </w:pPr>
            <w:r>
              <w:rPr>
                <w:rFonts w:hint="eastAsia" w:cs="宋体"/>
                <w:snapToGrid w:val="0"/>
                <w:kern w:val="0"/>
                <w:sz w:val="24"/>
              </w:rPr>
              <w:t>总学分</w:t>
            </w:r>
          </w:p>
        </w:tc>
        <w:tc>
          <w:tcPr>
            <w:tcW w:w="854" w:type="dxa"/>
            <w:vAlign w:val="center"/>
          </w:tcPr>
          <w:p>
            <w:pPr>
              <w:autoSpaceDN w:val="0"/>
              <w:adjustRightInd w:val="0"/>
              <w:snapToGrid w:val="0"/>
              <w:jc w:val="center"/>
              <w:rPr>
                <w:rFonts w:hint="eastAsia" w:cs="宋体"/>
                <w:snapToGrid w:val="0"/>
                <w:kern w:val="0"/>
                <w:sz w:val="24"/>
              </w:rPr>
            </w:pPr>
            <w:r>
              <w:rPr>
                <w:rFonts w:hint="eastAsia" w:cs="宋体"/>
                <w:snapToGrid w:val="0"/>
                <w:kern w:val="0"/>
                <w:sz w:val="24"/>
              </w:rPr>
              <w:t>70</w:t>
            </w:r>
          </w:p>
        </w:tc>
        <w:tc>
          <w:tcPr>
            <w:tcW w:w="1666" w:type="dxa"/>
            <w:vAlign w:val="center"/>
          </w:tcPr>
          <w:p>
            <w:pPr>
              <w:autoSpaceDN w:val="0"/>
              <w:adjustRightInd w:val="0"/>
              <w:snapToGrid w:val="0"/>
              <w:jc w:val="center"/>
              <w:rPr>
                <w:rFonts w:hint="eastAsia" w:cs="宋体"/>
                <w:snapToGrid w:val="0"/>
                <w:kern w:val="0"/>
                <w:sz w:val="24"/>
              </w:rPr>
            </w:pPr>
          </w:p>
        </w:tc>
      </w:tr>
    </w:tbl>
    <w:p>
      <w:pPr>
        <w:spacing w:line="560" w:lineRule="exact"/>
        <w:ind w:firstLine="480"/>
        <w:rPr>
          <w:rFonts w:hint="eastAsia" w:ascii="楷体_GB2312" w:eastAsia="楷体_GB2312" w:cs="楷体"/>
          <w:bCs/>
          <w:sz w:val="32"/>
          <w:szCs w:val="32"/>
        </w:rPr>
      </w:pPr>
      <w:r>
        <w:rPr>
          <w:rFonts w:hint="eastAsia" w:ascii="楷体_GB2312" w:eastAsia="楷体_GB2312" w:cs="楷体"/>
          <w:bCs/>
          <w:sz w:val="28"/>
          <w:szCs w:val="28"/>
        </w:rPr>
        <w:t>（</w:t>
      </w:r>
      <w:r>
        <w:rPr>
          <w:rFonts w:hint="eastAsia" w:ascii="楷体_GB2312" w:eastAsia="楷体_GB2312" w:cs="楷体"/>
          <w:bCs/>
          <w:sz w:val="32"/>
          <w:szCs w:val="32"/>
        </w:rPr>
        <w:t>六）主要课程说明</w:t>
      </w:r>
    </w:p>
    <w:p>
      <w:pPr>
        <w:spacing w:line="560" w:lineRule="exact"/>
        <w:ind w:firstLine="480"/>
        <w:rPr>
          <w:rFonts w:hint="eastAsia" w:eastAsia="仿宋_GB2312" w:cs="仿宋_GB2312"/>
          <w:sz w:val="32"/>
          <w:szCs w:val="32"/>
        </w:rPr>
      </w:pPr>
      <w:r>
        <w:rPr>
          <w:rFonts w:hint="eastAsia" w:eastAsia="仿宋_GB2312" w:cs="仿宋_GB2312"/>
          <w:sz w:val="32"/>
          <w:szCs w:val="32"/>
        </w:rPr>
        <w:t xml:space="preserve"> 1.中国近现代史纲要</w:t>
      </w:r>
    </w:p>
    <w:p>
      <w:pPr>
        <w:spacing w:line="560" w:lineRule="exact"/>
        <w:ind w:firstLine="480"/>
        <w:rPr>
          <w:rFonts w:hint="eastAsia" w:eastAsia="仿宋_GB2312" w:cs="仿宋_GB2312"/>
          <w:sz w:val="32"/>
          <w:szCs w:val="32"/>
        </w:rPr>
      </w:pPr>
      <w:r>
        <w:rPr>
          <w:rFonts w:hint="eastAsia" w:eastAsia="仿宋_GB2312" w:cs="仿宋_GB2312"/>
          <w:sz w:val="32"/>
          <w:szCs w:val="32"/>
        </w:rPr>
        <w:t xml:space="preserve"> 本课程主要内容是学习中国近代以来抵御外来侵略、争取民族独立、推翻反动统治、实现人民解放的历史，使学生了解国史、国情，深刻领会历史和人民怎样选择了马克思主义，怎样选择了中国共产党，怎样选择了社会主义道路。    </w:t>
      </w:r>
    </w:p>
    <w:p>
      <w:pPr>
        <w:spacing w:line="560" w:lineRule="exact"/>
        <w:ind w:firstLine="480"/>
        <w:rPr>
          <w:rFonts w:hint="eastAsia" w:eastAsia="仿宋_GB2312" w:cs="仿宋_GB2312"/>
          <w:sz w:val="32"/>
          <w:szCs w:val="32"/>
        </w:rPr>
      </w:pPr>
      <w:r>
        <w:rPr>
          <w:rFonts w:hint="eastAsia" w:eastAsia="仿宋_GB2312" w:cs="仿宋_GB2312"/>
          <w:sz w:val="32"/>
          <w:szCs w:val="32"/>
        </w:rPr>
        <w:t xml:space="preserve"> 指定教材：《中国近现代史纲要》(2015年版)，李捷、王顺生主编，高等教育出版社。</w:t>
      </w:r>
    </w:p>
    <w:p>
      <w:pPr>
        <w:spacing w:line="560" w:lineRule="exact"/>
        <w:ind w:firstLine="480"/>
        <w:rPr>
          <w:rFonts w:hint="eastAsia" w:eastAsia="仿宋_GB2312" w:cs="仿宋_GB2312"/>
          <w:sz w:val="32"/>
          <w:szCs w:val="32"/>
        </w:rPr>
      </w:pPr>
      <w:r>
        <w:rPr>
          <w:rFonts w:hint="eastAsia" w:eastAsia="仿宋_GB2312" w:cs="仿宋_GB2312"/>
          <w:sz w:val="32"/>
          <w:szCs w:val="32"/>
        </w:rPr>
        <w:t xml:space="preserve"> 2.马克思主义基本原理概论</w:t>
      </w:r>
    </w:p>
    <w:p>
      <w:pPr>
        <w:spacing w:line="560" w:lineRule="exact"/>
        <w:ind w:firstLine="480"/>
        <w:rPr>
          <w:rFonts w:hint="eastAsia" w:eastAsia="仿宋_GB2312" w:cs="仿宋_GB2312"/>
          <w:sz w:val="32"/>
          <w:szCs w:val="32"/>
        </w:rPr>
      </w:pPr>
      <w:r>
        <w:rPr>
          <w:rFonts w:hint="eastAsia" w:eastAsia="仿宋_GB2312" w:cs="仿宋_GB2312"/>
          <w:sz w:val="32"/>
          <w:szCs w:val="32"/>
        </w:rPr>
        <w:t xml:space="preserve"> 本课程主要是学习马克思主义哲学作为中国特色社会主义建设指导思想的理论基础，包括唯物论、辩证法、认识论和历史观等丰富的理论内容，对分析和解决改革开放与社会主义现代化建设面临的各种问题有重要指导意义。要求考生做到完整、准确掌握马克思主义哲学的基本概念和基本原理，并能运用马克思主义的立场、观点、方法分析和解决实际问题。</w:t>
      </w:r>
    </w:p>
    <w:p>
      <w:pPr>
        <w:spacing w:line="560" w:lineRule="exact"/>
        <w:ind w:firstLine="480"/>
        <w:rPr>
          <w:rFonts w:hint="eastAsia" w:eastAsia="仿宋_GB2312" w:cs="仿宋_GB2312"/>
          <w:sz w:val="32"/>
          <w:szCs w:val="32"/>
        </w:rPr>
      </w:pPr>
      <w:r>
        <w:rPr>
          <w:rFonts w:hint="eastAsia" w:eastAsia="仿宋_GB2312" w:cs="仿宋_GB2312"/>
          <w:sz w:val="32"/>
          <w:szCs w:val="32"/>
        </w:rPr>
        <w:t xml:space="preserve"> 指定教材：《马克思主义基本原理概论》(2015年版)，卫兴华、赵家祥主编，北京大学出版社。</w:t>
      </w:r>
    </w:p>
    <w:p>
      <w:pPr>
        <w:spacing w:line="560" w:lineRule="exact"/>
        <w:ind w:firstLine="480"/>
        <w:rPr>
          <w:rFonts w:hint="eastAsia" w:eastAsia="仿宋_GB2312" w:cs="仿宋_GB2312"/>
          <w:sz w:val="32"/>
          <w:szCs w:val="32"/>
        </w:rPr>
      </w:pPr>
      <w:r>
        <w:rPr>
          <w:rFonts w:hint="eastAsia" w:eastAsia="仿宋_GB2312" w:cs="仿宋_GB2312"/>
          <w:sz w:val="32"/>
          <w:szCs w:val="32"/>
        </w:rPr>
        <w:t xml:space="preserve"> 3.英语（二）</w:t>
      </w:r>
    </w:p>
    <w:p>
      <w:pPr>
        <w:spacing w:line="560" w:lineRule="exact"/>
        <w:ind w:firstLine="480"/>
        <w:rPr>
          <w:rFonts w:hint="eastAsia" w:eastAsia="仿宋_GB2312" w:cs="仿宋_GB2312"/>
          <w:sz w:val="32"/>
          <w:szCs w:val="32"/>
        </w:rPr>
      </w:pPr>
      <w:r>
        <w:rPr>
          <w:rFonts w:hint="eastAsia" w:eastAsia="仿宋_GB2312" w:cs="仿宋_GB2312"/>
          <w:sz w:val="32"/>
          <w:szCs w:val="32"/>
        </w:rPr>
        <w:t xml:space="preserve"> 本课程既是一门语言实践课程，也是拓宽知识、了解世界文化的重要素质课程，它以培养学习者的综合语言应用能力为目标，使他们在学习、工作和社会交往中能够使用英语进行有效的交流，并能学习和借鉴外国先进科学技术、经营方式、管理方法和优秀文化成果，同时向世界展示我国建设和发展的成就。本课程注重培养学生掌握系统的英语语言知识，包括正确的英语语音知识、系统的英语语法知识和一定的词汇量（4500），并熟悉英语语言的表达方式。要求考生在听力理解、口头表达、阅读理解、书面表达等方面达到一定的要求。</w:t>
      </w:r>
    </w:p>
    <w:p>
      <w:pPr>
        <w:spacing w:line="560" w:lineRule="exact"/>
        <w:ind w:firstLine="480"/>
        <w:rPr>
          <w:rFonts w:hint="eastAsia" w:eastAsia="仿宋_GB2312" w:cs="仿宋_GB2312"/>
          <w:sz w:val="32"/>
          <w:szCs w:val="32"/>
        </w:rPr>
      </w:pPr>
      <w:r>
        <w:rPr>
          <w:rFonts w:hint="eastAsia" w:eastAsia="仿宋_GB2312" w:cs="仿宋_GB2312"/>
          <w:sz w:val="32"/>
          <w:szCs w:val="32"/>
        </w:rPr>
        <w:t xml:space="preserve"> 指定教材：《英语（二）》(2012年版)，张敬源、张虹主编，外语教学与研究出版社。</w:t>
      </w:r>
    </w:p>
    <w:p>
      <w:pPr>
        <w:spacing w:line="560" w:lineRule="exact"/>
        <w:ind w:firstLine="480"/>
        <w:rPr>
          <w:rFonts w:hint="eastAsia" w:eastAsia="仿宋_GB2312" w:cs="仿宋_GB2312"/>
          <w:sz w:val="32"/>
          <w:szCs w:val="32"/>
        </w:rPr>
      </w:pPr>
      <w:r>
        <w:rPr>
          <w:rFonts w:hint="eastAsia" w:eastAsia="仿宋_GB2312" w:cs="仿宋_GB2312"/>
          <w:sz w:val="32"/>
          <w:szCs w:val="32"/>
        </w:rPr>
        <w:t xml:space="preserve"> 4.概率论与数理统计（经管类）</w:t>
      </w:r>
    </w:p>
    <w:p>
      <w:pPr>
        <w:spacing w:line="560" w:lineRule="exact"/>
        <w:ind w:firstLine="480"/>
        <w:rPr>
          <w:rFonts w:hint="eastAsia" w:eastAsia="仿宋_GB2312" w:cs="仿宋_GB2312"/>
          <w:sz w:val="32"/>
          <w:szCs w:val="32"/>
        </w:rPr>
      </w:pPr>
      <w:r>
        <w:rPr>
          <w:rFonts w:hint="eastAsia" w:eastAsia="仿宋_GB2312" w:cs="仿宋_GB2312"/>
          <w:sz w:val="32"/>
          <w:szCs w:val="32"/>
        </w:rPr>
        <w:t xml:space="preserve"> 本课程主要内容是学习概率论和数理统计两部分知识，概率论包括随机事件与概率、随机变量及其概率分布、多维随机变量及其概率分布、随机变量的数字特征、大数定律与中心极限定律初步共五章内容，数理统计包括统计量及其抽样分布、参数估计、假设检验以及回归分析共四章内容。重点章节是第一、二、四、七、八章。</w:t>
      </w:r>
    </w:p>
    <w:p>
      <w:pPr>
        <w:spacing w:line="560" w:lineRule="exact"/>
        <w:ind w:firstLine="480"/>
        <w:rPr>
          <w:rFonts w:hint="eastAsia" w:eastAsia="仿宋_GB2312" w:cs="仿宋_GB2312"/>
          <w:sz w:val="32"/>
          <w:szCs w:val="32"/>
        </w:rPr>
      </w:pPr>
      <w:r>
        <w:rPr>
          <w:rFonts w:hint="eastAsia" w:eastAsia="仿宋_GB2312" w:cs="仿宋_GB2312"/>
          <w:sz w:val="32"/>
          <w:szCs w:val="32"/>
        </w:rPr>
        <w:t xml:space="preserve"> 指定教材：《概率论与数理统计（经管类）》(2006年版)，柳金甫、王义东主编，武汉大学出版社。</w:t>
      </w:r>
    </w:p>
    <w:p>
      <w:pPr>
        <w:spacing w:line="560" w:lineRule="exact"/>
        <w:ind w:firstLine="480"/>
        <w:rPr>
          <w:rFonts w:hint="eastAsia" w:eastAsia="仿宋_GB2312" w:cs="仿宋_GB2312"/>
          <w:sz w:val="32"/>
          <w:szCs w:val="32"/>
        </w:rPr>
      </w:pPr>
      <w:r>
        <w:rPr>
          <w:rFonts w:hint="eastAsia" w:eastAsia="仿宋_GB2312" w:cs="仿宋_GB2312"/>
          <w:sz w:val="32"/>
          <w:szCs w:val="32"/>
        </w:rPr>
        <w:t xml:space="preserve"> 5.线性代数（经管类）</w:t>
      </w:r>
    </w:p>
    <w:p>
      <w:pPr>
        <w:spacing w:line="560" w:lineRule="exact"/>
        <w:ind w:firstLine="480"/>
        <w:rPr>
          <w:rFonts w:hint="eastAsia" w:eastAsia="仿宋_GB2312" w:cs="仿宋_GB2312"/>
          <w:sz w:val="32"/>
          <w:szCs w:val="32"/>
        </w:rPr>
      </w:pPr>
      <w:r>
        <w:rPr>
          <w:rFonts w:hint="eastAsia" w:eastAsia="仿宋_GB2312" w:cs="仿宋_GB2312"/>
          <w:sz w:val="32"/>
          <w:szCs w:val="32"/>
        </w:rPr>
        <w:t xml:space="preserve"> 本课程是为培养各种与经济和管理有关的人才而设置的。线性代数是讨论有限维空间的线性理论的一门科学，是处理线性问题的有力的工具。学习本课程，不仅使自学者掌握本课程的基本理论和方法，而且能够提高自学者分析和解决实际问题的能力。本课程主要内容包括行列式的概念、性质与计算以及用克莱姆法则求解线性方程组的方法；矩阵的运算及初等变换；线性方程组的求解与解的结构；线性空间概念等。介绍了一些最常用的基本概念与方法。简要地介绍了矩阵特征值理论与实二次型理论。</w:t>
      </w:r>
    </w:p>
    <w:p>
      <w:pPr>
        <w:spacing w:line="560" w:lineRule="exact"/>
        <w:ind w:firstLine="480"/>
        <w:rPr>
          <w:rFonts w:hint="eastAsia" w:eastAsia="仿宋_GB2312" w:cs="仿宋_GB2312"/>
          <w:sz w:val="32"/>
          <w:szCs w:val="32"/>
        </w:rPr>
      </w:pPr>
      <w:r>
        <w:rPr>
          <w:rFonts w:hint="eastAsia" w:eastAsia="仿宋_GB2312" w:cs="仿宋_GB2312"/>
          <w:sz w:val="32"/>
          <w:szCs w:val="32"/>
        </w:rPr>
        <w:t xml:space="preserve"> 指定教材：《线性代数（经管类）》(2006年版)，刘吉佑、徐诚浩主编，武汉大学出版社。</w:t>
      </w:r>
    </w:p>
    <w:p>
      <w:pPr>
        <w:spacing w:line="560" w:lineRule="exact"/>
        <w:rPr>
          <w:rFonts w:hint="eastAsia" w:eastAsia="仿宋_GB2312" w:cs="仿宋_GB2312"/>
          <w:sz w:val="32"/>
          <w:szCs w:val="32"/>
        </w:rPr>
      </w:pPr>
      <w:r>
        <w:rPr>
          <w:rFonts w:hint="eastAsia" w:eastAsia="仿宋_GB2312" w:cs="仿宋_GB2312"/>
          <w:color w:val="000000"/>
          <w:sz w:val="32"/>
          <w:szCs w:val="32"/>
        </w:rPr>
        <w:t xml:space="preserve">    </w:t>
      </w:r>
      <w:r>
        <w:rPr>
          <w:rFonts w:hint="eastAsia" w:eastAsia="仿宋_GB2312" w:cs="仿宋_GB2312"/>
          <w:sz w:val="32"/>
          <w:szCs w:val="32"/>
        </w:rPr>
        <w:t>6.企业管理概论</w:t>
      </w:r>
    </w:p>
    <w:p>
      <w:pPr>
        <w:spacing w:line="560" w:lineRule="exact"/>
        <w:ind w:firstLine="631"/>
        <w:rPr>
          <w:rFonts w:hint="eastAsia" w:eastAsia="仿宋_GB2312" w:cs="仿宋_GB2312"/>
          <w:sz w:val="32"/>
          <w:szCs w:val="32"/>
        </w:rPr>
      </w:pPr>
      <w:r>
        <w:rPr>
          <w:rFonts w:hint="eastAsia" w:eastAsia="仿宋_GB2312" w:cs="仿宋_GB2312"/>
          <w:sz w:val="32"/>
          <w:szCs w:val="32"/>
        </w:rPr>
        <w:t>本课程是为培养和检验自学应考者的企业管理的基础理论、基本知识和基本技能而设置的。企业管理概论是一门富有社会主义特色的有关我国企业管理的课程，具有综合性和应用性的特点。在学习和考试命题中应体现本课程的性质和特点。设置本课程的目的要求是：使自学应考者比较广泛、系统地理解企业管理的基本理论和基本知识，培养和提高正确分析和解决企业管理中基本问题的能力，为学好本专业奠定基础，毕业后能较好地适应从事经济管理工作的需要。</w:t>
      </w:r>
    </w:p>
    <w:p>
      <w:pPr>
        <w:spacing w:line="560" w:lineRule="exact"/>
        <w:ind w:firstLine="631"/>
        <w:rPr>
          <w:rFonts w:hint="eastAsia" w:eastAsia="仿宋_GB2312" w:cs="仿宋_GB2312"/>
          <w:sz w:val="32"/>
          <w:szCs w:val="32"/>
        </w:rPr>
      </w:pPr>
      <w:r>
        <w:rPr>
          <w:rFonts w:hint="eastAsia" w:eastAsia="仿宋_GB2312" w:cs="仿宋_GB2312"/>
          <w:sz w:val="32"/>
          <w:szCs w:val="32"/>
        </w:rPr>
        <w:t>指定教材：《企业管理概论》（2005年版），刘仲康、郑明身 主编。武汉大学出版社。</w:t>
      </w:r>
    </w:p>
    <w:p>
      <w:pPr>
        <w:spacing w:line="560" w:lineRule="exact"/>
        <w:ind w:firstLine="631"/>
        <w:rPr>
          <w:rFonts w:hint="eastAsia" w:eastAsia="仿宋_GB2312" w:cs="仿宋_GB2312"/>
          <w:sz w:val="32"/>
          <w:szCs w:val="32"/>
        </w:rPr>
      </w:pPr>
      <w:r>
        <w:rPr>
          <w:rFonts w:hint="eastAsia" w:eastAsia="仿宋_GB2312" w:cs="仿宋_GB2312"/>
          <w:sz w:val="32"/>
          <w:szCs w:val="32"/>
        </w:rPr>
        <w:t>7.市场营销学</w:t>
      </w:r>
    </w:p>
    <w:p>
      <w:pPr>
        <w:spacing w:line="560" w:lineRule="exact"/>
        <w:ind w:firstLine="631"/>
        <w:rPr>
          <w:rFonts w:hint="eastAsia" w:eastAsia="仿宋_GB2312" w:cs="仿宋_GB2312"/>
          <w:sz w:val="32"/>
          <w:szCs w:val="32"/>
        </w:rPr>
      </w:pPr>
      <w:r>
        <w:rPr>
          <w:rFonts w:hint="eastAsia" w:eastAsia="仿宋_GB2312" w:cs="仿宋_GB2312"/>
          <w:sz w:val="32"/>
          <w:szCs w:val="32"/>
        </w:rPr>
        <w:t>本课程是一门研究市场营销活动及其规律的应用科学，而市场营销活动是在一定商业哲学指导下进行的。因此，准确把握与市场营销有关的概念，正确认识市场营销管理的实质与任务，全面理解市场营销管理哲学的演变，对于搞好市场营销，加强经营管理，提高经济效益具有重要意义。本课程主要包括市场营销的战略计划过程和调研与预测；市场营销环境、购买行为和竞争战略分析；目标市场营销；产品、定价和分销策略；市场营销计划与组织和执行与控制以及市场营销道德和新概念等内容。</w:t>
      </w:r>
    </w:p>
    <w:p>
      <w:pPr>
        <w:spacing w:line="560" w:lineRule="exact"/>
        <w:ind w:firstLine="631"/>
        <w:rPr>
          <w:rFonts w:hint="eastAsia" w:eastAsia="仿宋_GB2312" w:cs="仿宋_GB2312"/>
          <w:sz w:val="32"/>
          <w:szCs w:val="32"/>
        </w:rPr>
      </w:pPr>
      <w:r>
        <w:rPr>
          <w:rFonts w:hint="eastAsia" w:eastAsia="仿宋_GB2312" w:cs="仿宋_GB2312"/>
          <w:sz w:val="32"/>
          <w:szCs w:val="32"/>
        </w:rPr>
        <w:t>指定教材：《市场营销学》(2015年版)，毕克贵主编，中国人民大学出版社。</w:t>
      </w:r>
    </w:p>
    <w:p>
      <w:pPr>
        <w:spacing w:line="560" w:lineRule="exact"/>
        <w:ind w:firstLine="636"/>
        <w:rPr>
          <w:rFonts w:hint="eastAsia" w:eastAsia="仿宋_GB2312" w:cs="仿宋_GB2312"/>
          <w:sz w:val="32"/>
          <w:szCs w:val="32"/>
        </w:rPr>
      </w:pPr>
      <w:r>
        <w:rPr>
          <w:rFonts w:hint="eastAsia" w:eastAsia="仿宋_GB2312" w:cs="仿宋_GB2312"/>
          <w:sz w:val="32"/>
          <w:szCs w:val="32"/>
        </w:rPr>
        <w:t>8.财务管理学</w:t>
      </w:r>
    </w:p>
    <w:p>
      <w:pPr>
        <w:spacing w:line="560" w:lineRule="exact"/>
        <w:ind w:firstLine="636"/>
        <w:rPr>
          <w:rFonts w:hint="eastAsia" w:eastAsia="仿宋_GB2312" w:cs="仿宋_GB2312"/>
          <w:sz w:val="32"/>
          <w:szCs w:val="32"/>
        </w:rPr>
      </w:pPr>
      <w:r>
        <w:rPr>
          <w:rFonts w:hint="eastAsia" w:eastAsia="仿宋_GB2312" w:cs="仿宋_GB2312"/>
          <w:sz w:val="32"/>
          <w:szCs w:val="32"/>
        </w:rPr>
        <w:t>本课程是应用性的经济管理学科，它阐明社会主义市场经济条件下财务管理的基本理论和基本方法。本课程以企业财务目标为中心内容，以筹资管理、投资管理、营运资金管理、收益分配管理、外币业务管理、企业清算和财务分析等为主要内容，阐述财务管理的基本概念、管理原则、管理制度等理论问题以及预测、计划、控制、分析等业务方法。本课程既有较强的实用性，又有较强的理论性。应考者学习本课程时要明确财务管理的含义、目标和特点，认识做好财务管理工作对于促进生产经营、提高经济效益的重要意义；理解财务管理的基本内容，懂得各种财务活动的联系以及财务活动同其他各种经济活动的联系；掌握财务管理的各种业务方法，学习运用财务管理的知识和技能为经营决策服务。</w:t>
      </w:r>
    </w:p>
    <w:p>
      <w:pPr>
        <w:spacing w:line="560" w:lineRule="exact"/>
        <w:ind w:firstLine="636"/>
        <w:rPr>
          <w:rFonts w:hint="eastAsia" w:eastAsia="仿宋_GB2312" w:cs="仿宋_GB2312"/>
          <w:sz w:val="32"/>
          <w:szCs w:val="32"/>
        </w:rPr>
      </w:pPr>
      <w:r>
        <w:rPr>
          <w:rFonts w:hint="eastAsia" w:eastAsia="仿宋_GB2312" w:cs="仿宋_GB2312"/>
          <w:sz w:val="32"/>
          <w:szCs w:val="32"/>
        </w:rPr>
        <w:t>指定教材：《财务管理学》(2014年版)，贾国军主编，中国人民大学出版社。</w:t>
      </w:r>
    </w:p>
    <w:p>
      <w:pPr>
        <w:spacing w:line="560" w:lineRule="exact"/>
        <w:ind w:firstLine="636"/>
        <w:rPr>
          <w:rFonts w:hint="eastAsia" w:eastAsia="仿宋_GB2312" w:cs="仿宋_GB2312"/>
          <w:sz w:val="32"/>
          <w:szCs w:val="32"/>
        </w:rPr>
      </w:pPr>
      <w:r>
        <w:rPr>
          <w:rFonts w:hint="eastAsia" w:eastAsia="仿宋_GB2312" w:cs="仿宋_GB2312"/>
          <w:sz w:val="32"/>
          <w:szCs w:val="32"/>
        </w:rPr>
        <w:t>9.证券投资学</w:t>
      </w:r>
    </w:p>
    <w:p>
      <w:pPr>
        <w:spacing w:line="560" w:lineRule="exact"/>
        <w:ind w:firstLine="636"/>
        <w:rPr>
          <w:rFonts w:hint="eastAsia" w:eastAsia="仿宋_GB2312" w:cs="仿宋_GB2312"/>
          <w:sz w:val="32"/>
          <w:szCs w:val="32"/>
        </w:rPr>
      </w:pPr>
      <w:r>
        <w:rPr>
          <w:rFonts w:hint="eastAsia" w:eastAsia="仿宋_GB2312" w:cs="仿宋_GB2312"/>
          <w:sz w:val="32"/>
          <w:szCs w:val="32"/>
        </w:rPr>
        <w:t>本课程是金融类证券投资与管理专业的一门重要的专业课程，金融是现代市场经济的核心，证券是金融的枢钮和前沿阵地。证券投资学是培养学生掌握证券学基础知识和证券投资基本技能而设置的一门专业课程。本课程首先介绍了证券投资的理论知识，主要研究对象是证券市场、证券投资工具、证券投资分析理论及证券市场监管及证券实盘操作等内容；其次联系所学知识，介绍了如何通过上机模拟买卖证券来了解证券投资的基本情况，了解证券买卖的具体内容和形式，并初步训练学生自己的证券交易理念和证券买卖技巧，为本专业学生以后股票投资、基金投资务实操作提供理论基础。</w:t>
      </w:r>
    </w:p>
    <w:p>
      <w:pPr>
        <w:spacing w:line="560" w:lineRule="exact"/>
        <w:ind w:firstLine="636"/>
        <w:rPr>
          <w:rFonts w:hint="eastAsia" w:eastAsia="仿宋_GB2312" w:cs="仿宋_GB2312"/>
          <w:sz w:val="32"/>
          <w:szCs w:val="32"/>
        </w:rPr>
      </w:pPr>
      <w:r>
        <w:rPr>
          <w:rFonts w:hint="eastAsia" w:eastAsia="仿宋_GB2312" w:cs="仿宋_GB2312"/>
          <w:sz w:val="32"/>
          <w:szCs w:val="32"/>
        </w:rPr>
        <w:t>指定教材：《证券投资学》(2015年版)，</w:t>
      </w:r>
      <w:r>
        <w:rPr>
          <w:rFonts w:hint="eastAsia" w:eastAsia="仿宋_GB2312" w:cs="仿宋_GB2312"/>
          <w:sz w:val="32"/>
          <w:szCs w:val="32"/>
        </w:rPr>
        <w:fldChar w:fldCharType="begin"/>
      </w:r>
      <w:r>
        <w:rPr>
          <w:rFonts w:hint="eastAsia" w:eastAsia="仿宋_GB2312" w:cs="仿宋_GB2312"/>
          <w:sz w:val="32"/>
          <w:szCs w:val="32"/>
        </w:rPr>
        <w:instrText xml:space="preserve"> HYPERLINK "http://book.jd.com/writer/沈悦_1.html" \t "_blank" </w:instrText>
      </w:r>
      <w:r>
        <w:rPr>
          <w:rFonts w:hint="eastAsia" w:eastAsia="仿宋_GB2312" w:cs="仿宋_GB2312"/>
          <w:sz w:val="32"/>
          <w:szCs w:val="32"/>
        </w:rPr>
        <w:fldChar w:fldCharType="separate"/>
      </w:r>
      <w:r>
        <w:rPr>
          <w:rFonts w:hint="eastAsia" w:eastAsia="仿宋_GB2312" w:cs="仿宋_GB2312"/>
          <w:sz w:val="32"/>
          <w:szCs w:val="32"/>
        </w:rPr>
        <w:t>沈悦</w:t>
      </w:r>
      <w:r>
        <w:rPr>
          <w:rFonts w:hint="eastAsia" w:eastAsia="仿宋_GB2312" w:cs="仿宋_GB2312"/>
          <w:sz w:val="32"/>
          <w:szCs w:val="32"/>
        </w:rPr>
        <w:fldChar w:fldCharType="end"/>
      </w:r>
      <w:r>
        <w:rPr>
          <w:rFonts w:hint="eastAsia" w:eastAsia="仿宋_GB2312" w:cs="仿宋_GB2312"/>
          <w:sz w:val="32"/>
          <w:szCs w:val="32"/>
        </w:rPr>
        <w:t>主编，中国人民大学出版社。</w:t>
      </w:r>
    </w:p>
    <w:p>
      <w:pPr>
        <w:spacing w:line="560" w:lineRule="exact"/>
        <w:ind w:firstLine="636"/>
        <w:rPr>
          <w:rFonts w:hint="eastAsia" w:eastAsia="仿宋_GB2312" w:cs="仿宋_GB2312"/>
          <w:sz w:val="32"/>
          <w:szCs w:val="32"/>
        </w:rPr>
      </w:pPr>
      <w:r>
        <w:rPr>
          <w:rFonts w:hint="eastAsia" w:eastAsia="仿宋_GB2312" w:cs="仿宋_GB2312"/>
          <w:sz w:val="32"/>
          <w:szCs w:val="32"/>
        </w:rPr>
        <w:t>10.高级财务会计</w:t>
      </w:r>
    </w:p>
    <w:p>
      <w:pPr>
        <w:spacing w:line="560" w:lineRule="exact"/>
        <w:ind w:firstLine="480"/>
        <w:rPr>
          <w:rFonts w:hint="eastAsia" w:eastAsia="仿宋_GB2312" w:cs="仿宋_GB2312"/>
          <w:sz w:val="32"/>
          <w:szCs w:val="32"/>
        </w:rPr>
      </w:pPr>
      <w:r>
        <w:rPr>
          <w:rFonts w:hint="eastAsia" w:eastAsia="仿宋_GB2312" w:cs="仿宋_GB2312"/>
          <w:sz w:val="32"/>
          <w:szCs w:val="32"/>
        </w:rPr>
        <w:t xml:space="preserve"> 本课程是一门专门介绍特殊经济业务会计的核算理论、方法和程序的独立课程，它与会计专科的《基础会计学》、《中级会计学》相互配合，构成完整的财务会计课程体系。学习本课程需要重点掌握的内容有：外币会计、所得税会计、租赁会计、企业合并的账务处理、企业合并会计之购并日的和日后合并财务报表、通货膨胀会计之一般物价水平会计等。</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指定教材：《 高级财务会计》(2016年版)，胡燕主编，中国财政经济出版社。</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11.审计学</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本课程是应用性很强的一门学科。审计作为一项重要的经济管理工作，是加强经济管理，提高经济效益的重要手段。课程主要介绍了审计的基本知识、基本理论和基本方法技术，审计的基本工作流程。审计的目标是在一定历史环境下，审计主体通过审计实践活动所期望达到的境地或最终结果，它体现了审计的基本职能，是构成审计理论结构的基石，是整个审计系统运行的定向机制，是审计工作的出发点和落脚点。一切审计活动都是为审计目标服务的。通过本课程的学习掌握审计方法如审阅法、调节法、审计抽样方法的应用，内部控制的测试与评价的应用，审计重要性和风险分析应用，具备综合案例审查分析能力和编写审计工作报告能力。</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指定教材：《 审计学》(2009年版)，丁瑞玲主编，中国财政经济出版社。</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12.投资项目分析</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本课程是一门实践性很强的应用基础学科，学习的根本目的在于将所学的理论知识应用到社会实践中，学会分析具体的证券投资。该课程的核心内容是讲授基本面分析和技术分析两种方法。利用网络平台和股票分析软件，来搜集资料、观察盘面，将课堂上所学的理论知识进行验证，并亲身实践。</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指定教材：《证券投资分析》(2015年版)，赵锡军主编，中国人民大学出版社。</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13.财务报考分析（一）</w:t>
      </w:r>
    </w:p>
    <w:p>
      <w:pPr>
        <w:spacing w:line="560" w:lineRule="exact"/>
        <w:ind w:firstLine="614" w:firstLineChars="192"/>
        <w:rPr>
          <w:rFonts w:hint="eastAsia" w:eastAsia="仿宋_GB2312" w:cs="仿宋_GB2312"/>
          <w:sz w:val="32"/>
          <w:szCs w:val="32"/>
        </w:rPr>
      </w:pPr>
      <w:r>
        <w:rPr>
          <w:rFonts w:hint="eastAsia" w:eastAsia="仿宋_GB2312" w:cs="仿宋_GB2312"/>
          <w:sz w:val="32"/>
          <w:szCs w:val="32"/>
        </w:rPr>
        <w:t>本课程主要内容是学习财务分析的基本概念、财务分析程序与方法、资产负债表解读、利润表解读、现金流量表解读、偿债能力分析、企业营运能力分析、企业盈利能力分析、企业发展能力分析、非会计报表信息的利用与分析、财务综合分析与评价。</w:t>
      </w:r>
    </w:p>
    <w:p>
      <w:pPr>
        <w:spacing w:line="560" w:lineRule="exact"/>
        <w:ind w:firstLine="614" w:firstLineChars="192"/>
        <w:rPr>
          <w:rFonts w:hint="eastAsia" w:eastAsia="仿宋_GB2312" w:cs="仿宋_GB2312"/>
          <w:sz w:val="32"/>
          <w:szCs w:val="32"/>
        </w:rPr>
      </w:pPr>
      <w:r>
        <w:rPr>
          <w:rFonts w:hint="eastAsia" w:eastAsia="仿宋_GB2312" w:cs="仿宋_GB2312"/>
          <w:sz w:val="32"/>
          <w:szCs w:val="32"/>
        </w:rPr>
        <w:t>指定教材：《财务报表分析（一）》（2008年版），袁淳、吕兆德主编，中国财政经济出版社。</w:t>
      </w:r>
    </w:p>
    <w:p>
      <w:r>
        <w:rPr>
          <w:rFonts w:hint="eastAsia" w:eastAsia="仿宋_GB2312" w:cs="仿宋_GB2312"/>
          <w:sz w:val="32"/>
          <w:szCs w:val="32"/>
        </w:rPr>
        <w:br w:type="page"/>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modern"/>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Dialog">
    <w:altName w:val="Times New Roman"/>
    <w:panose1 w:val="00000000000000000000"/>
    <w:charset w:val="00"/>
    <w:family w:val="auto"/>
    <w:pitch w:val="default"/>
    <w:sig w:usb0="00000000" w:usb1="00000000" w:usb2="00000000" w:usb3="00000000" w:csb0="00040001" w:csb1="00000000"/>
  </w:font>
  <w:font w:name="方正小标宋_GBK">
    <w:panose1 w:val="03000509000000000000"/>
    <w:charset w:val="86"/>
    <w:family w:val="script"/>
    <w:pitch w:val="default"/>
    <w:sig w:usb0="00000000" w:usb1="00000000" w:usb2="00000000" w:usb3="00000000" w:csb0="00000000" w:csb1="00000000"/>
  </w:font>
  <w:font w:name="仿宋_GB2312">
    <w:panose1 w:val="02010609030101010101"/>
    <w:charset w:val="86"/>
    <w:family w:val="modern"/>
    <w:pitch w:val="default"/>
    <w:sig w:usb0="00000000" w:usb1="00000000" w:usb2="00000000" w:usb3="00000000" w:csb0="00000000" w:csb1="00000000"/>
  </w:font>
  <w:font w:name="方正小标宋简体">
    <w:panose1 w:val="03000509000000000000"/>
    <w:charset w:val="86"/>
    <w:family w:val="script"/>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仿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7E5B20"/>
    <w:rsid w:val="437E5B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Arial" w:hAnsi="Arial" w:eastAsia="黑体"/>
      <w:b/>
      <w:bCs/>
      <w:szCs w:val="32"/>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2018-11-09T03:06:00Z</dcterms:created>
  <dc:creator>Administrator</dc:creator>
  <cp:lastModifiedBy>Administrator</cp:lastModifiedBy>
  <dcterms:modified xsi:type="dcterms:W3CDTF">2018-11-09T03:06:42Z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