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contextualSpacing/>
        <w:rPr>
          <w:rFonts w:ascii="黑体" w:hAnsi="黑体" w:eastAsia="黑体"/>
          <w:snapToGrid w:val="0"/>
          <w:sz w:val="32"/>
          <w:szCs w:val="32"/>
        </w:rPr>
      </w:pPr>
      <w:r>
        <w:rPr>
          <w:rFonts w:ascii="黑体" w:hAnsi="黑体" w:eastAsia="黑体"/>
          <w:snapToGrid w:val="0"/>
          <w:sz w:val="32"/>
          <w:szCs w:val="32"/>
        </w:rPr>
        <w:t>附件9</w:t>
      </w:r>
    </w:p>
    <w:p>
      <w:pPr>
        <w:overflowPunct w:val="0"/>
        <w:snapToGrid w:val="0"/>
        <w:jc w:val="center"/>
        <w:rPr>
          <w:rFonts w:eastAsia="方正小标宋简体"/>
          <w:sz w:val="44"/>
          <w:szCs w:val="44"/>
        </w:rPr>
      </w:pPr>
      <w:bookmarkStart w:id="1" w:name="_GoBack"/>
      <w:r>
        <w:rPr>
          <w:rFonts w:eastAsia="方正小标宋简体"/>
          <w:sz w:val="44"/>
          <w:szCs w:val="44"/>
        </w:rPr>
        <w:t>评分指标</w:t>
      </w:r>
      <w:bookmarkEnd w:id="1"/>
    </w:p>
    <w:tbl>
      <w:tblPr>
        <w:tblStyle w:val="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4" w:type="dxa"/>
            <w:vAlign w:val="center"/>
          </w:tcPr>
          <w:p>
            <w:pPr>
              <w:overflowPunct w:val="0"/>
              <w:snapToGrid w:val="0"/>
              <w:jc w:val="center"/>
              <w:rPr>
                <w:rFonts w:ascii="黑体" w:hAnsi="黑体" w:eastAsia="黑体"/>
                <w:sz w:val="24"/>
                <w:szCs w:val="28"/>
              </w:rPr>
            </w:pPr>
            <w:bookmarkStart w:id="0" w:name="_Hlk10491916"/>
            <w:r>
              <w:rPr>
                <w:rFonts w:ascii="黑体" w:hAnsi="黑体" w:eastAsia="黑体"/>
                <w:sz w:val="24"/>
                <w:szCs w:val="28"/>
              </w:rPr>
              <w:t>评价</w:t>
            </w:r>
          </w:p>
          <w:p>
            <w:pPr>
              <w:overflowPunct w:val="0"/>
              <w:snapToGrid w:val="0"/>
              <w:jc w:val="center"/>
              <w:rPr>
                <w:rFonts w:ascii="黑体" w:hAnsi="黑体" w:eastAsia="黑体"/>
                <w:sz w:val="24"/>
                <w:szCs w:val="28"/>
              </w:rPr>
            </w:pPr>
            <w:r>
              <w:rPr>
                <w:rFonts w:ascii="黑体" w:hAnsi="黑体" w:eastAsia="黑体"/>
                <w:sz w:val="24"/>
                <w:szCs w:val="28"/>
              </w:rPr>
              <w:t>指标</w:t>
            </w:r>
          </w:p>
        </w:tc>
        <w:tc>
          <w:tcPr>
            <w:tcW w:w="580" w:type="dxa"/>
            <w:vAlign w:val="center"/>
          </w:tcPr>
          <w:p>
            <w:pPr>
              <w:overflowPunct w:val="0"/>
              <w:snapToGrid w:val="0"/>
              <w:jc w:val="center"/>
              <w:rPr>
                <w:rFonts w:ascii="黑体" w:hAnsi="黑体" w:eastAsia="黑体"/>
                <w:sz w:val="24"/>
                <w:szCs w:val="28"/>
              </w:rPr>
            </w:pPr>
            <w:r>
              <w:rPr>
                <w:rFonts w:ascii="黑体" w:hAnsi="黑体" w:eastAsia="黑体"/>
                <w:sz w:val="24"/>
                <w:szCs w:val="28"/>
              </w:rPr>
              <w:t>分</w:t>
            </w:r>
          </w:p>
          <w:p>
            <w:pPr>
              <w:overflowPunct w:val="0"/>
              <w:snapToGrid w:val="0"/>
              <w:jc w:val="center"/>
              <w:rPr>
                <w:rFonts w:ascii="黑体" w:hAnsi="黑体" w:eastAsia="黑体"/>
                <w:sz w:val="24"/>
                <w:szCs w:val="28"/>
              </w:rPr>
            </w:pPr>
            <w:r>
              <w:rPr>
                <w:rFonts w:ascii="黑体" w:hAnsi="黑体" w:eastAsia="黑体"/>
                <w:sz w:val="24"/>
                <w:szCs w:val="28"/>
              </w:rPr>
              <w:t>值</w:t>
            </w:r>
          </w:p>
        </w:tc>
        <w:tc>
          <w:tcPr>
            <w:tcW w:w="8464" w:type="dxa"/>
            <w:vAlign w:val="center"/>
          </w:tcPr>
          <w:p>
            <w:pPr>
              <w:overflowPunct w:val="0"/>
              <w:snapToGrid w:val="0"/>
              <w:jc w:val="center"/>
              <w:rPr>
                <w:rFonts w:ascii="黑体" w:hAnsi="黑体" w:eastAsia="黑体"/>
                <w:sz w:val="24"/>
                <w:szCs w:val="28"/>
              </w:rPr>
            </w:pPr>
            <w:r>
              <w:rPr>
                <w:rFonts w:ascii="黑体" w:hAnsi="黑体" w:eastAsia="黑体"/>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snapToGrid w:val="0"/>
              <w:jc w:val="center"/>
              <w:rPr>
                <w:rFonts w:ascii="仿宋_GB2312" w:eastAsia="仿宋_GB2312"/>
                <w:sz w:val="24"/>
                <w:szCs w:val="28"/>
              </w:rPr>
            </w:pPr>
            <w:r>
              <w:rPr>
                <w:rFonts w:ascii="仿宋_GB2312" w:eastAsia="仿宋_GB2312"/>
                <w:sz w:val="24"/>
                <w:szCs w:val="28"/>
              </w:rPr>
              <w:t>学情</w:t>
            </w:r>
          </w:p>
          <w:p>
            <w:pPr>
              <w:snapToGrid w:val="0"/>
              <w:jc w:val="center"/>
              <w:rPr>
                <w:rFonts w:ascii="仿宋_GB2312" w:eastAsia="仿宋_GB2312"/>
                <w:sz w:val="24"/>
                <w:szCs w:val="28"/>
              </w:rPr>
            </w:pPr>
            <w:r>
              <w:rPr>
                <w:rFonts w:ascii="仿宋_GB2312" w:eastAsia="仿宋_GB2312"/>
                <w:sz w:val="24"/>
                <w:szCs w:val="28"/>
              </w:rPr>
              <w:t>与</w:t>
            </w:r>
          </w:p>
          <w:p>
            <w:pPr>
              <w:snapToGrid w:val="0"/>
              <w:jc w:val="center"/>
              <w:rPr>
                <w:rFonts w:ascii="仿宋_GB2312" w:hAnsi="黑体" w:eastAsia="仿宋_GB2312"/>
                <w:sz w:val="24"/>
                <w:szCs w:val="28"/>
              </w:rPr>
            </w:pPr>
            <w:r>
              <w:rPr>
                <w:rFonts w:ascii="仿宋_GB2312" w:eastAsia="仿宋_GB2312"/>
                <w:sz w:val="24"/>
                <w:szCs w:val="28"/>
              </w:rPr>
              <w:t>目标</w:t>
            </w:r>
          </w:p>
        </w:tc>
        <w:tc>
          <w:tcPr>
            <w:tcW w:w="580" w:type="dxa"/>
            <w:vAlign w:val="center"/>
          </w:tcPr>
          <w:p>
            <w:pPr>
              <w:overflowPunct w:val="0"/>
              <w:snapToGrid w:val="0"/>
              <w:jc w:val="center"/>
              <w:rPr>
                <w:rFonts w:ascii="仿宋_GB2312" w:hAnsi="黑体" w:eastAsia="仿宋_GB2312"/>
                <w:sz w:val="24"/>
                <w:szCs w:val="28"/>
              </w:rPr>
            </w:pPr>
            <w:r>
              <w:rPr>
                <w:rFonts w:ascii="仿宋_GB2312" w:eastAsia="仿宋_GB2312"/>
                <w:sz w:val="24"/>
                <w:szCs w:val="28"/>
              </w:rPr>
              <w:t>15</w:t>
            </w:r>
          </w:p>
        </w:tc>
        <w:tc>
          <w:tcPr>
            <w:tcW w:w="8464" w:type="dxa"/>
            <w:vAlign w:val="center"/>
          </w:tcPr>
          <w:p>
            <w:pPr>
              <w:overflowPunct w:val="0"/>
              <w:snapToGrid w:val="0"/>
              <w:rPr>
                <w:rFonts w:ascii="仿宋_GB2312" w:eastAsia="仿宋_GB2312"/>
                <w:sz w:val="24"/>
                <w:szCs w:val="28"/>
              </w:rPr>
            </w:pPr>
            <w:r>
              <w:rPr>
                <w:rFonts w:ascii="仿宋_GB2312" w:eastAsia="仿宋_GB2312"/>
                <w:sz w:val="24"/>
                <w:szCs w:val="28"/>
              </w:rPr>
              <w:t>1.对授课班级学生的学生来源和特点、学业基础、认知能力、学习特点、专业特性、职业面向、发展诉求等掌握清楚、分析到位，对教学中可能面临的困难和需要重点解决的问题研判准确。</w:t>
            </w:r>
          </w:p>
          <w:p>
            <w:pPr>
              <w:overflowPunct w:val="0"/>
              <w:snapToGrid w:val="0"/>
              <w:jc w:val="left"/>
              <w:rPr>
                <w:rFonts w:ascii="仿宋_GB2312" w:eastAsia="仿宋_GB2312"/>
                <w:sz w:val="24"/>
                <w:szCs w:val="28"/>
              </w:rPr>
            </w:pPr>
            <w:r>
              <w:rPr>
                <w:rFonts w:ascii="仿宋_GB2312" w:eastAsia="仿宋_GB2312"/>
                <w:sz w:val="24"/>
                <w:szCs w:val="28"/>
              </w:rPr>
              <w:t>2.坚持思想政治教育与技术技能培养融合统一，教学目标严格落实《中等职业学校思想政治课程标准（2020年版）》《新时代学校思想政治理论课改革创新实施方案》（教材〔2020〕6号）以及统编教材有关要求，注重突出职教特色，与授课班级所属专业国家教学标准体系的人才培养目标要求有机统筹。</w:t>
            </w:r>
          </w:p>
          <w:p>
            <w:pPr>
              <w:overflowPunct w:val="0"/>
              <w:snapToGrid w:val="0"/>
              <w:jc w:val="left"/>
              <w:rPr>
                <w:rFonts w:ascii="仿宋_GB2312" w:eastAsia="仿宋_GB2312"/>
                <w:sz w:val="24"/>
                <w:szCs w:val="28"/>
              </w:rPr>
            </w:pPr>
            <w:r>
              <w:rPr>
                <w:rFonts w:ascii="仿宋_GB2312" w:eastAsia="仿宋_GB2312"/>
                <w:sz w:val="24"/>
                <w:szCs w:val="28"/>
              </w:rPr>
              <w:t>3.教学目标创设科学合理，有效支撑学科核心素养培育，适应新时代对高素质劳动者和技术技能人才培养的新要求，表述清晰明确、语言规范、相互关联、符合实际，重点突出、可评可测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snapToGrid w:val="0"/>
              <w:jc w:val="center"/>
              <w:rPr>
                <w:rFonts w:ascii="仿宋_GB2312" w:eastAsia="仿宋_GB2312"/>
                <w:sz w:val="24"/>
                <w:szCs w:val="28"/>
              </w:rPr>
            </w:pPr>
            <w:r>
              <w:rPr>
                <w:rFonts w:ascii="仿宋_GB2312" w:eastAsia="仿宋_GB2312"/>
                <w:sz w:val="24"/>
                <w:szCs w:val="28"/>
              </w:rPr>
              <w:t>内容</w:t>
            </w:r>
          </w:p>
          <w:p>
            <w:pPr>
              <w:snapToGrid w:val="0"/>
              <w:jc w:val="center"/>
              <w:rPr>
                <w:rFonts w:ascii="仿宋_GB2312" w:eastAsia="仿宋_GB2312"/>
                <w:sz w:val="24"/>
                <w:szCs w:val="28"/>
              </w:rPr>
            </w:pPr>
            <w:r>
              <w:rPr>
                <w:rFonts w:ascii="仿宋_GB2312" w:eastAsia="仿宋_GB2312"/>
                <w:sz w:val="24"/>
                <w:szCs w:val="28"/>
              </w:rPr>
              <w:t>与</w:t>
            </w:r>
          </w:p>
          <w:p>
            <w:pPr>
              <w:snapToGrid w:val="0"/>
              <w:jc w:val="center"/>
              <w:rPr>
                <w:rFonts w:ascii="仿宋_GB2312" w:eastAsia="仿宋_GB2312"/>
                <w:sz w:val="24"/>
                <w:szCs w:val="28"/>
              </w:rPr>
            </w:pPr>
            <w:r>
              <w:rPr>
                <w:rFonts w:ascii="仿宋_GB2312" w:eastAsia="仿宋_GB2312"/>
                <w:sz w:val="24"/>
                <w:szCs w:val="28"/>
              </w:rPr>
              <w:t>策略</w:t>
            </w:r>
          </w:p>
        </w:tc>
        <w:tc>
          <w:tcPr>
            <w:tcW w:w="580" w:type="dxa"/>
            <w:vAlign w:val="center"/>
          </w:tcPr>
          <w:p>
            <w:pPr>
              <w:overflowPunct w:val="0"/>
              <w:snapToGrid w:val="0"/>
              <w:jc w:val="center"/>
              <w:rPr>
                <w:rFonts w:ascii="仿宋_GB2312" w:eastAsia="仿宋_GB2312"/>
                <w:sz w:val="24"/>
                <w:szCs w:val="28"/>
              </w:rPr>
            </w:pPr>
            <w:r>
              <w:rPr>
                <w:rFonts w:ascii="仿宋_GB2312" w:eastAsia="仿宋_GB2312"/>
                <w:sz w:val="24"/>
                <w:szCs w:val="28"/>
              </w:rPr>
              <w:t>20</w:t>
            </w:r>
          </w:p>
        </w:tc>
        <w:tc>
          <w:tcPr>
            <w:tcW w:w="8464" w:type="dxa"/>
            <w:vAlign w:val="center"/>
          </w:tcPr>
          <w:p>
            <w:pPr>
              <w:overflowPunct w:val="0"/>
              <w:snapToGrid w:val="0"/>
              <w:rPr>
                <w:rFonts w:ascii="仿宋_GB2312" w:eastAsia="仿宋_GB2312"/>
                <w:sz w:val="24"/>
                <w:szCs w:val="28"/>
              </w:rPr>
            </w:pPr>
            <w:r>
              <w:rPr>
                <w:rFonts w:ascii="仿宋_GB2312" w:eastAsia="仿宋_GB2312"/>
                <w:sz w:val="24"/>
                <w:szCs w:val="28"/>
              </w:rPr>
              <w:t>1.观点正确，设计理念先进，围绕思政课教学目标，落实立德树人；按照“八个相统一”要求推动思政课改革创新。</w:t>
            </w:r>
          </w:p>
          <w:p>
            <w:pPr>
              <w:overflowPunct w:val="0"/>
              <w:snapToGrid w:val="0"/>
              <w:rPr>
                <w:rFonts w:ascii="仿宋_GB2312" w:eastAsia="仿宋_GB2312"/>
                <w:sz w:val="24"/>
                <w:szCs w:val="28"/>
              </w:rPr>
            </w:pPr>
            <w:r>
              <w:rPr>
                <w:rFonts w:ascii="仿宋_GB2312" w:eastAsia="仿宋_GB2312"/>
                <w:sz w:val="24"/>
                <w:szCs w:val="28"/>
              </w:rPr>
              <w:t>2.教学内容依据统编教材选取，有效支撑教学目标的实现，选择科学严谨、容量适度，所选单元与学时数量安排合理，衔接有序、结构清晰。坚持以习近平新时代中国特色社会主义思想铸魂育人，及时体现最新理论成果，有机结合党史、新中国史、改革开放史、社会主义发展史、中华民族发展史教育内容，有机融入劳模精神、劳动精神、工匠精神教育。</w:t>
            </w:r>
          </w:p>
          <w:p>
            <w:pPr>
              <w:overflowPunct w:val="0"/>
              <w:snapToGrid w:val="0"/>
              <w:rPr>
                <w:rFonts w:ascii="仿宋_GB2312" w:eastAsia="仿宋_GB2312"/>
                <w:sz w:val="24"/>
                <w:szCs w:val="28"/>
              </w:rPr>
            </w:pPr>
            <w:r>
              <w:rPr>
                <w:rFonts w:ascii="仿宋_GB2312" w:eastAsia="仿宋_GB2312"/>
                <w:sz w:val="24"/>
                <w:szCs w:val="28"/>
              </w:rPr>
              <w:t>3.基本理论阐释清楚，基本事实论述准确，理论联系实际，重难点突出，充分反映马克思主义中国化最新成果、坚持和发展中国特色社会主义实践的最新成果，体现“大思政课”理念。</w:t>
            </w:r>
          </w:p>
          <w:p>
            <w:pPr>
              <w:overflowPunct w:val="0"/>
              <w:snapToGrid w:val="0"/>
              <w:rPr>
                <w:rFonts w:ascii="仿宋_GB2312" w:eastAsia="仿宋_GB2312"/>
                <w:sz w:val="24"/>
                <w:szCs w:val="28"/>
              </w:rPr>
            </w:pPr>
            <w:r>
              <w:rPr>
                <w:rFonts w:ascii="仿宋_GB2312" w:eastAsia="仿宋_GB2312"/>
                <w:sz w:val="24"/>
                <w:szCs w:val="28"/>
              </w:rPr>
              <w:t>4.严格落实统编教材使用要求，配套提供规范、优质、丰富的学习资源，教案完整、规范、简明、真实。</w:t>
            </w:r>
          </w:p>
          <w:p>
            <w:pPr>
              <w:overflowPunct w:val="0"/>
              <w:snapToGrid w:val="0"/>
              <w:rPr>
                <w:rFonts w:ascii="仿宋_GB2312" w:eastAsia="仿宋_GB2312"/>
                <w:sz w:val="24"/>
                <w:szCs w:val="28"/>
              </w:rPr>
            </w:pPr>
            <w:r>
              <w:rPr>
                <w:rFonts w:ascii="仿宋_GB2312" w:eastAsia="仿宋_GB2312"/>
                <w:sz w:val="24"/>
                <w:szCs w:val="28"/>
              </w:rPr>
              <w:t>5.教学过程系统优化、完整严密，流程环节构思和时间分配得当，技术资源运用预想合理，方法手段设计恰当，评价考核科学有效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overflowPunct w:val="0"/>
              <w:snapToGrid w:val="0"/>
              <w:jc w:val="center"/>
              <w:rPr>
                <w:rFonts w:ascii="仿宋_GB2312" w:eastAsia="仿宋_GB2312"/>
                <w:sz w:val="24"/>
                <w:szCs w:val="28"/>
              </w:rPr>
            </w:pPr>
            <w:r>
              <w:rPr>
                <w:rFonts w:ascii="仿宋_GB2312" w:eastAsia="仿宋_GB2312"/>
                <w:sz w:val="24"/>
                <w:szCs w:val="28"/>
              </w:rPr>
              <w:t>实施</w:t>
            </w:r>
          </w:p>
          <w:p>
            <w:pPr>
              <w:overflowPunct w:val="0"/>
              <w:snapToGrid w:val="0"/>
              <w:jc w:val="center"/>
              <w:rPr>
                <w:rFonts w:ascii="仿宋_GB2312" w:eastAsia="仿宋_GB2312"/>
                <w:sz w:val="24"/>
                <w:szCs w:val="28"/>
              </w:rPr>
            </w:pPr>
            <w:r>
              <w:rPr>
                <w:rFonts w:ascii="仿宋_GB2312" w:eastAsia="仿宋_GB2312"/>
                <w:sz w:val="24"/>
                <w:szCs w:val="28"/>
              </w:rPr>
              <w:t>与</w:t>
            </w:r>
          </w:p>
          <w:p>
            <w:pPr>
              <w:snapToGrid w:val="0"/>
              <w:jc w:val="center"/>
              <w:rPr>
                <w:rFonts w:ascii="仿宋_GB2312" w:eastAsia="仿宋_GB2312"/>
                <w:sz w:val="24"/>
                <w:szCs w:val="28"/>
              </w:rPr>
            </w:pPr>
            <w:r>
              <w:rPr>
                <w:rFonts w:ascii="仿宋_GB2312" w:eastAsia="仿宋_GB2312"/>
                <w:sz w:val="24"/>
                <w:szCs w:val="28"/>
              </w:rPr>
              <w:t>成效</w:t>
            </w:r>
          </w:p>
        </w:tc>
        <w:tc>
          <w:tcPr>
            <w:tcW w:w="580" w:type="dxa"/>
            <w:vAlign w:val="center"/>
          </w:tcPr>
          <w:p>
            <w:pPr>
              <w:overflowPunct w:val="0"/>
              <w:snapToGrid w:val="0"/>
              <w:jc w:val="center"/>
              <w:rPr>
                <w:rFonts w:ascii="仿宋_GB2312" w:eastAsia="仿宋_GB2312"/>
                <w:sz w:val="24"/>
                <w:szCs w:val="28"/>
              </w:rPr>
            </w:pPr>
            <w:r>
              <w:rPr>
                <w:rFonts w:ascii="仿宋_GB2312" w:eastAsia="仿宋_GB2312"/>
                <w:sz w:val="24"/>
                <w:szCs w:val="28"/>
              </w:rPr>
              <w:t>35</w:t>
            </w:r>
          </w:p>
        </w:tc>
        <w:tc>
          <w:tcPr>
            <w:tcW w:w="8464" w:type="dxa"/>
            <w:vAlign w:val="center"/>
          </w:tcPr>
          <w:p>
            <w:pPr>
              <w:overflowPunct w:val="0"/>
              <w:snapToGrid w:val="0"/>
              <w:rPr>
                <w:rFonts w:ascii="仿宋_GB2312" w:eastAsia="仿宋_GB2312"/>
                <w:sz w:val="24"/>
                <w:szCs w:val="28"/>
              </w:rPr>
            </w:pPr>
            <w:r>
              <w:rPr>
                <w:rFonts w:ascii="仿宋_GB2312" w:eastAsia="仿宋_GB2312"/>
                <w:sz w:val="24"/>
                <w:szCs w:val="28"/>
              </w:rPr>
              <w:t>1.体现先进教育思想和教学理念，遵循学生认知规律，符合课内外教学实际。突显教师教育情怀，让思政课成为一门有温度的课。</w:t>
            </w:r>
          </w:p>
          <w:p>
            <w:pPr>
              <w:overflowPunct w:val="0"/>
              <w:snapToGrid w:val="0"/>
              <w:rPr>
                <w:rFonts w:ascii="仿宋_GB2312" w:eastAsia="仿宋_GB2312"/>
                <w:sz w:val="24"/>
                <w:szCs w:val="28"/>
              </w:rPr>
            </w:pPr>
            <w:r>
              <w:rPr>
                <w:rFonts w:ascii="仿宋_GB2312" w:eastAsia="仿宋_GB2312"/>
                <w:sz w:val="24"/>
                <w:szCs w:val="28"/>
              </w:rPr>
              <w:t>2.按照教学设计实施教学，关注重点、难点的解决，能够针对学习反馈及时调整教学，突出学生中心，实行因材施教。注重方式方法，把道理讲准、讲深、讲透、讲活，用鲜活的案例把理论落细落小，不断增强思政课的思想性、理论性和亲和力、针对性，能够自觉回应学生关心的问题，教学素材多样、有效，推动形成老师讲好思政课、学生学好思政课的良好氛围。</w:t>
            </w:r>
          </w:p>
          <w:p>
            <w:pPr>
              <w:overflowPunct w:val="0"/>
              <w:snapToGrid w:val="0"/>
              <w:rPr>
                <w:rFonts w:ascii="仿宋_GB2312" w:eastAsia="仿宋_GB2312"/>
                <w:sz w:val="24"/>
                <w:szCs w:val="28"/>
              </w:rPr>
            </w:pPr>
            <w:r>
              <w:rPr>
                <w:rFonts w:ascii="仿宋_GB2312" w:eastAsia="仿宋_GB2312"/>
                <w:sz w:val="24"/>
                <w:szCs w:val="28"/>
              </w:rPr>
              <w:t>3.教学环境满足需求，教学活动开展有序，教学互动深入有效，教学气氛生动活泼。关注教与学行为采集，针对目标要求开展考核与评价。合理运用信息技术、教学资源、设施设备提高教学管理成效。</w:t>
            </w:r>
          </w:p>
          <w:p>
            <w:pPr>
              <w:overflowPunct w:val="0"/>
              <w:snapToGrid w:val="0"/>
              <w:rPr>
                <w:rFonts w:ascii="仿宋_GB2312" w:eastAsia="仿宋_GB2312"/>
                <w:sz w:val="24"/>
                <w:szCs w:val="28"/>
              </w:rPr>
            </w:pPr>
            <w:r>
              <w:rPr>
                <w:rFonts w:ascii="仿宋_GB2312" w:eastAsia="仿宋_GB2312"/>
                <w:sz w:val="24"/>
                <w:szCs w:val="28"/>
              </w:rPr>
              <w:t>4.有效达成教学目标，让学生真学、真懂、真信、真用；实现政治性和学理性相统一、价值性和知识性相统一、建设性和批判性相统一、理论性和实践性相统一、统一性和多样性相统一、主导性和主体性相统一、灌输性和启发性相统一、显性教育和隐形教育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overflowPunct w:val="0"/>
              <w:snapToGrid w:val="0"/>
              <w:jc w:val="center"/>
              <w:rPr>
                <w:rFonts w:ascii="仿宋_GB2312" w:eastAsia="仿宋_GB2312"/>
                <w:sz w:val="24"/>
                <w:szCs w:val="28"/>
              </w:rPr>
            </w:pPr>
            <w:r>
              <w:rPr>
                <w:rFonts w:ascii="仿宋_GB2312" w:eastAsia="仿宋_GB2312"/>
                <w:sz w:val="24"/>
                <w:szCs w:val="28"/>
              </w:rPr>
              <w:t>教学</w:t>
            </w:r>
          </w:p>
          <w:p>
            <w:pPr>
              <w:overflowPunct w:val="0"/>
              <w:snapToGrid w:val="0"/>
              <w:jc w:val="center"/>
              <w:rPr>
                <w:rFonts w:ascii="仿宋_GB2312" w:eastAsia="仿宋_GB2312"/>
                <w:sz w:val="24"/>
                <w:szCs w:val="28"/>
              </w:rPr>
            </w:pPr>
            <w:r>
              <w:rPr>
                <w:rFonts w:ascii="仿宋_GB2312" w:eastAsia="仿宋_GB2312"/>
                <w:sz w:val="24"/>
                <w:szCs w:val="28"/>
              </w:rPr>
              <w:t>素养</w:t>
            </w:r>
          </w:p>
        </w:tc>
        <w:tc>
          <w:tcPr>
            <w:tcW w:w="580" w:type="dxa"/>
            <w:vAlign w:val="center"/>
          </w:tcPr>
          <w:p>
            <w:pPr>
              <w:overflowPunct w:val="0"/>
              <w:snapToGrid w:val="0"/>
              <w:jc w:val="center"/>
              <w:rPr>
                <w:rFonts w:ascii="仿宋_GB2312" w:eastAsia="仿宋_GB2312"/>
                <w:sz w:val="24"/>
                <w:szCs w:val="28"/>
              </w:rPr>
            </w:pPr>
            <w:r>
              <w:rPr>
                <w:rFonts w:ascii="仿宋_GB2312" w:eastAsia="仿宋_GB2312"/>
                <w:sz w:val="24"/>
                <w:szCs w:val="28"/>
              </w:rPr>
              <w:t>15</w:t>
            </w:r>
          </w:p>
        </w:tc>
        <w:tc>
          <w:tcPr>
            <w:tcW w:w="8464" w:type="dxa"/>
            <w:vAlign w:val="center"/>
          </w:tcPr>
          <w:p>
            <w:pPr>
              <w:overflowPunct w:val="0"/>
              <w:snapToGrid w:val="0"/>
              <w:rPr>
                <w:rFonts w:ascii="仿宋_GB2312" w:eastAsia="仿宋_GB2312"/>
                <w:sz w:val="24"/>
                <w:szCs w:val="28"/>
              </w:rPr>
            </w:pPr>
            <w:r>
              <w:rPr>
                <w:rFonts w:ascii="仿宋_GB2312" w:eastAsia="仿宋_GB2312"/>
                <w:sz w:val="24"/>
                <w:szCs w:val="28"/>
              </w:rPr>
              <w:t>1.落实习近平总书记对思政课教师“政治要强、情怀要深、思维要新、视野要广、自律要严、人格要正”的素养要求，争当“四有”好老师、“四个引路人”“四个相统一”的表率。</w:t>
            </w:r>
          </w:p>
          <w:p>
            <w:pPr>
              <w:overflowPunct w:val="0"/>
              <w:snapToGrid w:val="0"/>
              <w:rPr>
                <w:rFonts w:ascii="仿宋_GB2312" w:eastAsia="仿宋_GB2312"/>
                <w:sz w:val="24"/>
                <w:szCs w:val="28"/>
              </w:rPr>
            </w:pPr>
            <w:r>
              <w:rPr>
                <w:rFonts w:ascii="仿宋_GB2312" w:eastAsia="仿宋_GB2312"/>
                <w:sz w:val="24"/>
                <w:szCs w:val="28"/>
              </w:rPr>
              <w:t>2.充分展现新时代职业院校教师良好的师德师风、教学技能和信息素养，发挥参赛队协作优势；老中青传帮带效果显著。</w:t>
            </w:r>
          </w:p>
          <w:p>
            <w:pPr>
              <w:overflowPunct w:val="0"/>
              <w:snapToGrid w:val="0"/>
              <w:rPr>
                <w:rFonts w:ascii="仿宋_GB2312" w:eastAsia="仿宋_GB2312"/>
                <w:sz w:val="24"/>
                <w:szCs w:val="28"/>
              </w:rPr>
            </w:pPr>
            <w:r>
              <w:rPr>
                <w:rFonts w:ascii="仿宋_GB2312" w:eastAsia="仿宋_GB2312"/>
                <w:sz w:val="24"/>
                <w:szCs w:val="28"/>
              </w:rPr>
              <w:t>3.教师课堂教学态度认真、严谨规范、表述清晰、亲和力强。教学情况报告客观记载、真实反映、深刻反思教与学的成效与不足，提出教学设计与课堂实施的改进设想。</w:t>
            </w:r>
          </w:p>
          <w:p>
            <w:pPr>
              <w:overflowPunct w:val="0"/>
              <w:snapToGrid w:val="0"/>
              <w:rPr>
                <w:rFonts w:ascii="仿宋_GB2312" w:eastAsia="仿宋_GB2312"/>
                <w:sz w:val="24"/>
                <w:szCs w:val="28"/>
              </w:rPr>
            </w:pPr>
            <w:r>
              <w:rPr>
                <w:rFonts w:ascii="仿宋_GB2312" w:eastAsia="仿宋_GB2312"/>
                <w:sz w:val="24"/>
                <w:szCs w:val="28"/>
              </w:rPr>
              <w:t>4.决赛现场的情况介绍、教学展示和回答提问聚焦主题、科学准确、思路清晰、逻辑严谨、研究深入、手段得当、简洁明了、表达流畅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overflowPunct w:val="0"/>
              <w:snapToGrid w:val="0"/>
              <w:jc w:val="center"/>
              <w:rPr>
                <w:rFonts w:ascii="仿宋_GB2312" w:eastAsia="仿宋_GB2312"/>
                <w:sz w:val="24"/>
                <w:szCs w:val="28"/>
              </w:rPr>
            </w:pPr>
            <w:r>
              <w:rPr>
                <w:rFonts w:ascii="仿宋_GB2312" w:eastAsia="仿宋_GB2312"/>
                <w:sz w:val="24"/>
                <w:szCs w:val="28"/>
              </w:rPr>
              <w:t>特色</w:t>
            </w:r>
          </w:p>
          <w:p>
            <w:pPr>
              <w:overflowPunct w:val="0"/>
              <w:snapToGrid w:val="0"/>
              <w:jc w:val="center"/>
              <w:rPr>
                <w:rFonts w:ascii="仿宋_GB2312" w:eastAsia="仿宋_GB2312"/>
                <w:sz w:val="24"/>
                <w:szCs w:val="28"/>
              </w:rPr>
            </w:pPr>
            <w:r>
              <w:rPr>
                <w:rFonts w:ascii="仿宋_GB2312" w:eastAsia="仿宋_GB2312"/>
                <w:sz w:val="24"/>
                <w:szCs w:val="28"/>
              </w:rPr>
              <w:t>创新</w:t>
            </w:r>
          </w:p>
        </w:tc>
        <w:tc>
          <w:tcPr>
            <w:tcW w:w="580" w:type="dxa"/>
            <w:vAlign w:val="center"/>
          </w:tcPr>
          <w:p>
            <w:pPr>
              <w:overflowPunct w:val="0"/>
              <w:snapToGrid w:val="0"/>
              <w:jc w:val="center"/>
              <w:rPr>
                <w:rFonts w:ascii="仿宋_GB2312" w:eastAsia="仿宋_GB2312"/>
                <w:sz w:val="24"/>
                <w:szCs w:val="28"/>
              </w:rPr>
            </w:pPr>
            <w:r>
              <w:rPr>
                <w:rFonts w:ascii="仿宋_GB2312" w:eastAsia="仿宋_GB2312"/>
                <w:sz w:val="24"/>
                <w:szCs w:val="28"/>
              </w:rPr>
              <w:t>15</w:t>
            </w:r>
          </w:p>
        </w:tc>
        <w:tc>
          <w:tcPr>
            <w:tcW w:w="8464" w:type="dxa"/>
            <w:vAlign w:val="center"/>
          </w:tcPr>
          <w:p>
            <w:pPr>
              <w:overflowPunct w:val="0"/>
              <w:snapToGrid w:val="0"/>
              <w:rPr>
                <w:rFonts w:ascii="仿宋_GB2312" w:eastAsia="仿宋_GB2312"/>
                <w:sz w:val="24"/>
                <w:szCs w:val="28"/>
              </w:rPr>
            </w:pPr>
            <w:r>
              <w:rPr>
                <w:rFonts w:ascii="仿宋_GB2312" w:eastAsia="仿宋_GB2312"/>
                <w:sz w:val="24"/>
                <w:szCs w:val="28"/>
              </w:rPr>
              <w:t>1.坚持守正创新，在教育引导学生坚定理想信念、厚植爱国主义情怀、加强品德修养、增长知识见识、培养奋斗精神、增强综合素质等方面有特色创新。能够主动辨析、批判错误思想观点，引导学生学会正确的思维方法。</w:t>
            </w:r>
          </w:p>
          <w:p>
            <w:pPr>
              <w:overflowPunct w:val="0"/>
              <w:snapToGrid w:val="0"/>
              <w:rPr>
                <w:rFonts w:ascii="仿宋_GB2312" w:eastAsia="仿宋_GB2312"/>
                <w:sz w:val="24"/>
                <w:szCs w:val="28"/>
              </w:rPr>
            </w:pPr>
            <w:r>
              <w:rPr>
                <w:rFonts w:ascii="仿宋_GB2312" w:eastAsia="仿宋_GB2312"/>
                <w:sz w:val="24"/>
                <w:szCs w:val="28"/>
              </w:rPr>
              <w:t>2.能够创新教学方法，突出职业性、体现时代性、富于创新性，给学生深刻的学习体验和更多的获得感，达到沟通心灵、启智润心、激扬斗志。能够与时俱进地提高信息技术应用能力、教研科研能力，建设积累鲜活的案例资源。</w:t>
            </w:r>
          </w:p>
          <w:p>
            <w:pPr>
              <w:overflowPunct w:val="0"/>
              <w:snapToGrid w:val="0"/>
              <w:rPr>
                <w:rFonts w:ascii="仿宋_GB2312" w:eastAsia="仿宋_GB2312"/>
                <w:sz w:val="24"/>
                <w:szCs w:val="28"/>
              </w:rPr>
            </w:pPr>
            <w:r>
              <w:rPr>
                <w:rFonts w:ascii="仿宋_GB2312" w:eastAsia="仿宋_GB2312"/>
                <w:sz w:val="24"/>
                <w:szCs w:val="28"/>
              </w:rPr>
              <w:t>3.能够密切关注思政课改革创新和学生思想状况的新动态新问题，研究应对策略和方法。善于跟踪社会舆论热点，及时分析挖掘可能包含的正面因素和负面影响，转化为课堂教学使用的案例素材，对学生有效正确引导。</w:t>
            </w:r>
          </w:p>
          <w:p>
            <w:pPr>
              <w:overflowPunct w:val="0"/>
              <w:snapToGrid w:val="0"/>
              <w:rPr>
                <w:rFonts w:ascii="仿宋_GB2312" w:eastAsia="仿宋_GB2312"/>
                <w:sz w:val="24"/>
                <w:szCs w:val="28"/>
              </w:rPr>
            </w:pPr>
            <w:r>
              <w:rPr>
                <w:rFonts w:ascii="仿宋_GB2312" w:eastAsia="仿宋_GB2312"/>
                <w:sz w:val="24"/>
                <w:szCs w:val="28"/>
              </w:rPr>
              <w:t>4.在中高职思政课一体化建设、集体备课等方面有一定探索创新。</w:t>
            </w:r>
          </w:p>
          <w:p>
            <w:pPr>
              <w:overflowPunct w:val="0"/>
              <w:snapToGrid w:val="0"/>
              <w:rPr>
                <w:rFonts w:ascii="仿宋_GB2312" w:eastAsia="仿宋_GB2312"/>
                <w:sz w:val="24"/>
                <w:szCs w:val="28"/>
              </w:rPr>
            </w:pPr>
            <w:r>
              <w:rPr>
                <w:rFonts w:ascii="仿宋_GB2312" w:eastAsia="仿宋_GB2312"/>
                <w:sz w:val="24"/>
                <w:szCs w:val="28"/>
              </w:rPr>
              <w:t>5.教学模式、方法、质量评价等方面具有较大借鉴和推广价值</w:t>
            </w:r>
          </w:p>
        </w:tc>
      </w:tr>
      <w:bookmarkEnd w:id="0"/>
    </w:tbl>
    <w:p>
      <w:pPr>
        <w:overflowPunct w:val="0"/>
        <w:snapToGrid w:val="0"/>
        <w:ind w:left="480" w:hanging="480" w:hangingChars="200"/>
        <w:rPr>
          <w:rFonts w:ascii="仿宋_GB2312" w:eastAsia="仿宋_GB2312"/>
          <w:sz w:val="24"/>
        </w:rPr>
      </w:pPr>
    </w:p>
    <w:p>
      <w:pPr>
        <w:overflowPunct w:val="0"/>
        <w:snapToGrid w:val="0"/>
        <w:ind w:left="482" w:hanging="482" w:hangingChars="200"/>
        <w:rPr>
          <w:rFonts w:ascii="仿宋_GB2312" w:eastAsia="仿宋_GB2312"/>
          <w:sz w:val="24"/>
        </w:rPr>
      </w:pPr>
      <w:r>
        <w:rPr>
          <w:rFonts w:ascii="仿宋_GB2312" w:eastAsia="仿宋_GB2312"/>
          <w:b/>
          <w:sz w:val="24"/>
        </w:rPr>
        <w:t>注：</w:t>
      </w:r>
      <w:r>
        <w:rPr>
          <w:rFonts w:ascii="仿宋_GB2312" w:eastAsia="仿宋_GB2312"/>
          <w:sz w:val="24"/>
        </w:rPr>
        <w:t>1.评审专家根据参赛材料和参赛队表现，考察参赛队的思政课教学能力，根据评分指标进行综合评价和打分。</w:t>
      </w:r>
    </w:p>
    <w:p>
      <w:pPr>
        <w:overflowPunct w:val="0"/>
        <w:snapToGrid w:val="0"/>
        <w:ind w:left="559" w:leftChars="266"/>
        <w:rPr>
          <w:rFonts w:ascii="仿宋_GB2312" w:eastAsia="仿宋_GB2312"/>
          <w:sz w:val="24"/>
        </w:rPr>
      </w:pPr>
      <w:r>
        <w:rPr>
          <w:rFonts w:ascii="仿宋_GB2312" w:eastAsia="仿宋_GB2312"/>
          <w:sz w:val="24"/>
        </w:rPr>
        <w:t>2.网络初评阶段，参赛教案、课堂实录视频、教学情况报告的评分权重分别为30%、40%、30%。</w:t>
      </w:r>
    </w:p>
    <w:p>
      <w:pPr>
        <w:overflowPunct w:val="0"/>
        <w:snapToGrid w:val="0"/>
        <w:ind w:left="559" w:leftChars="266"/>
        <w:rPr>
          <w:rFonts w:ascii="仿宋_GB2312" w:eastAsia="仿宋_GB2312"/>
          <w:sz w:val="24"/>
        </w:rPr>
      </w:pPr>
      <w:r>
        <w:rPr>
          <w:rFonts w:ascii="仿宋_GB2312" w:eastAsia="仿宋_GB2312"/>
          <w:sz w:val="24"/>
        </w:rPr>
        <w:t>3.决赛阶段，评审专家根据参赛材料和参赛队现场表现等统筹打分，但网络初评阶段得分不带入决赛。教学情况介绍、无学生教学展示、答辩等环节的评分权重分别为35%、40%、25%。</w:t>
      </w:r>
    </w:p>
    <w:p/>
    <w:p/>
    <w:sectPr>
      <w:footerReference r:id="rId5" w:type="first"/>
      <w:footerReference r:id="rId3" w:type="default"/>
      <w:footerReference r:id="rId4" w:type="even"/>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18</w:t>
    </w:r>
    <w:r>
      <w:rPr>
        <w:rStyle w:val="5"/>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18</w:t>
    </w:r>
    <w:r>
      <w:rPr>
        <w:rStyle w:val="5"/>
        <w:sz w:val="28"/>
        <w:szCs w:val="28"/>
      </w:rPr>
      <w:fldChar w:fldCharType="end"/>
    </w:r>
    <w:r>
      <w:rPr>
        <w:rStyle w:val="5"/>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F129F"/>
    <w:rsid w:val="4F5F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2023-08-15T07:40:00Z</dcterms:created>
  <dc:creator>z</dc:creator>
  <cp:lastModifiedBy>z</cp:lastModifiedBy>
  <dcterms:modified xsi:type="dcterms:W3CDTF">2023-08-15T07:40:21Z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