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050" w:type="dxa"/>
        <w:jc w:val="center"/>
        <w:tblCellSpacing w:w="15" w:type="dxa"/>
        <w:tblLayout w:type="autofit"/>
        <w:tblCellMar>
          <w:top w:w="0" w:type="dxa"/>
          <w:left w:w="108" w:type="dxa"/>
          <w:bottom w:w="0" w:type="dxa"/>
          <w:right w:w="108" w:type="dxa"/>
        </w:tblCellMar>
      </w:tblPr>
      <w:tblGrid>
        <w:gridCol w:w="10050"/>
      </w:tblGrid>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before="150" w:after="300" w:line="560" w:lineRule="exact"/>
              <w:jc w:val="center"/>
              <w:rPr>
                <w:rFonts w:ascii="方正小标宋简体" w:hAnsi="黑体" w:eastAsia="方正小标宋简体"/>
                <w:sz w:val="36"/>
                <w:szCs w:val="36"/>
              </w:rPr>
            </w:pPr>
            <w:r>
              <w:rPr>
                <w:rFonts w:hint="eastAsia" w:ascii="方正小标宋简体" w:hAnsi="Calibri" w:eastAsia="方正小标宋简体" w:cs="Calibri"/>
                <w:sz w:val="32"/>
                <w:szCs w:val="32"/>
              </w:rPr>
              <w:t> </w:t>
            </w:r>
            <w:r>
              <w:rPr>
                <w:rFonts w:hint="eastAsia" w:ascii="方正小标宋简体" w:hAnsi="黑体" w:eastAsia="方正小标宋简体"/>
                <w:sz w:val="32"/>
                <w:szCs w:val="32"/>
              </w:rPr>
              <w:t xml:space="preserve"> </w:t>
            </w:r>
            <w:r>
              <w:rPr>
                <w:rFonts w:hint="eastAsia" w:ascii="方正小标宋简体" w:hAnsi="黑体" w:eastAsia="方正小标宋简体"/>
                <w:sz w:val="36"/>
                <w:szCs w:val="36"/>
              </w:rPr>
              <w:t>山东外国语职业技术大学</w:t>
            </w:r>
          </w:p>
          <w:p>
            <w:pPr>
              <w:spacing w:before="150" w:after="300"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2020年高职（专科）单独招生和综合评价招生章程</w:t>
            </w:r>
          </w:p>
          <w:p>
            <w:pPr>
              <w:spacing w:before="100" w:beforeAutospacing="1" w:after="100" w:afterAutospacing="1" w:line="560" w:lineRule="exact"/>
              <w:jc w:val="center"/>
              <w:rPr>
                <w:rFonts w:ascii="仿宋_GB2312" w:eastAsia="仿宋_GB2312"/>
                <w:b/>
                <w:bCs/>
                <w:sz w:val="32"/>
                <w:szCs w:val="32"/>
              </w:rPr>
            </w:pPr>
            <w:r>
              <w:rPr>
                <w:rFonts w:hint="eastAsia" w:ascii="仿宋_GB2312" w:eastAsia="仿宋_GB2312"/>
                <w:b/>
                <w:bCs/>
                <w:sz w:val="32"/>
                <w:szCs w:val="32"/>
              </w:rPr>
              <w:t>第一章 总则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为保证山东外国语职业技术大学2020年单独招生和综合评价招生工作的顺利进行，维护学校和考生合法权益，依据《中华人民共和国教育法》《中华人民共和国高等教育法》和教育部、省教育厅等有关文件精神，</w:t>
            </w:r>
            <w:r>
              <w:rPr>
                <w:rStyle w:val="39"/>
                <w:rFonts w:hint="eastAsia" w:ascii="仿宋_GB2312" w:hAnsi="宋体" w:eastAsia="仿宋_GB2312"/>
                <w:sz w:val="32"/>
                <w:szCs w:val="32"/>
              </w:rPr>
              <w:t>按照《山东省教育厅关于做好2020年高职（专科）单独招生和综合评价招生工作的通知》要求，</w:t>
            </w:r>
            <w:r>
              <w:rPr>
                <w:rFonts w:hint="eastAsia" w:ascii="仿宋_GB2312" w:eastAsia="仿宋_GB2312"/>
                <w:sz w:val="32"/>
                <w:szCs w:val="32"/>
              </w:rPr>
              <w:t>结合山东外国语职业技术大学招生工作的具体情况，制定本章程。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第一条 本章程适用于山东外国语职业技术大学单独招生和综合评价招生工作。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第二条 学校单独招生和综合评价招生工作以“公平竞争、公正选拔、公开程序，德智体全面考核、综合评价、择优录取”为原则。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第三条 山东外国语职业技术大学单独招生和综合评价招生工作接受纪检监察部门、新闻媒体、考生和家长以及社会各界的监督。 </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line="560" w:lineRule="exact"/>
              <w:rPr>
                <w:rFonts w:ascii="仿宋_GB2312" w:eastAsia="仿宋_GB2312"/>
                <w:sz w:val="32"/>
                <w:szCs w:val="32"/>
              </w:rPr>
            </w:pPr>
          </w:p>
          <w:p>
            <w:pPr>
              <w:spacing w:before="100" w:beforeAutospacing="1" w:after="100" w:afterAutospacing="1" w:line="560" w:lineRule="exact"/>
              <w:jc w:val="center"/>
              <w:rPr>
                <w:rFonts w:hint="eastAsia" w:ascii="仿宋_GB2312" w:eastAsia="仿宋_GB2312"/>
                <w:b/>
                <w:bCs/>
                <w:sz w:val="32"/>
                <w:szCs w:val="32"/>
              </w:rPr>
            </w:pPr>
            <w:r>
              <w:rPr>
                <w:rFonts w:hint="eastAsia" w:ascii="仿宋_GB2312" w:eastAsia="仿宋_GB2312"/>
                <w:b/>
                <w:bCs/>
                <w:sz w:val="32"/>
                <w:szCs w:val="32"/>
              </w:rPr>
              <w:t xml:space="preserve">第二章 学校概况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第四条 学校全称：山东外国语职业技术大学  </w:t>
            </w:r>
          </w:p>
          <w:p>
            <w:pPr>
              <w:spacing w:before="100" w:beforeAutospacing="1" w:after="100" w:afterAutospacing="1" w:line="560" w:lineRule="exact"/>
              <w:ind w:firstLine="1798"/>
              <w:rPr>
                <w:rFonts w:ascii="仿宋_GB2312" w:eastAsia="仿宋_GB2312"/>
                <w:sz w:val="32"/>
                <w:szCs w:val="32"/>
              </w:rPr>
            </w:pPr>
            <w:r>
              <w:rPr>
                <w:rFonts w:hint="eastAsia" w:ascii="仿宋_GB2312" w:eastAsia="仿宋_GB2312"/>
                <w:sz w:val="32"/>
                <w:szCs w:val="32"/>
              </w:rPr>
              <w:t xml:space="preserve">学校代码：13387 </w:t>
            </w:r>
          </w:p>
          <w:p>
            <w:pPr>
              <w:spacing w:before="100" w:beforeAutospacing="1" w:after="100" w:afterAutospacing="1" w:line="560" w:lineRule="exact"/>
              <w:ind w:firstLine="1798"/>
              <w:rPr>
                <w:rFonts w:ascii="仿宋_GB2312" w:eastAsia="仿宋_GB2312"/>
                <w:sz w:val="32"/>
                <w:szCs w:val="32"/>
              </w:rPr>
            </w:pPr>
            <w:r>
              <w:rPr>
                <w:rFonts w:hint="eastAsia" w:ascii="仿宋_GB2312" w:eastAsia="仿宋_GB2312"/>
                <w:sz w:val="32"/>
                <w:szCs w:val="32"/>
              </w:rPr>
              <w:t xml:space="preserve">学校地址：山东省日照市山海路99号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 xml:space="preserve">第五条 办学类型：民办全日制本科层次职业学校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 xml:space="preserve">第六条 办学层次：本科 </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 xml:space="preserve">第七条 学校简介 </w:t>
            </w:r>
          </w:p>
          <w:p>
            <w:pPr>
              <w:spacing w:line="560" w:lineRule="exact"/>
              <w:ind w:firstLine="643"/>
              <w:rPr>
                <w:rFonts w:ascii="仿宋_GB2312" w:hAnsi="仿宋" w:eastAsia="仿宋_GB2312"/>
                <w:sz w:val="32"/>
                <w:szCs w:val="32"/>
              </w:rPr>
            </w:pPr>
            <w:r>
              <w:rPr>
                <w:rFonts w:hint="eastAsia" w:ascii="仿宋_GB2312" w:hAnsi="仿宋" w:eastAsia="仿宋_GB2312"/>
                <w:b/>
                <w:bCs/>
                <w:sz w:val="32"/>
                <w:szCs w:val="32"/>
              </w:rPr>
              <w:t>办学沿革：</w:t>
            </w:r>
            <w:r>
              <w:rPr>
                <w:rFonts w:hint="eastAsia" w:ascii="仿宋_GB2312" w:eastAsia="仿宋_GB2312"/>
                <w:sz w:val="32"/>
                <w:szCs w:val="32"/>
              </w:rPr>
              <w:t>山东外国语职业技术大学源于2005年的山东外国语职业学院，2018年12月，经教育部批复学院升格为本科层次职业学校。</w:t>
            </w:r>
          </w:p>
          <w:p>
            <w:pPr>
              <w:spacing w:line="560" w:lineRule="exact"/>
              <w:ind w:firstLine="643"/>
              <w:rPr>
                <w:rFonts w:ascii="仿宋_GB2312" w:hAnsi="仿宋" w:eastAsia="仿宋_GB2312"/>
                <w:bCs/>
                <w:sz w:val="32"/>
                <w:szCs w:val="32"/>
              </w:rPr>
            </w:pPr>
            <w:r>
              <w:rPr>
                <w:rFonts w:hint="eastAsia" w:ascii="仿宋_GB2312" w:hAnsi="仿宋" w:eastAsia="仿宋_GB2312"/>
                <w:b/>
                <w:bCs/>
                <w:sz w:val="32"/>
                <w:szCs w:val="32"/>
              </w:rPr>
              <w:t>办学条件：</w:t>
            </w:r>
            <w:r>
              <w:rPr>
                <w:rFonts w:hint="eastAsia" w:ascii="仿宋_GB2312" w:hAnsi="仿宋" w:eastAsia="仿宋_GB2312"/>
                <w:bCs/>
                <w:sz w:val="32"/>
                <w:szCs w:val="32"/>
              </w:rPr>
              <w:t>学校占地68.24万平方米，校舍面积35.03万平方米；教学仪器设备总值7615.06万元，纸质图书119.49万册；建有国际贸易、金融、同声传译、数字媒体等115个实验实训室；有大连商品交易所、日照大宗商品交易中心等200余家校外实习实训基地，充分满足教学和学生实习实训的需要。学校注重树立现代教学理念，教学配套设施完善，校园环境优美，为学生的成长、成才提供了优良的条件。</w:t>
            </w:r>
          </w:p>
          <w:p>
            <w:pPr>
              <w:spacing w:line="560" w:lineRule="exact"/>
              <w:ind w:firstLine="643"/>
              <w:rPr>
                <w:rFonts w:ascii="仿宋_GB2312" w:hAnsi="仿宋" w:eastAsia="仿宋_GB2312"/>
                <w:bCs/>
                <w:sz w:val="32"/>
                <w:szCs w:val="32"/>
              </w:rPr>
            </w:pPr>
            <w:r>
              <w:rPr>
                <w:rFonts w:hint="eastAsia" w:ascii="仿宋_GB2312" w:hAnsi="仿宋" w:eastAsia="仿宋_GB2312"/>
                <w:b/>
                <w:bCs/>
                <w:sz w:val="32"/>
                <w:szCs w:val="32"/>
              </w:rPr>
              <w:t>师资队伍：</w:t>
            </w:r>
            <w:r>
              <w:rPr>
                <w:rFonts w:hint="eastAsia" w:ascii="仿宋_GB2312" w:hAnsi="仿宋" w:eastAsia="仿宋_GB2312"/>
                <w:bCs/>
                <w:sz w:val="32"/>
                <w:szCs w:val="32"/>
              </w:rPr>
              <w:t>学校现有专任教师568人，其中具有副高级及以上专业技术职务教师204人，研究生学历教师296人，“双师型”教师228人。其中享受国务院特殊津贴专家、国家优秀教师2人，省级教学名师、优秀教师3人，省级教学团队4个，省职业教育名师工作室2个。</w:t>
            </w:r>
          </w:p>
          <w:p>
            <w:pPr>
              <w:spacing w:line="560" w:lineRule="exact"/>
              <w:ind w:firstLine="643"/>
              <w:rPr>
                <w:rFonts w:ascii="仿宋_GB2312" w:eastAsia="仿宋_GB2312" w:cs="仿宋_GB2312"/>
                <w:sz w:val="32"/>
                <w:szCs w:val="32"/>
              </w:rPr>
            </w:pPr>
            <w:r>
              <w:rPr>
                <w:rFonts w:hint="eastAsia" w:ascii="仿宋_GB2312" w:hAnsi="仿宋" w:eastAsia="仿宋_GB2312"/>
                <w:b/>
                <w:bCs/>
                <w:sz w:val="32"/>
                <w:szCs w:val="32"/>
              </w:rPr>
              <w:t>培养模式：</w:t>
            </w:r>
            <w:r>
              <w:rPr>
                <w:rFonts w:hint="eastAsia" w:ascii="仿宋_GB2312" w:eastAsia="仿宋_GB2312" w:cs="仿宋_GB2312"/>
                <w:sz w:val="32"/>
                <w:szCs w:val="32"/>
              </w:rPr>
              <w:t>学校遵循“道德为本、能力至上、因材施教、分流培养”的人才培养理念，实施“外语+职业、专业+外语、理论+实践、学校+企业”的人才培养模式，推行“精讲多练、学用结合”的教学模式，培养思想品德好，学科专业基础知识扎实，实践和创新能力强，具有国际视野的高素质应用型、技术技能型、复合型人才，为经济社会发展提供智力支持和人才保障。</w:t>
            </w:r>
          </w:p>
          <w:p>
            <w:pPr>
              <w:spacing w:line="560" w:lineRule="exact"/>
              <w:ind w:firstLine="643"/>
              <w:rPr>
                <w:rFonts w:ascii="仿宋_GB2312" w:hAnsi="仿宋" w:eastAsia="仿宋_GB2312"/>
                <w:bCs/>
                <w:sz w:val="32"/>
                <w:szCs w:val="32"/>
              </w:rPr>
            </w:pPr>
            <w:r>
              <w:rPr>
                <w:rFonts w:hint="eastAsia" w:ascii="仿宋_GB2312" w:hAnsi="仿宋" w:eastAsia="仿宋_GB2312"/>
                <w:b/>
                <w:bCs/>
                <w:sz w:val="32"/>
                <w:szCs w:val="32"/>
              </w:rPr>
              <w:t>办学定位：</w:t>
            </w:r>
            <w:r>
              <w:rPr>
                <w:rFonts w:hint="eastAsia" w:ascii="仿宋_GB2312" w:hAnsi="仿宋" w:eastAsia="仿宋_GB2312"/>
                <w:bCs/>
                <w:sz w:val="32"/>
                <w:szCs w:val="32"/>
              </w:rPr>
              <w:t>学校</w:t>
            </w:r>
            <w:r>
              <w:rPr>
                <w:rFonts w:hint="eastAsia" w:ascii="仿宋_GB2312" w:eastAsia="仿宋_GB2312" w:cs="仿宋_GB2312"/>
                <w:sz w:val="32"/>
                <w:szCs w:val="32"/>
              </w:rPr>
              <w:t>坚持社会主义办学方向，全面贯彻党的教育方针。坚持育人为本、德育为先，坚持需求导向、服务地方，坚持强化优势、凝练特色、错位发展。秉承“质量立校、特色发展、产教融合、服务地方”的办学理念，立足日照，面向山东，辐射全国，主动服务区域经济发展和创新驱动发展，坚持市场化定位、法制化管理、差异化发展、特色化服务、国际化视野，发挥办学优势，努力建设一所特色鲜明的区域性高水平高职院校。</w:t>
            </w:r>
          </w:p>
          <w:p>
            <w:pPr>
              <w:spacing w:before="100" w:beforeAutospacing="1" w:after="100" w:afterAutospacing="1" w:line="560" w:lineRule="exact"/>
              <w:ind w:firstLine="643" w:firstLineChars="200"/>
              <w:rPr>
                <w:rFonts w:ascii="仿宋_GB2312" w:eastAsia="仿宋_GB2312"/>
                <w:sz w:val="32"/>
                <w:szCs w:val="32"/>
              </w:rPr>
            </w:pPr>
            <w:r>
              <w:rPr>
                <w:rFonts w:hint="eastAsia" w:ascii="仿宋_GB2312" w:hAnsi="仿宋" w:eastAsia="仿宋_GB2312"/>
                <w:b/>
                <w:bCs/>
                <w:sz w:val="32"/>
                <w:szCs w:val="32"/>
              </w:rPr>
              <w:t>就业措施：</w:t>
            </w:r>
            <w:r>
              <w:rPr>
                <w:rFonts w:hint="eastAsia" w:ascii="仿宋_GB2312" w:hAnsi="仿宋" w:eastAsia="仿宋_GB2312"/>
                <w:bCs/>
                <w:sz w:val="32"/>
                <w:szCs w:val="32"/>
              </w:rPr>
              <w:t>学校坚持以就业为导向，以校企合作为载体，深入贯彻“校企合作，产教融合”模式，构建“政校行企”四方联动机制，通过实施校企合作办学、校企合作育人、校企合作就业、校企合作发展，实现了“校企结合、优势互补、资源共享、双赢共进”。每个学科门类至少有1个对口紧密的行业或企业，每个专业至少有2-3个实习就业实训基地，将人才培养过程与企业生产流程相融合，校企双方深化在人才培养、课程设置、师资建设、实训实习等环节合作，实现了专业与岗位、学业与就业的无缝衔接。大力开展创新创业教育，鼓励学生开展创业实践，增强学生创新创业精神，提高学生创新创业能力。</w:t>
            </w:r>
            <w:r>
              <w:rPr>
                <w:rFonts w:hint="eastAsia" w:ascii="仿宋_GB2312" w:eastAsia="仿宋_GB2312"/>
                <w:sz w:val="32"/>
                <w:szCs w:val="32"/>
              </w:rPr>
              <w:t> </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line="560" w:lineRule="exact"/>
              <w:rPr>
                <w:rFonts w:ascii="仿宋_GB2312" w:eastAsia="仿宋_GB2312"/>
                <w:sz w:val="32"/>
                <w:szCs w:val="32"/>
              </w:rPr>
            </w:pPr>
          </w:p>
          <w:p>
            <w:pPr>
              <w:spacing w:before="100" w:beforeAutospacing="1" w:after="100" w:afterAutospacing="1" w:line="560" w:lineRule="exact"/>
              <w:jc w:val="center"/>
              <w:rPr>
                <w:rFonts w:hint="eastAsia" w:ascii="仿宋_GB2312" w:eastAsia="仿宋_GB2312"/>
                <w:b/>
                <w:bCs/>
                <w:sz w:val="32"/>
                <w:szCs w:val="32"/>
              </w:rPr>
            </w:pPr>
            <w:r>
              <w:rPr>
                <w:rFonts w:hint="eastAsia" w:ascii="仿宋_GB2312" w:eastAsia="仿宋_GB2312"/>
                <w:b/>
                <w:bCs/>
                <w:sz w:val="32"/>
                <w:szCs w:val="32"/>
              </w:rPr>
              <w:t xml:space="preserve">第三章 组织机构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第八条 学校成立由校长任组长的单独招生和综合评价招生工作领导小组。主要职责：研究制定单独招生和综合评价招生政策，审定单独招生和综合评价招生计划，讨论决定单独招生和综合评价招生工作的重大事宜。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第九条 学校招生办公室是组织和实施单独招生和综合评价招生工作的常设机构，在招生工作领导小组的指导下，具体负责单独招生和综合评价招生的日常工作，不委托其他个人或中介机构代为招生。职责如下：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1.严格执行国家、省教育主管部门的政策规定。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2.按照山东省教育厅核准的当年单独招生和综合评价招生计划限额编制单独招生和综合评价招生计划，制定单独招生和综合评价招生工作章程。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3.开展招生宣传、咨询服务等工作，客观地向考生及家长介绍本校的情况和录取规则。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4.公平、公正、公开地完成单独招生和综合评价招生录取工作，负责协调和处理录取工作中的各种问题。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5.严格按照上级教育主管部门要求和有关规定，做好录取工作中的信息整理、信息传递、信息保密等工作。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第十条 学校设立招生工作纪检监察组，全程监督招生录取工作。 </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line="560" w:lineRule="exact"/>
              <w:rPr>
                <w:rFonts w:ascii="仿宋_GB2312" w:hAnsi="Times New Roman" w:eastAsia="仿宋_GB2312" w:cs="Times New Roman"/>
                <w:sz w:val="32"/>
                <w:szCs w:val="32"/>
              </w:rPr>
            </w:pP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before="100" w:beforeAutospacing="1" w:after="100" w:afterAutospacing="1" w:line="560" w:lineRule="exact"/>
              <w:jc w:val="center"/>
              <w:rPr>
                <w:rFonts w:hint="eastAsia" w:ascii="仿宋_GB2312" w:eastAsia="仿宋_GB2312"/>
                <w:b/>
                <w:bCs/>
                <w:sz w:val="32"/>
                <w:szCs w:val="32"/>
              </w:rPr>
            </w:pPr>
            <w:r>
              <w:rPr>
                <w:rFonts w:hint="eastAsia" w:ascii="仿宋_GB2312" w:eastAsia="仿宋_GB2312"/>
                <w:b/>
                <w:bCs/>
                <w:sz w:val="32"/>
                <w:szCs w:val="32"/>
              </w:rPr>
              <w:t xml:space="preserve">第四章 报考条件和报名方式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第十一条 报考条件 </w:t>
            </w:r>
          </w:p>
          <w:p>
            <w:pPr>
              <w:pStyle w:val="11"/>
              <w:spacing w:line="56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020</w:t>
            </w:r>
            <w:r>
              <w:rPr>
                <w:rFonts w:hint="eastAsia" w:ascii="仿宋_GB2312" w:eastAsia="仿宋_GB2312" w:cs="Times New Roman"/>
                <w:sz w:val="32"/>
                <w:szCs w:val="32"/>
              </w:rPr>
              <w:t>年高职（专科）单独招生面向我省中等职业学校毕业生和往届高中阶段学校毕业生开展；高职（专科）综合评价招生面向我省应届普通高中毕业生开展。</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考生须通过山东省</w:t>
            </w:r>
            <w:r>
              <w:rPr>
                <w:rFonts w:ascii="仿宋_GB2312" w:eastAsia="仿宋_GB2312"/>
                <w:sz w:val="32"/>
                <w:szCs w:val="32"/>
              </w:rPr>
              <w:t>2020</w:t>
            </w:r>
            <w:r>
              <w:rPr>
                <w:rFonts w:hint="eastAsia" w:ascii="仿宋_GB2312" w:eastAsia="仿宋_GB2312"/>
                <w:sz w:val="32"/>
                <w:szCs w:val="32"/>
              </w:rPr>
              <w:t>年普通高校考试招生（含春季高考和夏季高考）报名后，方可参加单独招生或综合评价招生。未参加高考报名的考生，可根据《山东省教育招生考试院关于山东省</w:t>
            </w:r>
            <w:r>
              <w:rPr>
                <w:rFonts w:ascii="仿宋_GB2312" w:eastAsia="仿宋_GB2312"/>
                <w:sz w:val="32"/>
                <w:szCs w:val="32"/>
              </w:rPr>
              <w:t>2020</w:t>
            </w:r>
            <w:r>
              <w:rPr>
                <w:rFonts w:hint="eastAsia" w:ascii="仿宋_GB2312" w:eastAsia="仿宋_GB2312"/>
                <w:sz w:val="32"/>
                <w:szCs w:val="32"/>
              </w:rPr>
              <w:t>年普通高校招生考试补报名工作的通知》参加高考补报名。</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年我校单独招生和综合评价招生不再单设退役军人、下岗失业人员、农民工、农民、在岗职工类别计划，此类考生考试招生工作按照普通类执行。</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年我校单独招生中，以春季高考身份报考我校的考生，不限考生中职阶段所学专业，不限考生春季高考所属类别。</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年我校综合评价招生中，以春季高考身份报考我校的考生，不限考生所属春季高考类别。</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第十二条 报名方式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参加单独招生或综合评价招生的考生须于</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w:t>
            </w:r>
            <w:r>
              <w:rPr>
                <w:rFonts w:ascii="仿宋_GB2312" w:eastAsia="仿宋_GB2312"/>
                <w:sz w:val="32"/>
                <w:szCs w:val="32"/>
              </w:rPr>
              <w:t>—24</w:t>
            </w:r>
            <w:r>
              <w:rPr>
                <w:rFonts w:hint="eastAsia" w:ascii="仿宋_GB2312" w:eastAsia="仿宋_GB2312"/>
                <w:sz w:val="32"/>
                <w:szCs w:val="32"/>
              </w:rPr>
              <w:t>日，在省教育招生考试院招生平台（网址：</w:t>
            </w:r>
            <w:r>
              <w:rPr>
                <w:rFonts w:ascii="仿宋_GB2312" w:eastAsia="仿宋_GB2312"/>
                <w:sz w:val="32"/>
                <w:szCs w:val="32"/>
              </w:rPr>
              <w:t>http://wsbm.sdzk.cn/gzdz/</w:t>
            </w:r>
            <w:r>
              <w:rPr>
                <w:rFonts w:hint="eastAsia" w:ascii="仿宋_GB2312" w:eastAsia="仿宋_GB2312"/>
                <w:sz w:val="32"/>
                <w:szCs w:val="32"/>
              </w:rPr>
              <w:t>）选报高校和专业。</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 xml:space="preserve">在省教育招生考试院招生平台填报志愿后，登陆山东外国语职业技术大学官方网站填报个人信息及缴纳报名测试费，报名测试费100元。各类考生具体报名方式、测试须知及相关测试安排见学校官网。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第十三条 资格确认 </w:t>
            </w:r>
          </w:p>
          <w:p>
            <w:pPr>
              <w:pStyle w:val="26"/>
              <w:spacing w:line="560" w:lineRule="exact"/>
              <w:ind w:firstLine="640"/>
              <w:rPr>
                <w:rFonts w:ascii="仿宋_GB2312" w:eastAsia="仿宋_GB2312" w:cs="Times New Roman"/>
                <w:color w:val="000000"/>
                <w:sz w:val="32"/>
                <w:szCs w:val="32"/>
              </w:rPr>
            </w:pPr>
            <w:r>
              <w:rPr>
                <w:rFonts w:hint="eastAsia" w:ascii="仿宋_GB2312" w:eastAsia="仿宋_GB2312" w:cs="Times New Roman"/>
                <w:color w:val="000000"/>
                <w:sz w:val="32"/>
                <w:szCs w:val="32"/>
              </w:rPr>
              <w:t>考生在省教育招生考试院招生平台上填报志愿和在我校官网缴纳报名考试费后，须即时留存《单独招生、综合评价招生考试承诺书》及确认相关考试信息，承诺书需本人签字确认后，待新生报到时统一上交。</w:t>
            </w:r>
          </w:p>
          <w:p>
            <w:pPr>
              <w:pStyle w:val="26"/>
              <w:spacing w:line="560" w:lineRule="exact"/>
              <w:ind w:firstLine="640"/>
              <w:rPr>
                <w:rFonts w:ascii="仿宋_GB2312" w:eastAsia="仿宋_GB2312" w:cs="Times New Roman"/>
                <w:sz w:val="32"/>
                <w:szCs w:val="32"/>
              </w:rPr>
            </w:pPr>
          </w:p>
          <w:p>
            <w:pPr>
              <w:spacing w:before="100" w:beforeAutospacing="1" w:after="100" w:afterAutospacing="1" w:line="560" w:lineRule="exact"/>
              <w:jc w:val="center"/>
              <w:rPr>
                <w:rFonts w:hint="eastAsia" w:ascii="仿宋_GB2312" w:eastAsia="仿宋_GB2312"/>
                <w:b/>
                <w:bCs/>
                <w:sz w:val="32"/>
                <w:szCs w:val="32"/>
              </w:rPr>
            </w:pPr>
            <w:r>
              <w:rPr>
                <w:rFonts w:hint="eastAsia" w:ascii="仿宋_GB2312" w:eastAsia="仿宋_GB2312"/>
                <w:b/>
                <w:bCs/>
                <w:sz w:val="32"/>
                <w:szCs w:val="32"/>
              </w:rPr>
              <w:t xml:space="preserve">第五章 招生专业及计划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第十四条 招生专业及计划</w:t>
            </w:r>
          </w:p>
          <w:tbl>
            <w:tblPr>
              <w:tblStyle w:val="12"/>
              <w:tblW w:w="9160" w:type="dxa"/>
              <w:jc w:val="center"/>
              <w:tblLayout w:type="autofit"/>
              <w:tblCellMar>
                <w:top w:w="0" w:type="dxa"/>
                <w:left w:w="108" w:type="dxa"/>
                <w:bottom w:w="0" w:type="dxa"/>
                <w:right w:w="108" w:type="dxa"/>
              </w:tblCellMar>
            </w:tblPr>
            <w:tblGrid>
              <w:gridCol w:w="2660"/>
              <w:gridCol w:w="1131"/>
              <w:gridCol w:w="1189"/>
              <w:gridCol w:w="1189"/>
              <w:gridCol w:w="1131"/>
              <w:gridCol w:w="1860"/>
            </w:tblGrid>
            <w:tr>
              <w:tblPrEx>
                <w:tblCellMar>
                  <w:top w:w="0" w:type="dxa"/>
                  <w:left w:w="108" w:type="dxa"/>
                  <w:bottom w:w="0" w:type="dxa"/>
                  <w:right w:w="108" w:type="dxa"/>
                </w:tblCellMar>
              </w:tblPrEx>
              <w:trPr>
                <w:trHeight w:val="360" w:hRule="atLeast"/>
                <w:jc w:val="center"/>
              </w:trPr>
              <w:tc>
                <w:tcPr>
                  <w:tcW w:w="26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等线" w:hAnsi="等线" w:eastAsia="等线"/>
                      <w:color w:val="000000"/>
                      <w:sz w:val="22"/>
                    </w:rPr>
                  </w:pPr>
                  <w:r>
                    <w:rPr>
                      <w:rFonts w:hint="eastAsia" w:ascii="等线" w:hAnsi="等线" w:eastAsia="等线"/>
                      <w:color w:val="000000"/>
                      <w:sz w:val="22"/>
                    </w:rPr>
                    <w:t>专业名称</w:t>
                  </w:r>
                </w:p>
              </w:tc>
              <w:tc>
                <w:tcPr>
                  <w:tcW w:w="23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单独招生计划</w:t>
                  </w:r>
                </w:p>
              </w:tc>
              <w:tc>
                <w:tcPr>
                  <w:tcW w:w="23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综合评价招生计划</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学费</w:t>
                  </w:r>
                </w:p>
              </w:tc>
            </w:tr>
            <w:tr>
              <w:tblPrEx>
                <w:tblCellMar>
                  <w:top w:w="0" w:type="dxa"/>
                  <w:left w:w="108" w:type="dxa"/>
                  <w:bottom w:w="0" w:type="dxa"/>
                  <w:right w:w="108" w:type="dxa"/>
                </w:tblCellMar>
              </w:tblPrEx>
              <w:trPr>
                <w:trHeight w:val="360" w:hRule="atLeast"/>
                <w:jc w:val="center"/>
              </w:trPr>
              <w:tc>
                <w:tcPr>
                  <w:tcW w:w="2660" w:type="dxa"/>
                  <w:vMerge w:val="continue"/>
                  <w:tcBorders>
                    <w:top w:val="single" w:color="auto" w:sz="4" w:space="0"/>
                    <w:left w:val="single" w:color="auto" w:sz="4" w:space="0"/>
                    <w:bottom w:val="single" w:color="000000" w:sz="4" w:space="0"/>
                    <w:right w:val="single" w:color="auto" w:sz="4" w:space="0"/>
                  </w:tcBorders>
                  <w:vAlign w:val="center"/>
                </w:tcPr>
                <w:p>
                  <w:pPr>
                    <w:rPr>
                      <w:rFonts w:ascii="等线" w:hAnsi="等线" w:eastAsia="等线"/>
                      <w:color w:val="000000"/>
                      <w:sz w:val="22"/>
                    </w:rPr>
                  </w:pP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夏考</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春考</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夏考</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春考</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等线" w:hAnsi="等线" w:eastAsia="等线"/>
                      <w:color w:val="000000"/>
                      <w:sz w:val="22"/>
                    </w:rPr>
                  </w:pP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国际经济与贸易</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报关与国际货运</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电子商务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物流管理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旅游管理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酒店管理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烹调工艺与营养</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空中乘务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11600元/生/学年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电子竞技运动与管理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幼儿发展与健康管理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金融管理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证券与期货</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投资与理财</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会计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工商企业管理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市场营销</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国际商务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税务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中小企业创业与经营</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应用日语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应用韩语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应用俄语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应用德语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商务日语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应用西班牙语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应用法语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应用阿拉伯语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商务英语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应用英语</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计算机网络技术</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计算机信息管理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动漫制作技术</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8</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32</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软件技术</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40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物联网应用技术</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建筑工程技术</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10200元/生/学年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建筑设计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10200元/生/学年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工程造价</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10200元/生/学年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云计算技术与应用</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9800元/生/学年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艺术设计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环境艺术设计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数字媒体艺术设计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24</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6</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0"/>
                      <w:szCs w:val="20"/>
                    </w:rPr>
                  </w:pPr>
                  <w:r>
                    <w:rPr>
                      <w:rFonts w:hint="eastAsia" w:ascii="仿宋_GB2312" w:hAnsi="等线" w:eastAsia="仿宋_GB2312"/>
                      <w:color w:val="000000"/>
                      <w:sz w:val="20"/>
                      <w:szCs w:val="20"/>
                    </w:rPr>
                    <w:t>10600元/生/学年</w:t>
                  </w:r>
                </w:p>
              </w:tc>
            </w:tr>
            <w:tr>
              <w:tblPrEx>
                <w:tblCellMar>
                  <w:top w:w="0" w:type="dxa"/>
                  <w:left w:w="108" w:type="dxa"/>
                  <w:bottom w:w="0" w:type="dxa"/>
                  <w:right w:w="108" w:type="dxa"/>
                </w:tblCellMar>
              </w:tblPrEx>
              <w:trPr>
                <w:trHeight w:val="360" w:hRule="atLeast"/>
                <w:jc w:val="center"/>
              </w:trPr>
              <w:tc>
                <w:tcPr>
                  <w:tcW w:w="2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olor w:val="000000"/>
                      <w:sz w:val="22"/>
                    </w:rPr>
                  </w:pPr>
                  <w:r>
                    <w:rPr>
                      <w:rFonts w:hint="eastAsia" w:ascii="仿宋_GB2312" w:hAnsi="等线" w:eastAsia="仿宋_GB2312"/>
                      <w:color w:val="000000"/>
                      <w:sz w:val="22"/>
                    </w:rPr>
                    <w:t>合计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280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1120</w:t>
                  </w:r>
                </w:p>
              </w:tc>
              <w:tc>
                <w:tcPr>
                  <w:tcW w:w="1189"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1000</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250</w:t>
                  </w:r>
                </w:p>
              </w:tc>
              <w:tc>
                <w:tcPr>
                  <w:tcW w:w="1860" w:type="dxa"/>
                  <w:tcBorders>
                    <w:top w:val="nil"/>
                    <w:left w:val="nil"/>
                    <w:bottom w:val="single" w:color="auto" w:sz="4" w:space="0"/>
                    <w:right w:val="single" w:color="auto" w:sz="4" w:space="0"/>
                  </w:tcBorders>
                  <w:shd w:val="clear" w:color="auto" w:fill="auto"/>
                  <w:noWrap/>
                  <w:vAlign w:val="center"/>
                </w:tcPr>
                <w:p>
                  <w:pPr>
                    <w:jc w:val="center"/>
                    <w:rPr>
                      <w:rFonts w:hint="eastAsia" w:ascii="等线" w:hAnsi="等线" w:eastAsia="等线"/>
                      <w:color w:val="000000"/>
                      <w:sz w:val="22"/>
                    </w:rPr>
                  </w:pPr>
                  <w:r>
                    <w:rPr>
                      <w:rFonts w:hint="eastAsia" w:ascii="等线" w:hAnsi="等线" w:eastAsia="等线"/>
                      <w:color w:val="000000"/>
                      <w:sz w:val="22"/>
                    </w:rPr>
                    <w:t>　</w:t>
                  </w:r>
                </w:p>
              </w:tc>
            </w:tr>
          </w:tbl>
          <w:p>
            <w:pPr>
              <w:pStyle w:val="26"/>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20</w:t>
            </w:r>
            <w:r>
              <w:rPr>
                <w:rFonts w:ascii="仿宋_GB2312" w:eastAsia="仿宋_GB2312" w:cs="Times New Roman"/>
                <w:sz w:val="32"/>
                <w:szCs w:val="32"/>
              </w:rPr>
              <w:t>20</w:t>
            </w:r>
            <w:r>
              <w:rPr>
                <w:rFonts w:hint="eastAsia" w:ascii="仿宋_GB2312" w:eastAsia="仿宋_GB2312" w:cs="Times New Roman"/>
                <w:sz w:val="32"/>
                <w:szCs w:val="32"/>
              </w:rPr>
              <w:t>年我校单独招生和综合评价招生专业及招生计划以山东省教育厅审批为准，通过招生章程、招生简章、学校网站等形式向社会公布。</w:t>
            </w:r>
          </w:p>
          <w:p>
            <w:pPr>
              <w:spacing w:before="100" w:beforeAutospacing="1" w:after="100" w:afterAutospacing="1" w:line="560" w:lineRule="exact"/>
              <w:jc w:val="center"/>
              <w:rPr>
                <w:rFonts w:hint="eastAsia" w:ascii="仿宋_GB2312" w:eastAsia="仿宋_GB2312"/>
                <w:b/>
                <w:bCs/>
                <w:sz w:val="32"/>
                <w:szCs w:val="32"/>
              </w:rPr>
            </w:pPr>
            <w:r>
              <w:rPr>
                <w:rFonts w:hint="eastAsia" w:ascii="仿宋_GB2312" w:eastAsia="仿宋_GB2312"/>
                <w:b/>
                <w:bCs/>
                <w:sz w:val="32"/>
                <w:szCs w:val="32"/>
              </w:rPr>
              <w:t xml:space="preserve">第六章 网上测试办法和录取规则 </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第十五条 网上测试办法</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测试时间 </w:t>
            </w:r>
            <w:r>
              <w:rPr>
                <w:rFonts w:ascii="仿宋_GB2312" w:eastAsia="仿宋_GB2312"/>
                <w:sz w:val="32"/>
                <w:szCs w:val="32"/>
              </w:rPr>
              <w:t>2020</w:t>
            </w:r>
            <w:r>
              <w:rPr>
                <w:rFonts w:hint="eastAsia" w:ascii="仿宋_GB2312" w:eastAsia="仿宋_GB2312"/>
                <w:sz w:val="32"/>
                <w:szCs w:val="32"/>
              </w:rPr>
              <w:t>年6月1日-</w:t>
            </w:r>
            <w:r>
              <w:rPr>
                <w:rFonts w:ascii="仿宋_GB2312" w:eastAsia="仿宋_GB2312"/>
                <w:sz w:val="32"/>
                <w:szCs w:val="32"/>
              </w:rPr>
              <w:t>3</w:t>
            </w:r>
            <w:r>
              <w:rPr>
                <w:rFonts w:hint="eastAsia" w:ascii="仿宋_GB2312" w:eastAsia="仿宋_GB2312"/>
                <w:sz w:val="32"/>
                <w:szCs w:val="32"/>
              </w:rPr>
              <w:t>日</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测试形式 网上笔试或面试</w:t>
            </w:r>
          </w:p>
          <w:p>
            <w:pPr>
              <w:spacing w:before="100" w:beforeAutospacing="1" w:after="100" w:afterAutospacing="1"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测试内容及成绩占比</w:t>
            </w:r>
          </w:p>
          <w:p>
            <w:pPr>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单独招生测试分两部分，一是文化素质，内容包括语文、数学、外语（原则上语种为英语，如涉及其他语种另行安排），在总成绩中的占比为7</w:t>
            </w:r>
            <w:r>
              <w:rPr>
                <w:rFonts w:ascii="仿宋_GB2312" w:eastAsia="仿宋_GB2312"/>
                <w:sz w:val="32"/>
                <w:szCs w:val="32"/>
              </w:rPr>
              <w:t>0</w:t>
            </w:r>
            <w:r>
              <w:rPr>
                <w:rFonts w:hint="eastAsia" w:ascii="仿宋_GB2312" w:eastAsia="仿宋_GB2312"/>
                <w:sz w:val="32"/>
                <w:szCs w:val="32"/>
              </w:rPr>
              <w:t>%；二是专业技能测试，内容包括计算机应用基础、职业适应性内容（结合我校专业布局特点及招生专业特点确定考试内容），在总成绩中的占比为3</w:t>
            </w:r>
            <w:r>
              <w:rPr>
                <w:rFonts w:ascii="仿宋_GB2312" w:eastAsia="仿宋_GB2312"/>
                <w:sz w:val="32"/>
                <w:szCs w:val="32"/>
              </w:rPr>
              <w:t>0</w:t>
            </w:r>
            <w:r>
              <w:rPr>
                <w:rFonts w:hint="eastAsia" w:ascii="仿宋_GB2312" w:eastAsia="仿宋_GB2312"/>
                <w:sz w:val="32"/>
                <w:szCs w:val="32"/>
              </w:rPr>
              <w:t>%。</w:t>
            </w:r>
          </w:p>
          <w:p>
            <w:pPr>
              <w:widowControl w:val="0"/>
              <w:spacing w:line="560" w:lineRule="exact"/>
              <w:ind w:firstLine="640" w:firstLineChars="200"/>
              <w:jc w:val="both"/>
              <w:rPr>
                <w:rFonts w:ascii="仿宋_GB2312" w:hAnsi="黑体" w:eastAsia="仿宋_GB2312"/>
                <w:sz w:val="32"/>
                <w:szCs w:val="32"/>
              </w:rPr>
            </w:pPr>
            <w:r>
              <w:rPr>
                <w:rFonts w:hint="eastAsia" w:ascii="仿宋_GB2312" w:eastAsia="仿宋_GB2312"/>
                <w:sz w:val="32"/>
                <w:szCs w:val="32"/>
              </w:rPr>
              <w:t>综合评价招生测试分两部分，一是综合素质评价，</w:t>
            </w:r>
            <w:r>
              <w:rPr>
                <w:rFonts w:hint="eastAsia" w:ascii="仿宋_GB2312" w:hAnsi="黑体" w:eastAsia="仿宋_GB2312"/>
                <w:sz w:val="32"/>
                <w:szCs w:val="32"/>
              </w:rPr>
              <w:t>根据省教育厅的要求，对考生的高中综合素质档案材料进行研究分析，采取集体评议等方式对考生综合素质做出客观评价，赋予分值，折算到考试总成绩中，在总成绩中的占比为40%；二是职业适应性测试，重点考核考生的综合能力和职业潜质等。考核内容包括：1</w:t>
            </w:r>
            <w:r>
              <w:rPr>
                <w:rFonts w:ascii="仿宋_GB2312" w:hAnsi="黑体" w:eastAsia="仿宋_GB2312"/>
                <w:sz w:val="32"/>
                <w:szCs w:val="32"/>
              </w:rPr>
              <w:t>.</w:t>
            </w:r>
            <w:r>
              <w:rPr>
                <w:rFonts w:hint="eastAsia" w:ascii="仿宋_GB2312" w:hAnsi="黑体" w:eastAsia="仿宋_GB2312"/>
                <w:sz w:val="32"/>
                <w:szCs w:val="32"/>
              </w:rPr>
              <w:t>思想政治、道德品质、沟通技巧、团队协作、社交礼仪等方面的内容；2</w:t>
            </w:r>
            <w:r>
              <w:rPr>
                <w:rFonts w:ascii="仿宋_GB2312" w:hAnsi="黑体" w:eastAsia="仿宋_GB2312"/>
                <w:sz w:val="32"/>
                <w:szCs w:val="32"/>
              </w:rPr>
              <w:t>.</w:t>
            </w:r>
            <w:r>
              <w:rPr>
                <w:rFonts w:hint="eastAsia" w:ascii="仿宋_GB2312" w:hAnsi="黑体" w:eastAsia="仿宋_GB2312"/>
                <w:sz w:val="32"/>
                <w:szCs w:val="32"/>
              </w:rPr>
              <w:t>信息技术</w:t>
            </w:r>
            <w:r>
              <w:rPr>
                <w:rFonts w:hint="eastAsia" w:ascii="仿宋_GB2312" w:eastAsia="仿宋_GB2312"/>
                <w:sz w:val="32"/>
                <w:szCs w:val="32"/>
              </w:rPr>
              <w:t>应用、职业价值观、对专业的认知、专业能力等内容，在总成绩中的占比为6</w:t>
            </w:r>
            <w:r>
              <w:rPr>
                <w:rFonts w:ascii="仿宋_GB2312" w:eastAsia="仿宋_GB2312"/>
                <w:sz w:val="32"/>
                <w:szCs w:val="32"/>
              </w:rPr>
              <w:t>0</w:t>
            </w:r>
            <w:r>
              <w:rPr>
                <w:rFonts w:hint="eastAsia" w:ascii="仿宋_GB2312" w:eastAsia="仿宋_GB2312"/>
                <w:sz w:val="32"/>
                <w:szCs w:val="32"/>
              </w:rPr>
              <w:t>%。</w:t>
            </w:r>
          </w:p>
          <w:p>
            <w:pPr>
              <w:widowControl w:val="0"/>
              <w:spacing w:line="560" w:lineRule="exact"/>
              <w:jc w:val="both"/>
              <w:rPr>
                <w:rFonts w:ascii="仿宋_GB2312" w:eastAsia="仿宋_GB2312"/>
                <w:sz w:val="32"/>
                <w:szCs w:val="32"/>
              </w:rPr>
            </w:pP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 xml:space="preserve">第十六条 录取规则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color w:val="000000"/>
                <w:sz w:val="32"/>
                <w:szCs w:val="32"/>
              </w:rPr>
              <w:t>1.根据教育部和山东省教育厅的要求，实行由学校负责的体制，遵循“公平竞争、公正选拔、公开程序、择优录取”的原则。</w:t>
            </w:r>
            <w:r>
              <w:rPr>
                <w:rFonts w:hint="eastAsia" w:ascii="仿宋_GB2312" w:eastAsia="仿宋_GB2312"/>
                <w:sz w:val="32"/>
                <w:szCs w:val="32"/>
              </w:rPr>
              <w:t> </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sz w:val="32"/>
                <w:szCs w:val="32"/>
              </w:rPr>
              <w:t>2.学校</w:t>
            </w:r>
            <w:r>
              <w:rPr>
                <w:rFonts w:hint="eastAsia" w:ascii="仿宋_GB2312" w:eastAsia="仿宋_GB2312"/>
                <w:color w:val="000000"/>
                <w:sz w:val="32"/>
                <w:szCs w:val="32"/>
              </w:rPr>
              <w:t>划定各专业录取资格线，低于资格线的考生不予录取，各类别各专业根据招生计划，分专业按总成绩从高分到低分顺序录取。</w:t>
            </w:r>
            <w:r>
              <w:rPr>
                <w:rFonts w:hint="eastAsia" w:ascii="仿宋_GB2312" w:eastAsia="仿宋_GB2312"/>
                <w:sz w:val="32"/>
                <w:szCs w:val="32"/>
              </w:rPr>
              <w:t> </w:t>
            </w:r>
          </w:p>
          <w:p>
            <w:pPr>
              <w:spacing w:before="100" w:beforeAutospacing="1" w:after="100" w:afterAutospacing="1" w:line="560" w:lineRule="exact"/>
              <w:ind w:firstLine="640"/>
              <w:rPr>
                <w:rFonts w:ascii="仿宋_GB2312" w:eastAsia="仿宋_GB2312"/>
                <w:color w:val="000000"/>
                <w:sz w:val="32"/>
                <w:szCs w:val="32"/>
              </w:rPr>
            </w:pPr>
            <w:r>
              <w:rPr>
                <w:rFonts w:hint="eastAsia" w:ascii="仿宋_GB2312" w:eastAsia="仿宋_GB2312"/>
                <w:color w:val="000000"/>
                <w:sz w:val="32"/>
                <w:szCs w:val="32"/>
              </w:rPr>
              <w:t>3.我校单独招生和综合评价招生计划在招生类别和专业间灵活调剂使用，优先满足考生志愿。</w:t>
            </w:r>
          </w:p>
          <w:p>
            <w:pPr>
              <w:spacing w:before="100" w:beforeAutospacing="1" w:after="100" w:afterAutospacing="1" w:line="560" w:lineRule="exact"/>
              <w:ind w:firstLine="640"/>
              <w:rPr>
                <w:rFonts w:ascii="仿宋_GB2312" w:eastAsia="仿宋_GB2312"/>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预录取后，学校将预录取名单在学校官网公示3日，公示无异议后上报山东省教育招生考试院。</w:t>
            </w:r>
          </w:p>
          <w:p>
            <w:pPr>
              <w:spacing w:before="100" w:beforeAutospacing="1" w:after="100" w:afterAutospacing="1" w:line="560" w:lineRule="exact"/>
              <w:ind w:firstLine="643"/>
              <w:rPr>
                <w:rFonts w:ascii="仿宋_GB2312" w:eastAsia="仿宋_GB2312"/>
                <w:sz w:val="32"/>
                <w:szCs w:val="32"/>
              </w:rPr>
            </w:pPr>
            <w:r>
              <w:rPr>
                <w:rFonts w:hint="eastAsia" w:ascii="仿宋_GB2312" w:eastAsia="仿宋_GB2312"/>
                <w:sz w:val="32"/>
                <w:szCs w:val="32"/>
              </w:rPr>
              <w:t>第十七条 考生如对测试成绩或录取结果有异议，可向学校纪检监察部门提出复议，学校纪检监察部门联系方式：0</w:t>
            </w:r>
            <w:r>
              <w:rPr>
                <w:rFonts w:ascii="仿宋_GB2312" w:eastAsia="仿宋_GB2312"/>
                <w:sz w:val="32"/>
                <w:szCs w:val="32"/>
              </w:rPr>
              <w:t>633-8109001</w:t>
            </w:r>
            <w:r>
              <w:rPr>
                <w:rFonts w:hint="eastAsia" w:ascii="仿宋_GB2312" w:eastAsia="仿宋_GB2312"/>
                <w:sz w:val="32"/>
                <w:szCs w:val="32"/>
              </w:rPr>
              <w:t>。</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before="120" w:beforeLines="50" w:after="120" w:afterLines="50" w:line="560" w:lineRule="exact"/>
              <w:ind w:firstLine="641"/>
              <w:rPr>
                <w:rFonts w:ascii="仿宋_GB2312" w:eastAsia="仿宋_GB2312"/>
                <w:sz w:val="32"/>
                <w:szCs w:val="32"/>
              </w:rPr>
            </w:pPr>
            <w:r>
              <w:rPr>
                <w:rFonts w:hint="eastAsia" w:ascii="仿宋_GB2312" w:eastAsia="仿宋_GB2312"/>
                <w:sz w:val="32"/>
                <w:szCs w:val="32"/>
              </w:rPr>
              <w:t>第十八条</w:t>
            </w:r>
            <w:r>
              <w:rPr>
                <w:rFonts w:ascii="仿宋_GB2312" w:eastAsia="仿宋_GB2312"/>
                <w:sz w:val="32"/>
                <w:szCs w:val="32"/>
              </w:rPr>
              <w:t xml:space="preserve"> </w:t>
            </w:r>
            <w:r>
              <w:rPr>
                <w:rFonts w:hint="eastAsia" w:ascii="仿宋_GB2312" w:eastAsia="仿宋_GB2312"/>
                <w:sz w:val="32"/>
                <w:szCs w:val="32"/>
              </w:rPr>
              <w:t>通过单独招生和综合评价招生录取的新生入学后，在收费、日常教学管理和毕业文凭等方面与春季、夏季普通高校招生统一考试录取的学生完全一致。</w:t>
            </w:r>
            <w:r>
              <w:rPr>
                <w:rFonts w:hint="eastAsia" w:ascii="仿宋_GB2312" w:eastAsia="仿宋_GB2312"/>
                <w:color w:val="000000"/>
                <w:sz w:val="32"/>
                <w:szCs w:val="32"/>
              </w:rPr>
              <w:t> </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before="120" w:beforeLines="50" w:after="120" w:afterLines="50" w:line="560" w:lineRule="exact"/>
              <w:ind w:firstLine="641"/>
              <w:rPr>
                <w:rFonts w:ascii="仿宋_GB2312" w:eastAsia="仿宋_GB2312"/>
                <w:sz w:val="32"/>
                <w:szCs w:val="32"/>
              </w:rPr>
            </w:pPr>
            <w:r>
              <w:rPr>
                <w:rFonts w:hint="eastAsia" w:ascii="仿宋_GB2312" w:eastAsia="仿宋_GB2312"/>
                <w:sz w:val="32"/>
                <w:szCs w:val="32"/>
              </w:rPr>
              <w:t>第十九条 新生入校后，学校按照相关规定对所有考生进行身体健康状况检查和入学资格复查，如发现伪造材料取得报考资格者、冒名顶替者或体检舞弊及其他舞弊者，按照有关规定予以清退。符合毕业条件的，毕业时颁发毕业证书，证书种类：普通高等教育专科学历证书。证书颁发学校：山东外国语职业技术大学。</w:t>
            </w:r>
          </w:p>
          <w:p>
            <w:pPr>
              <w:spacing w:before="120" w:beforeLines="50" w:after="120" w:afterLines="50" w:line="560" w:lineRule="exact"/>
              <w:ind w:firstLine="641"/>
              <w:rPr>
                <w:rFonts w:hint="eastAsia" w:ascii="仿宋_GB2312" w:eastAsia="仿宋_GB2312"/>
                <w:sz w:val="32"/>
                <w:szCs w:val="32"/>
              </w:rPr>
            </w:pPr>
            <w:r>
              <w:rPr>
                <w:rFonts w:hint="eastAsia" w:ascii="仿宋_GB2312" w:eastAsia="仿宋_GB2312"/>
                <w:sz w:val="32"/>
                <w:szCs w:val="32"/>
              </w:rPr>
              <w:t xml:space="preserve">第二十条 学费和住宿费的收取，执行山东省物价局统一的标准。 </w:t>
            </w:r>
          </w:p>
          <w:p>
            <w:pPr>
              <w:spacing w:before="120" w:beforeLines="50" w:after="120" w:afterLines="50" w:line="560" w:lineRule="exact"/>
              <w:ind w:firstLine="641"/>
              <w:rPr>
                <w:rFonts w:hint="eastAsia" w:ascii="仿宋_GB2312" w:eastAsia="仿宋_GB2312"/>
                <w:sz w:val="32"/>
                <w:szCs w:val="32"/>
              </w:rPr>
            </w:pPr>
            <w:r>
              <w:rPr>
                <w:rFonts w:hint="eastAsia" w:ascii="仿宋_GB2312" w:eastAsia="仿宋_GB2312"/>
                <w:sz w:val="32"/>
                <w:szCs w:val="32"/>
              </w:rPr>
              <w:t>学生退费严格按照</w:t>
            </w:r>
            <w:r>
              <w:rPr>
                <w:rFonts w:hint="eastAsia" w:ascii="仿宋_GB2312" w:eastAsia="仿宋_GB2312"/>
                <w:sz w:val="32"/>
                <w:szCs w:val="32"/>
                <w:lang w:eastAsia="zh-CN"/>
              </w:rPr>
              <w:t>鲁政办字</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98</w:t>
            </w:r>
            <w:r>
              <w:rPr>
                <w:rFonts w:hint="eastAsia" w:ascii="仿宋_GB2312" w:eastAsia="仿宋_GB2312"/>
                <w:sz w:val="32"/>
                <w:szCs w:val="32"/>
              </w:rPr>
              <w:t>号文件的有关规定执行。</w:t>
            </w:r>
          </w:p>
        </w:tc>
      </w:tr>
      <w:tr>
        <w:tblPrEx>
          <w:tblCellMar>
            <w:top w:w="0" w:type="dxa"/>
            <w:left w:w="108" w:type="dxa"/>
            <w:bottom w:w="0" w:type="dxa"/>
            <w:right w:w="108" w:type="dxa"/>
          </w:tblCellMar>
        </w:tblPrEx>
        <w:trPr>
          <w:tblCellSpacing w:w="15" w:type="dxa"/>
          <w:jc w:val="center"/>
        </w:trPr>
        <w:tc>
          <w:tcPr>
            <w:tcW w:w="9990" w:type="dxa"/>
            <w:tcMar>
              <w:top w:w="15" w:type="dxa"/>
              <w:left w:w="15" w:type="dxa"/>
              <w:bottom w:w="15" w:type="dxa"/>
              <w:right w:w="15" w:type="dxa"/>
            </w:tcMar>
          </w:tcPr>
          <w:p>
            <w:pPr>
              <w:spacing w:before="120" w:beforeLines="50" w:after="120" w:afterLines="50" w:line="560" w:lineRule="exact"/>
              <w:ind w:firstLine="641"/>
              <w:rPr>
                <w:rFonts w:ascii="仿宋_GB2312" w:eastAsia="仿宋_GB2312"/>
                <w:sz w:val="32"/>
                <w:szCs w:val="32"/>
              </w:rPr>
            </w:pPr>
            <w:r>
              <w:rPr>
                <w:rFonts w:hint="eastAsia" w:ascii="仿宋_GB2312" w:eastAsia="仿宋_GB2312"/>
                <w:sz w:val="32"/>
                <w:szCs w:val="32"/>
              </w:rPr>
              <w:t xml:space="preserve">第二十一条 学校不委托任何机构和个人办理招生相关事宜。对以山东外国语职业技术大学名义进行非法招生宣传等活动的机构或个人，学校保留依法追究其责任的权利。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第二十二条 本章程规定的内容如果与上级部门有关文件规定不一致，则按上级部门有关文件规定执行。 </w:t>
            </w:r>
          </w:p>
          <w:p>
            <w:pPr>
              <w:spacing w:before="100" w:beforeAutospacing="1" w:after="100" w:afterAutospacing="1"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第二十三条 本章程由山东外国语职业技术大学负责解释。  </w:t>
            </w:r>
          </w:p>
          <w:p>
            <w:pPr>
              <w:spacing w:before="100" w:beforeAutospacing="1" w:after="100" w:afterAutospacing="1" w:line="560" w:lineRule="exact"/>
              <w:jc w:val="center"/>
              <w:rPr>
                <w:rFonts w:hint="eastAsia" w:ascii="仿宋_GB2312" w:eastAsia="仿宋_GB2312"/>
                <w:b/>
                <w:bCs/>
                <w:sz w:val="32"/>
                <w:szCs w:val="32"/>
              </w:rPr>
            </w:pPr>
            <w:bookmarkStart w:id="0" w:name="_GoBack"/>
            <w:r>
              <w:rPr>
                <w:rFonts w:hint="eastAsia" w:ascii="仿宋_GB2312" w:eastAsia="仿宋_GB2312"/>
                <w:b/>
                <w:bCs/>
                <w:sz w:val="32"/>
                <w:szCs w:val="32"/>
              </w:rPr>
              <w:t xml:space="preserve">第七章 联系方式 </w:t>
            </w:r>
          </w:p>
          <w:bookmarkEnd w:id="0"/>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学校地址：山东省日照市山海路99号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邮政编码：276826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联系电话：0633-8109666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联系Q Q：1913365575  1973936931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网  址：http://www.swut.cn </w:t>
            </w:r>
          </w:p>
          <w:p>
            <w:pPr>
              <w:spacing w:before="100" w:beforeAutospacing="1" w:after="100" w:afterAutospacing="1" w:line="560" w:lineRule="exact"/>
              <w:ind w:firstLine="643"/>
              <w:rPr>
                <w:rFonts w:ascii="仿宋_GB2312" w:eastAsia="仿宋_GB2312"/>
                <w:color w:val="000000"/>
                <w:sz w:val="32"/>
                <w:szCs w:val="32"/>
              </w:rPr>
            </w:pPr>
            <w:r>
              <w:rPr>
                <w:rFonts w:hint="eastAsia" w:ascii="仿宋_GB2312" w:eastAsia="仿宋_GB2312"/>
                <w:color w:val="000000"/>
                <w:sz w:val="32"/>
                <w:szCs w:val="32"/>
              </w:rPr>
              <w:t xml:space="preserve">电子信箱：sd13387@126.com </w:t>
            </w:r>
          </w:p>
        </w:tc>
      </w:tr>
    </w:tbl>
    <w:p>
      <w:pPr>
        <w:spacing w:line="560" w:lineRule="exact"/>
        <w:rPr>
          <w:rFonts w:ascii="仿宋_GB2312" w:eastAsia="仿宋_GB2312"/>
          <w:sz w:val="32"/>
          <w:szCs w:val="32"/>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77"/>
    <w:rsid w:val="000208DD"/>
    <w:rsid w:val="0008794F"/>
    <w:rsid w:val="000911B1"/>
    <w:rsid w:val="000B4DE3"/>
    <w:rsid w:val="00104EB1"/>
    <w:rsid w:val="001C71FC"/>
    <w:rsid w:val="002E369C"/>
    <w:rsid w:val="00322421"/>
    <w:rsid w:val="00620EB7"/>
    <w:rsid w:val="0065059D"/>
    <w:rsid w:val="00752EC6"/>
    <w:rsid w:val="007C0577"/>
    <w:rsid w:val="00895874"/>
    <w:rsid w:val="008C35FF"/>
    <w:rsid w:val="008C68F5"/>
    <w:rsid w:val="008F36D5"/>
    <w:rsid w:val="00B551AE"/>
    <w:rsid w:val="00B55671"/>
    <w:rsid w:val="00C84478"/>
    <w:rsid w:val="00CA75FF"/>
    <w:rsid w:val="00CF2A45"/>
    <w:rsid w:val="00D73DDB"/>
    <w:rsid w:val="00E66752"/>
    <w:rsid w:val="00F95DE4"/>
    <w:rsid w:val="01B9424C"/>
    <w:rsid w:val="04524B6B"/>
    <w:rsid w:val="0AD50431"/>
    <w:rsid w:val="1C62322F"/>
    <w:rsid w:val="24266E3D"/>
    <w:rsid w:val="2D836DC9"/>
    <w:rsid w:val="341E0AE0"/>
    <w:rsid w:val="36B05FEE"/>
    <w:rsid w:val="39C809D6"/>
    <w:rsid w:val="4A6B08BC"/>
    <w:rsid w:val="4BDA172E"/>
    <w:rsid w:val="4E280497"/>
    <w:rsid w:val="51B6646A"/>
    <w:rsid w:val="527F02E5"/>
    <w:rsid w:val="5E130846"/>
    <w:rsid w:val="60682CCD"/>
    <w:rsid w:val="637B279C"/>
    <w:rsid w:val="6C6D4000"/>
    <w:rsid w:val="7912151F"/>
    <w:rsid w:val="7B05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semiHidden="0" w:name="table of authorities"/>
    <w:lsdException w:uiPriority="99" w:name="macro"/>
    <w:lsdException w:uiPriority="99" w:name="toa heading"/>
    <w:lsdException w:uiPriority="99" w:semiHidden="0"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6"/>
    <w:qFormat/>
    <w:uiPriority w:val="9"/>
    <w:pPr>
      <w:spacing w:before="100" w:beforeAutospacing="1" w:after="100" w:afterAutospacing="1"/>
      <w:outlineLvl w:val="0"/>
    </w:pPr>
    <w:rPr>
      <w:b/>
      <w:bCs/>
      <w:kern w:val="44"/>
      <w:sz w:val="48"/>
      <w:szCs w:val="48"/>
    </w:rPr>
  </w:style>
  <w:style w:type="paragraph" w:styleId="3">
    <w:name w:val="heading 2"/>
    <w:basedOn w:val="1"/>
    <w:next w:val="1"/>
    <w:link w:val="17"/>
    <w:semiHidden/>
    <w:qFormat/>
    <w:uiPriority w:val="9"/>
    <w:pPr>
      <w:spacing w:before="100" w:beforeAutospacing="1" w:after="100" w:afterAutospacing="1"/>
      <w:outlineLvl w:val="1"/>
    </w:pPr>
    <w:rPr>
      <w:b/>
      <w:bCs/>
      <w:sz w:val="36"/>
      <w:szCs w:val="36"/>
    </w:rPr>
  </w:style>
  <w:style w:type="paragraph" w:styleId="4">
    <w:name w:val="heading 3"/>
    <w:basedOn w:val="1"/>
    <w:next w:val="1"/>
    <w:link w:val="18"/>
    <w:semiHidden/>
    <w:qFormat/>
    <w:uiPriority w:val="9"/>
    <w:pPr>
      <w:spacing w:before="100" w:beforeAutospacing="1" w:after="100" w:afterAutospacing="1"/>
      <w:outlineLvl w:val="2"/>
    </w:pPr>
    <w:rPr>
      <w:b/>
      <w:bCs/>
      <w:sz w:val="27"/>
      <w:szCs w:val="27"/>
    </w:rPr>
  </w:style>
  <w:style w:type="paragraph" w:styleId="5">
    <w:name w:val="heading 4"/>
    <w:basedOn w:val="1"/>
    <w:next w:val="1"/>
    <w:link w:val="19"/>
    <w:semiHidden/>
    <w:qFormat/>
    <w:uiPriority w:val="9"/>
    <w:pPr>
      <w:spacing w:before="100" w:beforeAutospacing="1" w:after="100" w:afterAutospacing="1"/>
      <w:outlineLvl w:val="3"/>
    </w:pPr>
    <w:rPr>
      <w:b/>
      <w:bCs/>
    </w:rPr>
  </w:style>
  <w:style w:type="paragraph" w:styleId="6">
    <w:name w:val="heading 5"/>
    <w:basedOn w:val="1"/>
    <w:next w:val="1"/>
    <w:link w:val="20"/>
    <w:semiHidden/>
    <w:qFormat/>
    <w:uiPriority w:val="9"/>
    <w:pPr>
      <w:spacing w:before="100" w:beforeAutospacing="1" w:after="100" w:afterAutospacing="1"/>
      <w:outlineLvl w:val="4"/>
    </w:pPr>
    <w:rPr>
      <w:b/>
      <w:bCs/>
      <w:sz w:val="20"/>
      <w:szCs w:val="20"/>
    </w:rPr>
  </w:style>
  <w:style w:type="paragraph" w:styleId="7">
    <w:name w:val="heading 6"/>
    <w:basedOn w:val="1"/>
    <w:next w:val="1"/>
    <w:link w:val="21"/>
    <w:semiHidden/>
    <w:qFormat/>
    <w:uiPriority w:val="9"/>
    <w:pPr>
      <w:spacing w:before="100" w:beforeAutospacing="1" w:after="100" w:afterAutospacing="1"/>
      <w:outlineLvl w:val="5"/>
    </w:pPr>
    <w:rPr>
      <w:b/>
      <w:bCs/>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35"/>
    <w:unhideWhenUsed/>
    <w:uiPriority w:val="99"/>
    <w:pPr>
      <w:tabs>
        <w:tab w:val="center" w:pos="4153"/>
        <w:tab w:val="right" w:pos="8306"/>
      </w:tabs>
      <w:snapToGrid w:val="0"/>
    </w:pPr>
    <w:rPr>
      <w:sz w:val="18"/>
      <w:szCs w:val="18"/>
    </w:rPr>
  </w:style>
  <w:style w:type="paragraph" w:styleId="9">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uiPriority w:val="99"/>
    <w:pPr>
      <w:spacing w:before="100" w:beforeAutospacing="1" w:after="100" w:afterAutospacing="1"/>
    </w:pPr>
  </w:style>
  <w:style w:type="character" w:styleId="14">
    <w:name w:val="FollowedHyperlink"/>
    <w:basedOn w:val="13"/>
    <w:semiHidden/>
    <w:unhideWhenUsed/>
    <w:uiPriority w:val="99"/>
    <w:rPr>
      <w:color w:val="800080"/>
      <w:u w:val="single"/>
    </w:rPr>
  </w:style>
  <w:style w:type="character" w:styleId="15">
    <w:name w:val="Hyperlink"/>
    <w:basedOn w:val="13"/>
    <w:unhideWhenUsed/>
    <w:qFormat/>
    <w:uiPriority w:val="99"/>
    <w:rPr>
      <w:color w:val="0000FF"/>
      <w:u w:val="single"/>
    </w:rPr>
  </w:style>
  <w:style w:type="character" w:customStyle="1" w:styleId="16">
    <w:name w:val="标题 1 字符"/>
    <w:basedOn w:val="13"/>
    <w:link w:val="2"/>
    <w:qFormat/>
    <w:uiPriority w:val="9"/>
    <w:rPr>
      <w:rFonts w:ascii="宋体" w:hAnsi="宋体" w:eastAsia="宋体" w:cs="宋体"/>
      <w:b/>
      <w:bCs/>
      <w:kern w:val="44"/>
      <w:sz w:val="44"/>
      <w:szCs w:val="44"/>
    </w:rPr>
  </w:style>
  <w:style w:type="character" w:customStyle="1" w:styleId="17">
    <w:name w:val="标题 2 字符"/>
    <w:basedOn w:val="13"/>
    <w:link w:val="3"/>
    <w:semiHidden/>
    <w:qFormat/>
    <w:uiPriority w:val="9"/>
    <w:rPr>
      <w:rFonts w:asciiTheme="majorHAnsi" w:hAnsiTheme="majorHAnsi" w:eastAsiaTheme="majorEastAsia" w:cstheme="majorBidi"/>
      <w:b/>
      <w:bCs/>
      <w:sz w:val="32"/>
      <w:szCs w:val="32"/>
    </w:rPr>
  </w:style>
  <w:style w:type="character" w:customStyle="1" w:styleId="18">
    <w:name w:val="标题 3 字符"/>
    <w:basedOn w:val="13"/>
    <w:link w:val="4"/>
    <w:semiHidden/>
    <w:qFormat/>
    <w:uiPriority w:val="9"/>
    <w:rPr>
      <w:rFonts w:ascii="宋体" w:hAnsi="宋体" w:eastAsia="宋体" w:cs="宋体"/>
      <w:b/>
      <w:bCs/>
      <w:sz w:val="32"/>
      <w:szCs w:val="32"/>
    </w:rPr>
  </w:style>
  <w:style w:type="character" w:customStyle="1" w:styleId="19">
    <w:name w:val="标题 4 字符"/>
    <w:basedOn w:val="13"/>
    <w:link w:val="5"/>
    <w:semiHidden/>
    <w:qFormat/>
    <w:uiPriority w:val="9"/>
    <w:rPr>
      <w:rFonts w:asciiTheme="majorHAnsi" w:hAnsiTheme="majorHAnsi" w:eastAsiaTheme="majorEastAsia" w:cstheme="majorBidi"/>
      <w:b/>
      <w:bCs/>
      <w:sz w:val="28"/>
      <w:szCs w:val="28"/>
    </w:rPr>
  </w:style>
  <w:style w:type="character" w:customStyle="1" w:styleId="20">
    <w:name w:val="标题 5 字符"/>
    <w:basedOn w:val="13"/>
    <w:link w:val="6"/>
    <w:semiHidden/>
    <w:qFormat/>
    <w:uiPriority w:val="9"/>
    <w:rPr>
      <w:rFonts w:ascii="宋体" w:hAnsi="宋体" w:eastAsia="宋体" w:cs="宋体"/>
      <w:b/>
      <w:bCs/>
      <w:sz w:val="28"/>
      <w:szCs w:val="28"/>
    </w:rPr>
  </w:style>
  <w:style w:type="character" w:customStyle="1" w:styleId="21">
    <w:name w:val="标题 6 字符"/>
    <w:basedOn w:val="13"/>
    <w:link w:val="7"/>
    <w:semiHidden/>
    <w:qFormat/>
    <w:uiPriority w:val="9"/>
    <w:rPr>
      <w:rFonts w:asciiTheme="majorHAnsi" w:hAnsiTheme="majorHAnsi" w:eastAsiaTheme="majorEastAsia" w:cstheme="majorBidi"/>
      <w:b/>
      <w:bCs/>
      <w:sz w:val="24"/>
      <w:szCs w:val="24"/>
    </w:rPr>
  </w:style>
  <w:style w:type="character" w:customStyle="1" w:styleId="22">
    <w:name w:val="HTML 预设格式 字符"/>
    <w:basedOn w:val="13"/>
    <w:link w:val="10"/>
    <w:semiHidden/>
    <w:qFormat/>
    <w:uiPriority w:val="99"/>
    <w:rPr>
      <w:rFonts w:ascii="Courier New" w:hAnsi="Courier New" w:eastAsia="宋体" w:cs="Courier New"/>
    </w:rPr>
  </w:style>
  <w:style w:type="paragraph" w:customStyle="1" w:styleId="23">
    <w:name w:val="msonormal"/>
    <w:basedOn w:val="1"/>
    <w:semiHidden/>
    <w:qFormat/>
    <w:uiPriority w:val="99"/>
    <w:pPr>
      <w:spacing w:before="100" w:beforeAutospacing="1" w:after="100" w:afterAutospacing="1"/>
    </w:pPr>
  </w:style>
  <w:style w:type="character" w:customStyle="1" w:styleId="24">
    <w:name w:val="页眉 字符"/>
    <w:basedOn w:val="13"/>
    <w:semiHidden/>
    <w:qFormat/>
    <w:uiPriority w:val="99"/>
    <w:rPr>
      <w:rFonts w:ascii="宋体" w:hAnsi="宋体" w:eastAsia="宋体" w:cs="宋体"/>
      <w:sz w:val="18"/>
      <w:szCs w:val="18"/>
    </w:rPr>
  </w:style>
  <w:style w:type="character" w:customStyle="1" w:styleId="25">
    <w:name w:val="页脚 字符"/>
    <w:basedOn w:val="13"/>
    <w:semiHidden/>
    <w:uiPriority w:val="99"/>
    <w:rPr>
      <w:rFonts w:ascii="宋体" w:hAnsi="宋体" w:eastAsia="宋体" w:cs="宋体"/>
      <w:sz w:val="18"/>
      <w:szCs w:val="18"/>
    </w:rPr>
  </w:style>
  <w:style w:type="paragraph" w:customStyle="1" w:styleId="26">
    <w:name w:val="p0"/>
    <w:basedOn w:val="1"/>
    <w:semiHidden/>
    <w:uiPriority w:val="99"/>
    <w:pPr>
      <w:spacing w:before="100" w:beforeAutospacing="1" w:after="100" w:afterAutospacing="1"/>
    </w:pPr>
  </w:style>
  <w:style w:type="character" w:customStyle="1" w:styleId="27">
    <w:name w:val="标题 1 Char"/>
    <w:basedOn w:val="13"/>
    <w:uiPriority w:val="9"/>
    <w:rPr>
      <w:rFonts w:hint="eastAsia" w:ascii="宋体" w:hAnsi="宋体" w:eastAsia="宋体" w:cs="宋体"/>
      <w:b/>
      <w:bCs/>
      <w:kern w:val="44"/>
      <w:sz w:val="44"/>
      <w:szCs w:val="44"/>
    </w:rPr>
  </w:style>
  <w:style w:type="character" w:customStyle="1" w:styleId="28">
    <w:name w:val="标题 2 Char"/>
    <w:basedOn w:val="13"/>
    <w:uiPriority w:val="9"/>
    <w:rPr>
      <w:rFonts w:hint="default" w:asciiTheme="majorHAnsi" w:hAnsiTheme="majorHAnsi" w:eastAsiaTheme="majorEastAsia" w:cstheme="majorBidi"/>
      <w:b/>
      <w:bCs/>
      <w:sz w:val="32"/>
      <w:szCs w:val="32"/>
    </w:rPr>
  </w:style>
  <w:style w:type="character" w:customStyle="1" w:styleId="29">
    <w:name w:val="标题 3 Char"/>
    <w:basedOn w:val="13"/>
    <w:uiPriority w:val="9"/>
    <w:rPr>
      <w:rFonts w:hint="eastAsia" w:ascii="宋体" w:hAnsi="宋体" w:eastAsia="宋体" w:cs="宋体"/>
      <w:b/>
      <w:bCs/>
      <w:sz w:val="32"/>
      <w:szCs w:val="32"/>
    </w:rPr>
  </w:style>
  <w:style w:type="character" w:customStyle="1" w:styleId="30">
    <w:name w:val="标题 4 Char"/>
    <w:basedOn w:val="13"/>
    <w:uiPriority w:val="9"/>
    <w:rPr>
      <w:rFonts w:hint="default" w:asciiTheme="majorHAnsi" w:hAnsiTheme="majorHAnsi" w:eastAsiaTheme="majorEastAsia" w:cstheme="majorBidi"/>
      <w:b/>
      <w:bCs/>
      <w:sz w:val="28"/>
      <w:szCs w:val="28"/>
    </w:rPr>
  </w:style>
  <w:style w:type="character" w:customStyle="1" w:styleId="31">
    <w:name w:val="标题 5 Char"/>
    <w:basedOn w:val="13"/>
    <w:uiPriority w:val="9"/>
    <w:rPr>
      <w:rFonts w:hint="eastAsia" w:ascii="宋体" w:hAnsi="宋体" w:eastAsia="宋体" w:cs="宋体"/>
      <w:b/>
      <w:bCs/>
      <w:sz w:val="28"/>
      <w:szCs w:val="28"/>
    </w:rPr>
  </w:style>
  <w:style w:type="character" w:customStyle="1" w:styleId="32">
    <w:name w:val="标题 6 Char"/>
    <w:basedOn w:val="13"/>
    <w:qFormat/>
    <w:uiPriority w:val="9"/>
    <w:rPr>
      <w:rFonts w:hint="default" w:asciiTheme="majorHAnsi" w:hAnsiTheme="majorHAnsi" w:eastAsiaTheme="majorEastAsia" w:cstheme="majorBidi"/>
      <w:b/>
      <w:bCs/>
      <w:sz w:val="24"/>
      <w:szCs w:val="24"/>
    </w:rPr>
  </w:style>
  <w:style w:type="character" w:customStyle="1" w:styleId="33">
    <w:name w:val="HTML 预设格式 Char"/>
    <w:basedOn w:val="13"/>
    <w:qFormat/>
    <w:uiPriority w:val="99"/>
    <w:rPr>
      <w:rFonts w:hint="default" w:ascii="Courier New" w:hAnsi="Courier New" w:eastAsia="宋体" w:cs="Courier New"/>
    </w:rPr>
  </w:style>
  <w:style w:type="character" w:customStyle="1" w:styleId="34">
    <w:name w:val="页眉 字符1"/>
    <w:basedOn w:val="13"/>
    <w:link w:val="9"/>
    <w:qFormat/>
    <w:locked/>
    <w:uiPriority w:val="99"/>
    <w:rPr>
      <w:rFonts w:hint="eastAsia" w:ascii="宋体" w:hAnsi="宋体" w:eastAsia="宋体" w:cs="宋体"/>
      <w:sz w:val="18"/>
      <w:szCs w:val="18"/>
    </w:rPr>
  </w:style>
  <w:style w:type="character" w:customStyle="1" w:styleId="35">
    <w:name w:val="页脚 字符1"/>
    <w:basedOn w:val="13"/>
    <w:link w:val="8"/>
    <w:locked/>
    <w:uiPriority w:val="99"/>
    <w:rPr>
      <w:rFonts w:hint="eastAsia" w:ascii="宋体" w:hAnsi="宋体" w:eastAsia="宋体" w:cs="宋体"/>
      <w:sz w:val="18"/>
      <w:szCs w:val="18"/>
    </w:rPr>
  </w:style>
  <w:style w:type="character" w:customStyle="1" w:styleId="36">
    <w:name w:val="10"/>
    <w:basedOn w:val="13"/>
    <w:uiPriority w:val="0"/>
    <w:rPr>
      <w:rFonts w:hint="default" w:ascii="Times New Roman" w:hAnsi="Times New Roman" w:cs="Times New Roman"/>
    </w:rPr>
  </w:style>
  <w:style w:type="character" w:customStyle="1" w:styleId="37">
    <w:name w:val="15"/>
    <w:basedOn w:val="13"/>
    <w:qFormat/>
    <w:uiPriority w:val="0"/>
    <w:rPr>
      <w:rFonts w:hint="default" w:ascii="Times New Roman" w:hAnsi="Times New Roman" w:cs="Times New Roman"/>
      <w:color w:val="0000FF"/>
      <w:u w:val="single"/>
    </w:rPr>
  </w:style>
  <w:style w:type="character" w:customStyle="1" w:styleId="38">
    <w:name w:val="16"/>
    <w:basedOn w:val="13"/>
    <w:qFormat/>
    <w:uiPriority w:val="0"/>
    <w:rPr>
      <w:rFonts w:hint="default" w:ascii="Times New Roman" w:hAnsi="Times New Roman" w:cs="Times New Roman"/>
      <w:color w:val="800080"/>
      <w:u w:val="single"/>
    </w:rPr>
  </w:style>
  <w:style w:type="character" w:customStyle="1" w:styleId="39">
    <w:name w:val="17"/>
    <w:basedOn w:val="13"/>
    <w:qFormat/>
    <w:uiPriority w:val="0"/>
    <w:rPr>
      <w:rFonts w:hint="default" w:ascii="Times New Roman" w:hAnsi="Times New Roman" w:cs="Times New Roman"/>
    </w:rPr>
  </w:style>
  <w:style w:type="paragraph" w:customStyle="1" w:styleId="4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1">
    <w:name w:val="Unresolved Mention"/>
    <w:basedOn w:val="13"/>
    <w:semiHidden/>
    <w:unhideWhenUsed/>
    <w:qFormat/>
    <w:uiPriority w:val="99"/>
    <w:rPr>
      <w:color w:val="605E5C"/>
      <w:shd w:val="clear" w:color="auto" w:fill="E1DFDD"/>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307;&#21150;&#24037;&#20316;\2020&#24180;&#25307;&#29983;\&#25307;&#29983;&#31456;&#31243;\&#21333;&#25307;&#31456;&#31243;\&#23665;&#19996;&#22806;&#22269;&#35821;&#32844;&#19994;&#25216;&#26415;&#22823;&#23398;2020&#24180;&#39640;&#32844;&#65288;&#19987;&#31185;&#65289;&#21333;&#29420;&#25307;&#29983;&#31456;&#31243;202005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山东外国语职业技术大学2020年高职（专科）单独招生章程20200501.dotx</Template>
  <Pages>10</Pages>
  <Words>782</Words>
  <Characters>4462</Characters>
  <Lines>37</Lines>
  <Paragraphs>10</Paragraphs>
  <TotalTime>1</TotalTime>
  <ScaleCrop>false</ScaleCrop>
  <LinksUpToDate>false</LinksUpToDate>
  <CharactersWithSpaces>5234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2020-05-05T02:22:00Z</dcterms:created>
  <dc:creator>张冰</dc:creator>
  <cp:lastModifiedBy>Administrator</cp:lastModifiedBy>
  <dcterms:modified xsi:type="dcterms:W3CDTF">2020-05-12T09:26:32Z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