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adjustRightInd w:val="0"/>
        <w:snapToGrid w:val="0"/>
        <w:spacing w:line="580" w:lineRule="exac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ascii="黑体" w:hAnsi="黑体" w:eastAsia="黑体" w:cs="黑体"/>
          <w:kern w:val="2"/>
          <w:sz w:val="32"/>
          <w:szCs w:val="32"/>
        </w:rPr>
        <w:t>1</w:t>
      </w:r>
    </w:p>
    <w:p>
      <w:pPr>
        <w:widowControl/>
        <w:autoSpaceDE/>
        <w:autoSpaceDN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山东省第十届高校青年教师教学比赛</w:t>
      </w:r>
    </w:p>
    <w:p>
      <w:pPr>
        <w:widowControl/>
        <w:autoSpaceDE/>
        <w:autoSpaceDN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名额分配表</w:t>
      </w:r>
    </w:p>
    <w:tbl>
      <w:tblPr>
        <w:tblStyle w:val="2"/>
        <w:tblW w:w="87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118"/>
        <w:gridCol w:w="1205"/>
        <w:gridCol w:w="1205"/>
        <w:gridCol w:w="1205"/>
        <w:gridCol w:w="12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24"/>
                <w:szCs w:val="24"/>
              </w:rPr>
              <w:t>序号</w:t>
            </w:r>
          </w:p>
        </w:tc>
        <w:tc>
          <w:tcPr>
            <w:tcW w:w="3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24"/>
                <w:szCs w:val="24"/>
              </w:rPr>
              <w:t>单位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240" w:lineRule="auto"/>
              <w:jc w:val="both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2"/>
                <w:sz w:val="24"/>
                <w:szCs w:val="24"/>
              </w:rPr>
              <w:t>推荐名额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eastAsia="zh-CN"/>
              </w:rPr>
              <w:t>抽取名额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2"/>
                <w:sz w:val="24"/>
                <w:szCs w:val="24"/>
              </w:rPr>
              <w:t>参赛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2"/>
                <w:sz w:val="24"/>
                <w:szCs w:val="24"/>
              </w:rPr>
              <w:t>总名额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jc w:val="center"/>
              <w:rPr>
                <w:rFonts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240" w:lineRule="auto"/>
              <w:jc w:val="center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24"/>
                <w:szCs w:val="24"/>
              </w:rPr>
              <w:t>备选专任教师数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24"/>
                <w:szCs w:val="24"/>
              </w:rPr>
              <w:t>抽取名额</w:t>
            </w:r>
          </w:p>
        </w:tc>
        <w:tc>
          <w:tcPr>
            <w:tcW w:w="12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中国海洋大学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山东科技大学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中国石油大学（华东）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青岛科技大学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济南大学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青岛理工大学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山东建筑大学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齐鲁工业大学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山东理工大学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山东农业大学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青岛农业大学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潍坊医学院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山东第一医科大学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滨州医学院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山东中医药大学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山东医学高等专科学校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济宁医学院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菏泽医学专科学校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山东师范大学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曲阜师范大学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聊城大学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德州学院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滨州学院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鲁东大学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临沂大学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泰山学院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济宁学院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菏泽学院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山东财经大学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山东体育学院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山东艺术学院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齐鲁医药学院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山东商业职业技术学院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青岛滨海学院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枣庄学院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山东工艺美术学院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烟台大学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潍坊学院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山东警察学院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山东交通学院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山东工商学院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山东电力高等专科学校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日照职业技术学院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曲阜远东职业技术学院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威海职业学院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山东劳动职业技术学院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莱芜职业技术学院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山东女子学院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烟台南山学院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济宁职业技术学院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潍坊职业学院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烟台职业学院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东营职业学院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聊城职业技术学院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滨州职业学院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山东科技职业学院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山东服装职业学院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德州科技职业学院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潍坊科技学院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山东力明科技职业学院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山东圣翰财贸职业学院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山东水利职业学院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山东畜牧兽医职业学院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山东英才学院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东营科技职业学院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山东交通职业学院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淄博职业学院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山东外贸职业学院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青岛酒店管理职业技术学院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山东信息职业技术学院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青岛港湾职业技术学院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青岛恒星科技学院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山东胜利职业学院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山东经贸职业学院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山东工业职业学院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山东化工职业学院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青岛黄海学院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青岛求实职业技术学院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山东现代学院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济南职业学院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山东协和学院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烟台工程职业技术学院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山东工程职业技术大学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烟台理工学院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聊城大学东昌学院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青岛城市学院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潍坊理工学院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山东财经大学燕山学院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山东石油化工学院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山东外国语职业技术大学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潍坊工商职业学院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德州职业技术学院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枣庄科技职业学院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泰山科技学院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淄博师范高等专科学校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山东中医药高等专科学校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济南工程职业技术学院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山东电子职业技术学院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山东华宇工学院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104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山东旅游职业学院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105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山东铝业职业学院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106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泰山职业技术学院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107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山东外事职业大学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108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山东药品食品职业学院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109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青岛工学院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青岛农业大学海都学院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111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齐鲁理工学院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山东财经大学东方学院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113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烟台科技学院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山东商务职业学院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山东轻工职业学院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山东城市建设职业学院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117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烟台汽车工程职业学院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118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山东司法警官职业学院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119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山东政法学院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菏泽家政职业学院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山东传媒职业学院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临沂职业学院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枣庄职业学院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山东理工职业学院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山东文化产业职业学院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齐鲁师范学院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山东青年政治学院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青岛远洋船员职业学院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129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青岛电影学院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130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济南幼儿师范高等专科学校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131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济南护理职业学院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132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泰山护理职业学院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山东海事职业学院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潍坊护理职业学院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135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潍坊工程职业学院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136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山东管理学院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137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山东农业工程学院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138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菏泽职业学院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139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山东艺术设计职业学院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威海海洋职业学院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141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山东特殊教育职业学院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142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烟台黄金职业学院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143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日照航海工程职业学院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144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青岛工程职业学院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145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青岛幼儿师范高等专科学校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146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烟台幼儿师范高等专科学校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 xml:space="preserve">1 </w:t>
            </w:r>
            <w:r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147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烟台文化旅游职业学院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148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临沂科技职业学院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149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青岛航空科技职业学院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150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潍坊环境工程职业学院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151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滨州科技职业学院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汇总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320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885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295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</w:rPr>
              <w:t>615</w:t>
            </w:r>
          </w:p>
        </w:tc>
      </w:tr>
    </w:tbl>
    <w:p>
      <w:pPr>
        <w:widowControl/>
        <w:autoSpaceDE/>
        <w:autoSpaceDN/>
        <w:spacing w:line="440" w:lineRule="exact"/>
        <w:ind w:firstLine="560" w:firstLineChars="200"/>
        <w:jc w:val="both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备注：1.按学校标识码排序。2.推荐名额。以山东省2021年度教育事业统计各高校39岁以下专任教师数为基数，每220名分配1个名额，四舍五入后取整数，不足1的按1计算。上届比赛中高校推荐名额不足的，本届比赛核减其相应数量的推荐名额，核减后不足1的，按1计算。3.抽取名额。各高校根据本校推荐名额的3倍比例推荐备选专任教师，由</w:t>
      </w:r>
      <w:r>
        <w:rPr>
          <w:rFonts w:hint="eastAsia" w:ascii="楷体_GB2312" w:eastAsia="楷体_GB2312"/>
          <w:sz w:val="28"/>
          <w:szCs w:val="28"/>
          <w:lang w:eastAsia="zh-CN"/>
        </w:rPr>
        <w:t>组委会</w:t>
      </w:r>
      <w:r>
        <w:rPr>
          <w:rFonts w:hint="eastAsia" w:ascii="楷体_GB2312" w:eastAsia="楷体_GB2312"/>
          <w:sz w:val="28"/>
          <w:szCs w:val="28"/>
        </w:rPr>
        <w:t>从备选专任教师中随机抽取与推荐名额相等数量的选手参赛。备选专任教师数推荐不足的高校，取消其抽取名额。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11671"/>
    <w:rsid w:val="3BE1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2022-12-01T07:18:00Z</dcterms:created>
  <dc:creator>z</dc:creator>
  <cp:lastModifiedBy>z</cp:lastModifiedBy>
  <dcterms:modified xsi:type="dcterms:W3CDTF">2022-12-01T07:19:16Z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