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特色创新定量指标评分办法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4" w:type="dxa"/>
          <w:left w:w="108" w:type="dxa"/>
          <w:bottom w:w="34" w:type="dxa"/>
          <w:right w:w="108" w:type="dxa"/>
        </w:tblCellMar>
      </w:tblPr>
      <w:tblGrid>
        <w:gridCol w:w="808"/>
        <w:gridCol w:w="1131"/>
        <w:gridCol w:w="677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  <w:tblHeader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序号</w:t>
            </w:r>
          </w:p>
        </w:tc>
        <w:tc>
          <w:tcPr>
            <w:tcW w:w="27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标志性成果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b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/>
                <w:szCs w:val="21"/>
              </w:rPr>
              <w:t>计分办法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1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综合类</w:t>
            </w: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获得市级及以上职业教育先进单位等综合荣誉。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1分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省级每个2分，国家级每个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立项建设市级及以上产教融合实训基地、公共实训基地、虚拟仿真实训基地。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1分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省级每个2分，国家级每个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牵头或参与行指委、教指委、专指委。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牵头每个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1分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省级参与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1分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、牵头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每个2分，国家级参与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3分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、牵头每个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牵头职教集团（联盟）。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市级每个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分，省级每个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分，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国家级每个3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2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教师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教学类</w:t>
            </w: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获得教学成果奖、教材建设奖（第一完成单位）。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市级特等、一等、二等每项分别计3、2、1分，省级2倍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权重，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国家级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倍权重。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教师在政府部门组织举办的各类教育教学能力大赛、班主任比赛获奖。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市级一、二、三等奖每项分别计2、1、0.5分，省级2倍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权重，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国家级3倍权重。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1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牵头或参与开发国家级、牵头开发省级专业教学标准（教学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指导方案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）、公共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基础课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课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程标准、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专业（类）实习标准、专业实训教学条件建设标准、“职教高考”题库。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省级牵头每项2分，国家级牵头每项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分、参与每项2分。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8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2</w:t>
            </w:r>
          </w:p>
        </w:tc>
        <w:tc>
          <w:tcPr>
            <w:tcW w:w="39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教师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教学类</w:t>
            </w: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牵头开发国家及省职业教育规划教材。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省级每门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0.5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分，国家级每门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立项建设国家及省级精品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资源共享课、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在线精品课程。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省级每门1分，国家级每门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承担山东省职业教育教学改革研究项目（仅包含一般、重点项目立项，且为第一主持单位）。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一般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项目每个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0.5分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，重点项目每个1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8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ascii="仿宋_GB2312" w:hAnsi="宋体" w:eastAsia="仿宋_GB2312" w:cs="宋体"/>
                <w:bCs/>
                <w:szCs w:val="21"/>
              </w:rPr>
              <w:t>3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竞赛类</w:t>
            </w: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承办全国、全省、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全市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职业院校技能大赛、教学能力大赛、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班主任比赛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市级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每项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1分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省级每项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分、国家级每项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学生在世界技能大赛、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金砖国家技能大赛和世界职业院校技能大赛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中获奖。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世界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技能大赛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金、银、铜、优胜奖分别计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5、3、2、1分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，世界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职业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院校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技能大赛、金砖国家技能大赛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金、银、铜、优胜奖分别计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、2、1、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0.5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学生在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中国、山东省职业技能大赛中获奖。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省级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一类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比赛一二三等奖分别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计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2、1、0.5分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，国家级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2倍</w:t>
            </w:r>
            <w:r>
              <w:rPr>
                <w:rFonts w:ascii="仿宋_GB2312" w:hAnsi="宋体" w:eastAsia="仿宋_GB2312" w:cs="宋体"/>
                <w:bCs/>
                <w:szCs w:val="21"/>
              </w:rPr>
              <w:t>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ascii="仿宋_GB2312" w:hAnsi="宋体" w:eastAsia="仿宋_GB2312" w:cs="宋体"/>
                <w:bCs/>
                <w:szCs w:val="21"/>
              </w:rPr>
              <w:t>4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其他</w:t>
            </w:r>
          </w:p>
        </w:tc>
        <w:tc>
          <w:tcPr>
            <w:tcW w:w="2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其他市级及以上项目、荣誉。</w:t>
            </w:r>
          </w:p>
        </w:tc>
        <w:tc>
          <w:tcPr>
            <w:tcW w:w="1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专家认定赋分，最高不超过4分。</w:t>
            </w:r>
          </w:p>
        </w:tc>
      </w:tr>
    </w:tbl>
    <w:p>
      <w:pPr>
        <w:widowControl/>
        <w:jc w:val="lef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备注：以上只填报当年获得的项目或荣誉。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AF25"/>
    <w:rsid w:val="BFBF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2022-12-28T15:37:00Z</dcterms:created>
  <dc:creator>blue</dc:creator>
  <cp:lastModifiedBy>blue</cp:lastModifiedBy>
  <dcterms:modified xsi:type="dcterms:W3CDTF">2022-12-28T15:41:37Z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7372E5039F22C18C50F2AB6375AD8BD8</vt:lpwstr>
  </property>
</Properties>
</file>