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56"/>
        <w:tblW w:w="8828" w:type="dxa"/>
        <w:tblCellSpacing w:w="15" w:type="dxa"/>
        <w:tblLayout w:type="fixed"/>
        <w:tblLook w:val="04A0" w:firstRow="1" w:lastRow="0" w:firstColumn="1" w:lastColumn="0" w:noHBand="0" w:noVBand="1"/>
      </w:tblPr>
      <w:tblGrid>
        <w:gridCol w:w="8828"/>
      </w:tblGrid>
      <w:tr w:rsidR="00810965">
        <w:trPr>
          <w:tblCellSpacing w:w="15" w:type="dxa"/>
        </w:trPr>
        <w:tc>
          <w:tcPr>
            <w:tcW w:w="8768" w:type="dxa"/>
            <w:tcMar>
              <w:top w:w="15" w:type="dxa"/>
              <w:left w:w="15" w:type="dxa"/>
              <w:bottom w:w="15" w:type="dxa"/>
              <w:right w:w="15" w:type="dxa"/>
            </w:tcMar>
          </w:tcPr>
          <w:p w:rsidR="00810965" w:rsidRPr="003245AC" w:rsidRDefault="00C06F99">
            <w:pPr>
              <w:widowControl w:val="0"/>
              <w:spacing w:line="600" w:lineRule="exact"/>
              <w:ind w:leftChars="130" w:left="312" w:firstLineChars="200" w:firstLine="640"/>
              <w:jc w:val="center"/>
              <w:rPr>
                <w:rFonts w:cs="Times New Roman"/>
                <w:kern w:val="2"/>
                <w:sz w:val="32"/>
                <w:szCs w:val="32"/>
              </w:rPr>
            </w:pPr>
            <w:bookmarkStart w:id="0" w:name="_GoBack"/>
            <w:bookmarkEnd w:id="0"/>
            <w:r w:rsidRPr="003245AC">
              <w:rPr>
                <w:rFonts w:cs="Times New Roman" w:hint="eastAsia"/>
                <w:kern w:val="2"/>
                <w:sz w:val="32"/>
                <w:szCs w:val="32"/>
              </w:rPr>
              <w:t>潍坊环境工程职业学院</w:t>
            </w:r>
          </w:p>
          <w:p w:rsidR="00810965" w:rsidRPr="003245AC" w:rsidRDefault="00C06F99">
            <w:pPr>
              <w:widowControl w:val="0"/>
              <w:spacing w:line="600" w:lineRule="exact"/>
              <w:ind w:leftChars="130" w:left="312" w:firstLineChars="200" w:firstLine="640"/>
              <w:jc w:val="center"/>
              <w:rPr>
                <w:rFonts w:cs="Times New Roman"/>
                <w:kern w:val="2"/>
                <w:sz w:val="32"/>
                <w:szCs w:val="32"/>
              </w:rPr>
            </w:pPr>
            <w:r w:rsidRPr="003245AC">
              <w:rPr>
                <w:rFonts w:cs="Times New Roman"/>
                <w:kern w:val="2"/>
                <w:sz w:val="32"/>
                <w:szCs w:val="32"/>
              </w:rPr>
              <w:t>20</w:t>
            </w:r>
            <w:r w:rsidRPr="003245AC">
              <w:rPr>
                <w:rFonts w:cs="Times New Roman" w:hint="eastAsia"/>
                <w:kern w:val="2"/>
                <w:sz w:val="32"/>
                <w:szCs w:val="32"/>
              </w:rPr>
              <w:t>20年</w:t>
            </w:r>
            <w:r w:rsidR="00DD3EC8" w:rsidRPr="003245AC">
              <w:rPr>
                <w:rFonts w:cs="Times New Roman" w:hint="eastAsia"/>
                <w:kern w:val="2"/>
                <w:sz w:val="32"/>
                <w:szCs w:val="32"/>
              </w:rPr>
              <w:t>高职</w:t>
            </w:r>
            <w:r w:rsidR="00DD3EC8" w:rsidRPr="003245AC">
              <w:rPr>
                <w:rFonts w:cs="Times New Roman"/>
                <w:kern w:val="2"/>
                <w:sz w:val="32"/>
                <w:szCs w:val="32"/>
              </w:rPr>
              <w:t>（</w:t>
            </w:r>
            <w:r w:rsidR="00DD3EC8" w:rsidRPr="003245AC">
              <w:rPr>
                <w:rFonts w:cs="Times New Roman" w:hint="eastAsia"/>
                <w:kern w:val="2"/>
                <w:sz w:val="32"/>
                <w:szCs w:val="32"/>
              </w:rPr>
              <w:t>专科</w:t>
            </w:r>
            <w:r w:rsidR="00DD3EC8" w:rsidRPr="003245AC">
              <w:rPr>
                <w:rFonts w:cs="Times New Roman"/>
                <w:kern w:val="2"/>
                <w:sz w:val="32"/>
                <w:szCs w:val="32"/>
              </w:rPr>
              <w:t>）</w:t>
            </w:r>
            <w:r w:rsidRPr="003245AC">
              <w:rPr>
                <w:rFonts w:cs="Times New Roman" w:hint="eastAsia"/>
                <w:kern w:val="2"/>
                <w:sz w:val="32"/>
                <w:szCs w:val="32"/>
              </w:rPr>
              <w:t>单独招生和综合评价招生章程</w:t>
            </w:r>
          </w:p>
          <w:p w:rsidR="00810965" w:rsidRDefault="00810965">
            <w:pPr>
              <w:widowControl w:val="0"/>
              <w:spacing w:line="600" w:lineRule="exact"/>
              <w:ind w:leftChars="130" w:left="312" w:firstLineChars="200" w:firstLine="640"/>
              <w:jc w:val="both"/>
              <w:rPr>
                <w:rFonts w:ascii="仿宋_GB2312" w:eastAsia="仿宋_GB2312" w:hAnsi="Calibri" w:cs="Times New Roman"/>
                <w:kern w:val="2"/>
                <w:sz w:val="32"/>
                <w:szCs w:val="32"/>
              </w:rPr>
            </w:pPr>
          </w:p>
          <w:p w:rsidR="00810965" w:rsidRDefault="00C06F99" w:rsidP="00505FA9">
            <w:pPr>
              <w:widowControl w:val="0"/>
              <w:spacing w:line="600" w:lineRule="exact"/>
              <w:ind w:leftChars="130" w:left="312"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t>第一章</w:t>
            </w:r>
            <w:r>
              <w:rPr>
                <w:rFonts w:ascii="黑体" w:eastAsia="黑体" w:hAnsi="Calibri" w:cs="Times New Roman"/>
                <w:kern w:val="2"/>
                <w:sz w:val="32"/>
                <w:szCs w:val="32"/>
              </w:rPr>
              <w:t xml:space="preserve">  </w:t>
            </w:r>
            <w:r>
              <w:rPr>
                <w:rFonts w:ascii="黑体" w:eastAsia="黑体" w:hAnsi="Calibri" w:cs="Times New Roman" w:hint="eastAsia"/>
                <w:kern w:val="2"/>
                <w:sz w:val="32"/>
                <w:szCs w:val="32"/>
              </w:rPr>
              <w:t>总则</w:t>
            </w:r>
          </w:p>
          <w:p w:rsidR="00810965" w:rsidRDefault="00C06F99">
            <w:pPr>
              <w:widowControl w:val="0"/>
              <w:spacing w:line="600" w:lineRule="exact"/>
              <w:ind w:leftChars="130" w:left="312"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为保证潍坊环境工程职业学院</w:t>
            </w:r>
            <w:r>
              <w:rPr>
                <w:rFonts w:ascii="仿宋_GB2312" w:eastAsia="仿宋_GB2312" w:hAnsi="Calibri" w:cs="Times New Roman"/>
                <w:kern w:val="2"/>
                <w:sz w:val="32"/>
                <w:szCs w:val="32"/>
              </w:rPr>
              <w:t>202</w:t>
            </w:r>
            <w:r>
              <w:rPr>
                <w:rFonts w:ascii="仿宋_GB2312" w:eastAsia="仿宋_GB2312" w:hAnsi="Calibri" w:cs="Times New Roman" w:hint="eastAsia"/>
                <w:kern w:val="2"/>
                <w:sz w:val="32"/>
                <w:szCs w:val="32"/>
              </w:rPr>
              <w:t>0年单独招生和综合评价招生工作的顺利进行，维护学院和考生合法权益，根据《中华人民共和国教育法》《中华人民共和国高等教育法》和教育部等有关文件精神，按照山东省教育厅《关于做好2020年高职（专科）单独招生和综合评价招生工作的通知》要求，结合潍坊环境工程职业学院单独招生和综合评价招生具体情况，制定本章程。</w:t>
            </w:r>
          </w:p>
          <w:p w:rsidR="00810965" w:rsidRDefault="00C06F99">
            <w:pPr>
              <w:widowControl w:val="0"/>
              <w:spacing w:beforeLines="50" w:before="120" w:afterLines="100" w:after="240" w:line="600" w:lineRule="exact"/>
              <w:ind w:leftChars="130" w:left="312"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第一条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本章程适用于潍坊环境工程职业学院</w:t>
            </w:r>
            <w:r w:rsidR="007C43DE">
              <w:rPr>
                <w:rFonts w:ascii="仿宋_GB2312" w:eastAsia="仿宋_GB2312" w:hAnsi="Calibri" w:cs="Times New Roman" w:hint="eastAsia"/>
                <w:kern w:val="2"/>
                <w:sz w:val="32"/>
                <w:szCs w:val="32"/>
              </w:rPr>
              <w:t>2020年</w:t>
            </w:r>
            <w:r>
              <w:rPr>
                <w:rFonts w:ascii="仿宋_GB2312" w:eastAsia="仿宋_GB2312" w:hAnsi="Calibri" w:cs="Times New Roman" w:hint="eastAsia"/>
                <w:kern w:val="2"/>
                <w:sz w:val="32"/>
                <w:szCs w:val="32"/>
              </w:rPr>
              <w:t>单独招生和综合评价招生工作。</w:t>
            </w:r>
          </w:p>
          <w:p w:rsidR="00810965" w:rsidRDefault="00C06F99">
            <w:pPr>
              <w:widowControl w:val="0"/>
              <w:spacing w:line="600" w:lineRule="exact"/>
              <w:ind w:leftChars="130" w:left="312"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第二条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潍坊环境工程职业学院单独招生和综合评价招生工作贯彻“公平竞争、公正选拔、公开程序，德智体美全面考核、综合评价、择优录取”的原则。</w:t>
            </w:r>
            <w:r>
              <w:rPr>
                <w:rFonts w:ascii="仿宋_GB2312" w:eastAsia="仿宋_GB2312" w:hAnsi="Calibri" w:cs="Times New Roman"/>
                <w:kern w:val="2"/>
                <w:sz w:val="32"/>
                <w:szCs w:val="32"/>
              </w:rPr>
              <w:t> </w:t>
            </w:r>
          </w:p>
          <w:p w:rsidR="00810965" w:rsidRDefault="00C06F99">
            <w:pPr>
              <w:widowControl w:val="0"/>
              <w:spacing w:line="600" w:lineRule="exact"/>
              <w:ind w:leftChars="130" w:left="312"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第三条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潍坊环境工程职业学院单独招生和综合评价招生工作接受纪检监察部门、新闻媒体、考生及其家长以及社会各界的监督。</w:t>
            </w:r>
            <w:r>
              <w:rPr>
                <w:rFonts w:ascii="仿宋_GB2312" w:eastAsia="仿宋_GB2312" w:hAnsi="Calibri" w:cs="Times New Roman"/>
                <w:kern w:val="2"/>
                <w:sz w:val="32"/>
                <w:szCs w:val="32"/>
              </w:rPr>
              <w:t> </w:t>
            </w:r>
          </w:p>
        </w:tc>
      </w:tr>
      <w:tr w:rsidR="00810965">
        <w:trPr>
          <w:tblCellSpacing w:w="15" w:type="dxa"/>
        </w:trPr>
        <w:tc>
          <w:tcPr>
            <w:tcW w:w="8768" w:type="dxa"/>
            <w:tcMar>
              <w:top w:w="15" w:type="dxa"/>
              <w:left w:w="15" w:type="dxa"/>
              <w:bottom w:w="15" w:type="dxa"/>
              <w:right w:w="15" w:type="dxa"/>
            </w:tcMar>
          </w:tcPr>
          <w:p w:rsidR="00810965" w:rsidRDefault="00C06F99" w:rsidP="00505FA9">
            <w:pPr>
              <w:widowControl w:val="0"/>
              <w:spacing w:line="600" w:lineRule="exact"/>
              <w:ind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t>第二章</w:t>
            </w:r>
            <w:r>
              <w:rPr>
                <w:rFonts w:ascii="黑体" w:eastAsia="黑体" w:hAnsi="Calibri" w:cs="Times New Roman"/>
                <w:kern w:val="2"/>
                <w:sz w:val="32"/>
                <w:szCs w:val="32"/>
              </w:rPr>
              <w:t xml:space="preserve">  </w:t>
            </w:r>
            <w:r>
              <w:rPr>
                <w:rFonts w:ascii="黑体" w:eastAsia="黑体" w:hAnsi="Calibri" w:cs="Times New Roman" w:hint="eastAsia"/>
                <w:kern w:val="2"/>
                <w:sz w:val="32"/>
                <w:szCs w:val="32"/>
              </w:rPr>
              <w:t>学院概况</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第四条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学院全称：潍坊环境工程职业学院</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学院代码：以山东省招生考试院公布为准</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第五条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 xml:space="preserve">学院地址：山东省潍坊市昌邑市院校中街217号    </w:t>
            </w:r>
            <w:r>
              <w:rPr>
                <w:rFonts w:ascii="仿宋_GB2312" w:eastAsia="仿宋_GB2312" w:hAnsi="Calibri" w:cs="Times New Roman" w:hint="eastAsia"/>
                <w:kern w:val="2"/>
                <w:sz w:val="32"/>
                <w:szCs w:val="32"/>
              </w:rPr>
              <w:lastRenderedPageBreak/>
              <w:t>邮编：</w:t>
            </w:r>
            <w:r>
              <w:rPr>
                <w:rFonts w:ascii="仿宋_GB2312" w:eastAsia="仿宋_GB2312" w:hAnsi="Calibri" w:cs="Times New Roman"/>
                <w:kern w:val="2"/>
                <w:sz w:val="32"/>
                <w:szCs w:val="32"/>
              </w:rPr>
              <w:t>26</w:t>
            </w:r>
            <w:r>
              <w:rPr>
                <w:rFonts w:ascii="仿宋_GB2312" w:eastAsia="仿宋_GB2312" w:hAnsi="Calibri" w:cs="Times New Roman" w:hint="eastAsia"/>
                <w:kern w:val="2"/>
                <w:sz w:val="32"/>
                <w:szCs w:val="32"/>
              </w:rPr>
              <w:t>1300</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第六条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学院办学层次及类型：民办、全日制普通高等学校（专科）。</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第七条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学院批准成立时间：我院于2020年经山东省人民政府批准成立具有高等学历教育招生资格的民办全日制普通高等学校（专科）。</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第八条</w:t>
            </w:r>
            <w:r>
              <w:rPr>
                <w:rFonts w:ascii="楷体_GB2312" w:eastAsia="楷体_GB2312" w:hAnsi="Calibri" w:cs="Times New Roman"/>
                <w:kern w:val="2"/>
                <w:sz w:val="32"/>
                <w:szCs w:val="32"/>
              </w:rPr>
              <w:t xml:space="preserve"> </w:t>
            </w:r>
            <w:r>
              <w:rPr>
                <w:rFonts w:ascii="楷体_GB2312" w:eastAsia="楷体_GB2312" w:hAnsi="Calibri" w:cs="Times New Roman" w:hint="eastAsia"/>
                <w:kern w:val="2"/>
                <w:sz w:val="32"/>
                <w:szCs w:val="32"/>
              </w:rPr>
              <w:t>基本情况</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潍坊环境工程职业学院北临渤海莱州湾，东临潍河，位于“黄河三角洲高效生态经济区”与“山东半岛蓝色经济区”两大国家级战略的叠加地带，处于青潍都市圈、潍坊国家职业教育创新发展试验区等 “五区”的重叠交汇区，气候宜人、风景秀丽、物阜民丰。学院处于山东半岛和山东内陆的咽喉地带，交通非常便利，济青高铁、潍莱高铁、潍烟高铁、济青高速、潍莱高速、荣乌高速从昌邑南北通过，距离昌邑高铁站15公里、潍坊北站25公里、潍坊机场30公里、胶东国际机场70公里，形成了20分钟上高速、30分钟乘高铁、1小时乘飞机的陆空交通圈，具备了立足潍坊、辐射全省、面向全国、放眼世界的得天独厚的地理条件。</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学院占地面积</w:t>
            </w:r>
            <w:r w:rsidR="007C43DE">
              <w:rPr>
                <w:rFonts w:ascii="仿宋_GB2312" w:eastAsia="仿宋_GB2312" w:hAnsi="Calibri" w:cs="Times New Roman"/>
                <w:kern w:val="2"/>
                <w:sz w:val="32"/>
                <w:szCs w:val="32"/>
              </w:rPr>
              <w:t>800</w:t>
            </w:r>
            <w:r>
              <w:rPr>
                <w:rFonts w:ascii="仿宋_GB2312" w:eastAsia="仿宋_GB2312" w:hAnsi="Calibri" w:cs="Times New Roman" w:hint="eastAsia"/>
                <w:kern w:val="2"/>
                <w:sz w:val="32"/>
                <w:szCs w:val="32"/>
              </w:rPr>
              <w:t>亩，投资6亿元，建成教学楼、宿舍楼、实训楼等17栋建筑，建设面积达15.3万平方米，所有建筑全部安装了中央空调系统，为师生创造了冬暖夏凉舒适的学习环境。</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学院坚持以立德树人为根本，秉承创新、绿色、协调、开放、共享的发展理念，以培养服务生态文明建设的大国工匠为</w:t>
            </w:r>
            <w:r>
              <w:rPr>
                <w:rFonts w:ascii="仿宋_GB2312" w:eastAsia="仿宋_GB2312" w:hAnsi="Calibri" w:cs="Times New Roman" w:hint="eastAsia"/>
                <w:kern w:val="2"/>
                <w:sz w:val="32"/>
                <w:szCs w:val="32"/>
              </w:rPr>
              <w:lastRenderedPageBreak/>
              <w:t>目标，确立了“德能兼修、知行合一”的校训，塑造了“兼爱至善、笃学励能”的校风、“博学精研、善教求真”的教风、“乐学善思，精技强能”的学风。打造了全新的教学理念，特色的成长课程，让学生健康幸福成长的育人体系。</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学院构建了以智能制造为基础，以电子信息技术为支撑，以环境保护为特色的三个专业群，开设了环境工程技术、环境监测与控制技术、工业机器人技术、机械制造与自动化、物联网应用技术、电子商务6个专业。建成了与各专业教学相适应的实验室和实训车间33个，图书馆藏书</w:t>
            </w:r>
            <w:r w:rsidR="007C43DE">
              <w:rPr>
                <w:rFonts w:ascii="仿宋_GB2312" w:eastAsia="仿宋_GB2312" w:hAnsi="Calibri" w:cs="Times New Roman"/>
                <w:kern w:val="2"/>
                <w:sz w:val="32"/>
                <w:szCs w:val="32"/>
              </w:rPr>
              <w:t>10.1</w:t>
            </w:r>
            <w:r>
              <w:rPr>
                <w:rFonts w:ascii="仿宋_GB2312" w:eastAsia="仿宋_GB2312" w:hAnsi="Calibri" w:cs="Times New Roman" w:hint="eastAsia"/>
                <w:kern w:val="2"/>
                <w:sz w:val="32"/>
                <w:szCs w:val="32"/>
              </w:rPr>
              <w:t>万册，满足了学生学习、实验、实习的要求。</w:t>
            </w:r>
          </w:p>
          <w:p w:rsidR="00810965" w:rsidRDefault="00C06F99" w:rsidP="005E5182">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学院有全职专任教师123名，其中副高级以上职称41人，双师型教师72人，研究生69人，兼职专家、工程师30余人。聘请中国工程院刘韵洁院士担任学院学术委员会主任，国家大数据专家委员会委员（原中国联通副总裁）姜正新博士担任荣誉院长。聘请清华大学聂永丰教授、吉林大学房春生教授、中国农业大学吴文良院长等一批知名专家为办学顾问。引进了美国斯坦福大学康鹏博士等13名博士为学院学科带头人，高水平的师资队伍能够让学生接受到高质量的教育。</w:t>
            </w:r>
          </w:p>
        </w:tc>
      </w:tr>
      <w:tr w:rsidR="00810965">
        <w:trPr>
          <w:tblCellSpacing w:w="15" w:type="dxa"/>
        </w:trPr>
        <w:tc>
          <w:tcPr>
            <w:tcW w:w="8768" w:type="dxa"/>
            <w:tcMar>
              <w:top w:w="15" w:type="dxa"/>
              <w:left w:w="15" w:type="dxa"/>
              <w:bottom w:w="15" w:type="dxa"/>
              <w:right w:w="15" w:type="dxa"/>
            </w:tcMar>
          </w:tcPr>
          <w:p w:rsidR="00810965" w:rsidRDefault="00C06F99" w:rsidP="00505FA9">
            <w:pPr>
              <w:widowControl w:val="0"/>
              <w:spacing w:line="600" w:lineRule="exact"/>
              <w:ind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lastRenderedPageBreak/>
              <w:t>第三章</w:t>
            </w:r>
            <w:r>
              <w:rPr>
                <w:rFonts w:ascii="黑体" w:eastAsia="黑体" w:hAnsi="Calibri" w:cs="Times New Roman"/>
                <w:kern w:val="2"/>
                <w:sz w:val="32"/>
                <w:szCs w:val="32"/>
              </w:rPr>
              <w:t xml:space="preserve">  </w:t>
            </w:r>
            <w:r>
              <w:rPr>
                <w:rFonts w:ascii="黑体" w:eastAsia="黑体" w:hAnsi="Calibri" w:cs="Times New Roman" w:hint="eastAsia"/>
                <w:kern w:val="2"/>
                <w:sz w:val="32"/>
                <w:szCs w:val="32"/>
              </w:rPr>
              <w:t>组织机构</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第九条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潍坊环境工程职业学院成立以学院领导为组长的单独招生和综合评价招生工作领导小组。领导小组负责制定单独招生和综合评价招生的政策和招生计划，讨论决定单独招生和综合评价招生工作的重大事宜。</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lastRenderedPageBreak/>
              <w:t>第十条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潍坊环境工程职业学院招生就业处是组织和实施招生就业及其相关工作的常设机构，具体负责学院招生的日常工作。</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第十一条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潍坊环境工程职业学院纪委对单独招生和综合评价招生工作实施全程监督。</w:t>
            </w:r>
          </w:p>
        </w:tc>
      </w:tr>
      <w:tr w:rsidR="00810965">
        <w:trPr>
          <w:tblCellSpacing w:w="15" w:type="dxa"/>
        </w:trPr>
        <w:tc>
          <w:tcPr>
            <w:tcW w:w="8768" w:type="dxa"/>
            <w:tcMar>
              <w:top w:w="15" w:type="dxa"/>
              <w:left w:w="15" w:type="dxa"/>
              <w:bottom w:w="15" w:type="dxa"/>
              <w:right w:w="15" w:type="dxa"/>
            </w:tcMar>
          </w:tcPr>
          <w:p w:rsidR="00810965" w:rsidRDefault="00C06F99" w:rsidP="00505FA9">
            <w:pPr>
              <w:widowControl w:val="0"/>
              <w:spacing w:line="600" w:lineRule="exact"/>
              <w:ind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lastRenderedPageBreak/>
              <w:t>第四章</w:t>
            </w:r>
            <w:r>
              <w:rPr>
                <w:rFonts w:ascii="黑体" w:eastAsia="黑体" w:hAnsi="Calibri" w:cs="Times New Roman"/>
                <w:kern w:val="2"/>
                <w:sz w:val="32"/>
                <w:szCs w:val="32"/>
              </w:rPr>
              <w:t xml:space="preserve">  </w:t>
            </w:r>
            <w:r>
              <w:rPr>
                <w:rFonts w:ascii="黑体" w:eastAsia="黑体" w:hAnsi="Calibri" w:cs="Times New Roman" w:hint="eastAsia"/>
                <w:kern w:val="2"/>
                <w:sz w:val="32"/>
                <w:szCs w:val="32"/>
              </w:rPr>
              <w:t>招生专业、计划</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第十二条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总招生计划750名，其中单独招生计划300名，综合评价招生计划450名，招生专业以省厅公布为准。</w:t>
            </w:r>
          </w:p>
          <w:tbl>
            <w:tblPr>
              <w:tblW w:w="8617" w:type="dxa"/>
              <w:tblLayout w:type="fixed"/>
              <w:tblCellMar>
                <w:left w:w="0" w:type="dxa"/>
                <w:right w:w="0" w:type="dxa"/>
              </w:tblCellMar>
              <w:tblLook w:val="04A0" w:firstRow="1" w:lastRow="0" w:firstColumn="1" w:lastColumn="0" w:noHBand="0" w:noVBand="1"/>
            </w:tblPr>
            <w:tblGrid>
              <w:gridCol w:w="502"/>
              <w:gridCol w:w="870"/>
              <w:gridCol w:w="2105"/>
              <w:gridCol w:w="505"/>
              <w:gridCol w:w="1050"/>
              <w:gridCol w:w="1510"/>
              <w:gridCol w:w="905"/>
              <w:gridCol w:w="1170"/>
            </w:tblGrid>
            <w:tr w:rsidR="00810965">
              <w:trPr>
                <w:trHeight w:val="291"/>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b/>
                      <w:color w:val="000000"/>
                      <w:sz w:val="21"/>
                      <w:szCs w:val="21"/>
                    </w:rPr>
                  </w:pPr>
                  <w:r>
                    <w:rPr>
                      <w:rFonts w:hint="eastAsia"/>
                      <w:b/>
                      <w:color w:val="000000"/>
                      <w:sz w:val="21"/>
                      <w:szCs w:val="21"/>
                      <w:lang w:bidi="ar"/>
                    </w:rPr>
                    <w:t>序号</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b/>
                      <w:color w:val="000000"/>
                      <w:sz w:val="21"/>
                      <w:szCs w:val="21"/>
                    </w:rPr>
                  </w:pPr>
                  <w:r>
                    <w:rPr>
                      <w:rFonts w:hint="eastAsia"/>
                      <w:b/>
                      <w:color w:val="000000"/>
                      <w:sz w:val="21"/>
                      <w:szCs w:val="21"/>
                      <w:lang w:bidi="ar"/>
                    </w:rPr>
                    <w:t>专业代码</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b/>
                      <w:color w:val="000000"/>
                      <w:sz w:val="21"/>
                      <w:szCs w:val="21"/>
                    </w:rPr>
                  </w:pPr>
                  <w:r>
                    <w:rPr>
                      <w:rFonts w:hint="eastAsia"/>
                      <w:b/>
                      <w:color w:val="000000"/>
                      <w:sz w:val="21"/>
                      <w:szCs w:val="21"/>
                      <w:lang w:bidi="ar"/>
                    </w:rPr>
                    <w:t>专业名称</w:t>
                  </w:r>
                </w:p>
              </w:tc>
              <w:tc>
                <w:tcPr>
                  <w:tcW w:w="5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b/>
                      <w:color w:val="000000"/>
                      <w:sz w:val="21"/>
                      <w:szCs w:val="21"/>
                    </w:rPr>
                  </w:pPr>
                  <w:r>
                    <w:rPr>
                      <w:rFonts w:hint="eastAsia"/>
                      <w:b/>
                      <w:color w:val="000000"/>
                      <w:sz w:val="21"/>
                      <w:szCs w:val="21"/>
                      <w:lang w:bidi="ar"/>
                    </w:rPr>
                    <w:t>学制</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b/>
                      <w:color w:val="000000"/>
                      <w:sz w:val="21"/>
                      <w:szCs w:val="21"/>
                    </w:rPr>
                  </w:pPr>
                  <w:r>
                    <w:rPr>
                      <w:rFonts w:hint="eastAsia"/>
                      <w:b/>
                      <w:color w:val="000000"/>
                      <w:sz w:val="21"/>
                      <w:szCs w:val="21"/>
                      <w:lang w:bidi="ar"/>
                    </w:rPr>
                    <w:t>招生计划</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b/>
                      <w:color w:val="000000"/>
                      <w:sz w:val="21"/>
                      <w:szCs w:val="21"/>
                    </w:rPr>
                  </w:pPr>
                  <w:r>
                    <w:rPr>
                      <w:rFonts w:hint="eastAsia"/>
                      <w:b/>
                      <w:color w:val="000000"/>
                      <w:sz w:val="21"/>
                      <w:szCs w:val="21"/>
                      <w:lang w:bidi="ar"/>
                    </w:rPr>
                    <w:t>收费标准（元）</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备注</w:t>
                  </w:r>
                </w:p>
              </w:tc>
            </w:tr>
            <w:tr w:rsidR="00810965">
              <w:trPr>
                <w:trHeight w:val="1049"/>
              </w:trPr>
              <w:tc>
                <w:tcPr>
                  <w:tcW w:w="50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b/>
                      <w:color w:val="000000"/>
                      <w:sz w:val="21"/>
                      <w:szCs w:val="21"/>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b/>
                      <w:color w:val="000000"/>
                      <w:sz w:val="21"/>
                      <w:szCs w:val="21"/>
                    </w:rPr>
                  </w:pP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b/>
                      <w:color w:val="000000"/>
                      <w:sz w:val="21"/>
                      <w:szCs w:val="21"/>
                    </w:rPr>
                  </w:pPr>
                </w:p>
              </w:tc>
              <w:tc>
                <w:tcPr>
                  <w:tcW w:w="5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b/>
                      <w:color w:val="000000"/>
                      <w:sz w:val="21"/>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b/>
                      <w:color w:val="000000"/>
                      <w:sz w:val="21"/>
                      <w:szCs w:val="21"/>
                    </w:rPr>
                  </w:pPr>
                  <w:r>
                    <w:rPr>
                      <w:rFonts w:hint="eastAsia"/>
                      <w:b/>
                      <w:color w:val="000000"/>
                      <w:sz w:val="21"/>
                      <w:szCs w:val="21"/>
                      <w:lang w:bidi="ar"/>
                    </w:rPr>
                    <w:t>单独招生（人数）</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b/>
                      <w:color w:val="000000"/>
                      <w:sz w:val="21"/>
                      <w:szCs w:val="21"/>
                    </w:rPr>
                  </w:pPr>
                  <w:r>
                    <w:rPr>
                      <w:rFonts w:hint="eastAsia"/>
                      <w:b/>
                      <w:color w:val="000000"/>
                      <w:sz w:val="21"/>
                      <w:szCs w:val="21"/>
                      <w:lang w:bidi="ar"/>
                    </w:rPr>
                    <w:t>综合评价招生（人数）</w:t>
                  </w: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b/>
                      <w:color w:val="000000"/>
                      <w:sz w:val="21"/>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r>
            <w:tr w:rsidR="00810965">
              <w:trPr>
                <w:trHeight w:val="626"/>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520804</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环境工程技术</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Style w:val="font01"/>
                      <w:lang w:bidi="ar"/>
                    </w:rPr>
                    <w:t>3</w:t>
                  </w:r>
                  <w:r>
                    <w:rPr>
                      <w:rStyle w:val="font31"/>
                      <w:rFonts w:hint="default"/>
                      <w:lang w:bidi="ar"/>
                    </w:rPr>
                    <w:t>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r>
            <w:tr w:rsidR="00810965">
              <w:trPr>
                <w:trHeight w:val="626"/>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520801</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环境监测与控制技术</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Style w:val="font01"/>
                      <w:lang w:bidi="ar"/>
                    </w:rPr>
                    <w:t>3</w:t>
                  </w:r>
                  <w:r>
                    <w:rPr>
                      <w:rStyle w:val="font31"/>
                      <w:rFonts w:hint="default"/>
                      <w:lang w:bidi="ar"/>
                    </w:rPr>
                    <w:t>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r>
            <w:tr w:rsidR="00810965">
              <w:trPr>
                <w:trHeight w:val="626"/>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560102</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机械制造与自动化</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Style w:val="font01"/>
                      <w:lang w:bidi="ar"/>
                    </w:rPr>
                    <w:t>3</w:t>
                  </w:r>
                  <w:r>
                    <w:rPr>
                      <w:rStyle w:val="font31"/>
                      <w:rFonts w:hint="default"/>
                      <w:lang w:bidi="ar"/>
                    </w:rPr>
                    <w:t>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25</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75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r>
            <w:tr w:rsidR="00810965">
              <w:trPr>
                <w:trHeight w:val="626"/>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560309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工业机器人技术</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Style w:val="font01"/>
                      <w:lang w:bidi="ar"/>
                    </w:rPr>
                    <w:t>3</w:t>
                  </w:r>
                  <w:r>
                    <w:rPr>
                      <w:rStyle w:val="font31"/>
                      <w:rFonts w:hint="default"/>
                      <w:lang w:bidi="ar"/>
                    </w:rPr>
                    <w:t>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25</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75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7800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r>
            <w:tr w:rsidR="00810965">
              <w:trPr>
                <w:trHeight w:val="626"/>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610119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物联网应用技术</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Style w:val="font01"/>
                      <w:lang w:bidi="ar"/>
                    </w:rPr>
                    <w:t>3</w:t>
                  </w:r>
                  <w:r>
                    <w:rPr>
                      <w:rStyle w:val="font31"/>
                      <w:rFonts w:hint="default"/>
                      <w:lang w:bidi="ar"/>
                    </w:rPr>
                    <w:t>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75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r>
            <w:tr w:rsidR="00810965">
              <w:trPr>
                <w:trHeight w:val="500"/>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6</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630801</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电子商务</w:t>
                  </w:r>
                </w:p>
              </w:tc>
              <w:tc>
                <w:tcPr>
                  <w:tcW w:w="5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Style w:val="font01"/>
                      <w:lang w:bidi="ar"/>
                    </w:rPr>
                    <w:t>3</w:t>
                  </w:r>
                  <w:r>
                    <w:rPr>
                      <w:rStyle w:val="font31"/>
                      <w:rFonts w:hint="default"/>
                      <w:lang w:bidi="ar"/>
                    </w:rPr>
                    <w:t>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50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60</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rFonts w:ascii="Calibri" w:hAnsi="Calibri" w:cs="Calibri"/>
                      <w:color w:val="000000"/>
                      <w:sz w:val="22"/>
                      <w:szCs w:val="22"/>
                    </w:rPr>
                  </w:pPr>
                  <w:r>
                    <w:rPr>
                      <w:rFonts w:ascii="Calibri" w:hAnsi="Calibri" w:cs="Calibri"/>
                      <w:color w:val="000000"/>
                      <w:sz w:val="22"/>
                      <w:szCs w:val="22"/>
                      <w:lang w:bidi="ar"/>
                    </w:rPr>
                    <w:t>5000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C06F99" w:rsidP="004D5FF1">
                  <w:pPr>
                    <w:framePr w:hSpace="180" w:wrap="around" w:vAnchor="page" w:hAnchor="margin" w:xAlign="center" w:y="1156"/>
                    <w:spacing w:line="600" w:lineRule="exact"/>
                    <w:textAlignment w:val="center"/>
                    <w:rPr>
                      <w:color w:val="000000"/>
                      <w:sz w:val="22"/>
                      <w:szCs w:val="22"/>
                    </w:rPr>
                  </w:pPr>
                  <w:r>
                    <w:rPr>
                      <w:rFonts w:hint="eastAsia"/>
                      <w:color w:val="000000"/>
                      <w:sz w:val="22"/>
                      <w:szCs w:val="22"/>
                      <w:lang w:bidi="ar"/>
                    </w:rPr>
                    <w:t>电子商务</w:t>
                  </w:r>
                </w:p>
              </w:tc>
            </w:tr>
            <w:tr w:rsidR="00810965">
              <w:trPr>
                <w:trHeight w:val="584"/>
              </w:trPr>
              <w:tc>
                <w:tcPr>
                  <w:tcW w:w="50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color w:val="000000"/>
                      <w:sz w:val="22"/>
                      <w:szCs w:val="22"/>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rFonts w:ascii="Calibri" w:hAnsi="Calibri" w:cs="Calibri"/>
                      <w:color w:val="000000"/>
                      <w:sz w:val="22"/>
                      <w:szCs w:val="22"/>
                    </w:rPr>
                  </w:pP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color w:val="000000"/>
                      <w:sz w:val="22"/>
                      <w:szCs w:val="22"/>
                    </w:rPr>
                  </w:pPr>
                </w:p>
              </w:tc>
              <w:tc>
                <w:tcPr>
                  <w:tcW w:w="5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rFonts w:ascii="Calibri" w:hAnsi="Calibri" w:cs="Calibri"/>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65</w:t>
                  </w: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10965" w:rsidRDefault="00810965" w:rsidP="004D5FF1">
                  <w:pPr>
                    <w:framePr w:hSpace="180" w:wrap="around" w:vAnchor="page" w:hAnchor="margin" w:xAlign="center" w:y="1156"/>
                    <w:spacing w:line="600" w:lineRule="exact"/>
                    <w:jc w:val="center"/>
                    <w:rPr>
                      <w:rFonts w:ascii="Calibri" w:hAnsi="Calibri" w:cs="Calibri"/>
                      <w:color w:val="000000"/>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C06F99" w:rsidP="004D5FF1">
                  <w:pPr>
                    <w:framePr w:hSpace="180" w:wrap="around" w:vAnchor="page" w:hAnchor="margin" w:xAlign="center" w:y="1156"/>
                    <w:spacing w:line="600" w:lineRule="exact"/>
                    <w:textAlignment w:val="center"/>
                    <w:rPr>
                      <w:color w:val="000000"/>
                      <w:sz w:val="22"/>
                      <w:szCs w:val="22"/>
                    </w:rPr>
                  </w:pPr>
                  <w:r>
                    <w:rPr>
                      <w:rFonts w:hint="eastAsia"/>
                      <w:color w:val="000000"/>
                      <w:sz w:val="22"/>
                      <w:szCs w:val="22"/>
                      <w:lang w:bidi="ar"/>
                    </w:rPr>
                    <w:t>新媒体方向</w:t>
                  </w:r>
                </w:p>
              </w:tc>
            </w:tr>
            <w:tr w:rsidR="00810965">
              <w:trPr>
                <w:trHeight w:val="301"/>
              </w:trPr>
              <w:tc>
                <w:tcPr>
                  <w:tcW w:w="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合计</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C06F99" w:rsidP="004D5FF1">
                  <w:pPr>
                    <w:framePr w:hSpace="180" w:wrap="around" w:vAnchor="page" w:hAnchor="margin" w:xAlign="center" w:y="1156"/>
                    <w:spacing w:line="600" w:lineRule="exact"/>
                    <w:jc w:val="center"/>
                    <w:textAlignment w:val="center"/>
                    <w:rPr>
                      <w:color w:val="000000"/>
                      <w:sz w:val="22"/>
                      <w:szCs w:val="22"/>
                    </w:rPr>
                  </w:pPr>
                  <w:r>
                    <w:rPr>
                      <w:rFonts w:hint="eastAsia"/>
                      <w:color w:val="000000"/>
                      <w:sz w:val="22"/>
                      <w:szCs w:val="22"/>
                      <w:lang w:bidi="ar"/>
                    </w:rPr>
                    <w:t>450</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10965" w:rsidRDefault="00810965" w:rsidP="004D5FF1">
                  <w:pPr>
                    <w:framePr w:hSpace="180" w:wrap="around" w:vAnchor="page" w:hAnchor="margin" w:xAlign="center" w:y="1156"/>
                    <w:spacing w:line="600" w:lineRule="exact"/>
                    <w:rPr>
                      <w:color w:val="000000"/>
                      <w:sz w:val="22"/>
                      <w:szCs w:val="22"/>
                    </w:rPr>
                  </w:pPr>
                </w:p>
              </w:tc>
            </w:tr>
          </w:tbl>
          <w:p w:rsidR="00810965" w:rsidRDefault="00810965">
            <w:pPr>
              <w:widowControl w:val="0"/>
              <w:spacing w:line="600" w:lineRule="exact"/>
              <w:ind w:firstLineChars="200" w:firstLine="640"/>
              <w:jc w:val="both"/>
              <w:rPr>
                <w:rFonts w:ascii="仿宋_GB2312" w:eastAsia="仿宋_GB2312" w:hAnsi="Calibri" w:cs="Times New Roman"/>
                <w:kern w:val="2"/>
                <w:sz w:val="32"/>
                <w:szCs w:val="32"/>
              </w:rPr>
            </w:pPr>
          </w:p>
        </w:tc>
      </w:tr>
      <w:tr w:rsidR="00810965">
        <w:trPr>
          <w:tblCellSpacing w:w="15" w:type="dxa"/>
        </w:trPr>
        <w:tc>
          <w:tcPr>
            <w:tcW w:w="8768" w:type="dxa"/>
            <w:tcMar>
              <w:top w:w="15" w:type="dxa"/>
              <w:left w:w="15" w:type="dxa"/>
              <w:bottom w:w="15" w:type="dxa"/>
              <w:right w:w="15" w:type="dxa"/>
            </w:tcMar>
          </w:tcPr>
          <w:p w:rsidR="00810965" w:rsidRDefault="00810965">
            <w:pPr>
              <w:widowControl w:val="0"/>
              <w:spacing w:line="600" w:lineRule="exact"/>
              <w:ind w:firstLineChars="200" w:firstLine="640"/>
              <w:jc w:val="both"/>
              <w:rPr>
                <w:rFonts w:ascii="黑体" w:eastAsia="黑体" w:hAnsi="Calibri" w:cs="Times New Roman"/>
                <w:kern w:val="2"/>
                <w:sz w:val="32"/>
                <w:szCs w:val="32"/>
              </w:rPr>
            </w:pPr>
          </w:p>
          <w:p w:rsidR="00810965" w:rsidRDefault="00C06F99" w:rsidP="00505FA9">
            <w:pPr>
              <w:widowControl w:val="0"/>
              <w:spacing w:line="600" w:lineRule="exact"/>
              <w:ind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t>第五章</w:t>
            </w:r>
            <w:r>
              <w:rPr>
                <w:rFonts w:ascii="黑体" w:eastAsia="黑体" w:hAnsi="Calibri" w:cs="Times New Roman"/>
                <w:kern w:val="2"/>
                <w:sz w:val="32"/>
                <w:szCs w:val="32"/>
              </w:rPr>
              <w:t xml:space="preserve">  </w:t>
            </w:r>
            <w:r>
              <w:rPr>
                <w:rFonts w:ascii="黑体" w:eastAsia="黑体" w:hAnsi="Calibri" w:cs="Times New Roman" w:hint="eastAsia"/>
                <w:kern w:val="2"/>
                <w:sz w:val="32"/>
                <w:szCs w:val="32"/>
              </w:rPr>
              <w:t>报名、考核及录取</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 xml:space="preserve">第十三条 </w:t>
            </w:r>
            <w:r>
              <w:rPr>
                <w:rFonts w:ascii="仿宋_GB2312" w:eastAsia="仿宋_GB2312" w:hAnsi="Calibri" w:cs="Times New Roman" w:hint="eastAsia"/>
                <w:kern w:val="2"/>
                <w:sz w:val="32"/>
                <w:szCs w:val="32"/>
              </w:rPr>
              <w:t>报考条件</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1.单独招生：已通过山东省</w:t>
            </w:r>
            <w:r>
              <w:rPr>
                <w:rFonts w:ascii="仿宋_GB2312" w:eastAsia="仿宋_GB2312" w:hAnsi="Calibri" w:cs="Times New Roman"/>
                <w:kern w:val="2"/>
                <w:sz w:val="32"/>
                <w:szCs w:val="32"/>
              </w:rPr>
              <w:t>20</w:t>
            </w:r>
            <w:r>
              <w:rPr>
                <w:rFonts w:ascii="仿宋_GB2312" w:eastAsia="仿宋_GB2312" w:hAnsi="Calibri" w:cs="Times New Roman" w:hint="eastAsia"/>
                <w:kern w:val="2"/>
                <w:sz w:val="32"/>
                <w:szCs w:val="32"/>
              </w:rPr>
              <w:t>20年普通高校考试招生报名</w:t>
            </w:r>
            <w:r>
              <w:rPr>
                <w:rFonts w:ascii="仿宋_GB2312" w:eastAsia="仿宋_GB2312" w:hAnsi="Calibri" w:cs="Times New Roman" w:hint="eastAsia"/>
                <w:kern w:val="2"/>
                <w:sz w:val="32"/>
                <w:szCs w:val="32"/>
              </w:rPr>
              <w:lastRenderedPageBreak/>
              <w:t>的中等职业学校毕业生和往届高中阶段学校毕业生均有资格报考单独招生。符合报名条件的考生只能选择报考其中一所院校。兼报春、夏季高考的考生，在报考我院单独招生时，既可以按春季高考考生的身份报考，也可以按夏季高考考生的身份报考，但只能选择其中一种身份报考。夏季考生可以选择任意专业报考，春季考生可以跨大类选择任意专业报考。</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2.综合评价招生：已通过山东省</w:t>
            </w:r>
            <w:r>
              <w:rPr>
                <w:rFonts w:ascii="仿宋_GB2312" w:eastAsia="仿宋_GB2312" w:hAnsi="Calibri" w:cs="Times New Roman"/>
                <w:kern w:val="2"/>
                <w:sz w:val="32"/>
                <w:szCs w:val="32"/>
              </w:rPr>
              <w:t>20</w:t>
            </w:r>
            <w:r>
              <w:rPr>
                <w:rFonts w:ascii="仿宋_GB2312" w:eastAsia="仿宋_GB2312" w:hAnsi="Calibri" w:cs="Times New Roman" w:hint="eastAsia"/>
                <w:kern w:val="2"/>
                <w:sz w:val="32"/>
                <w:szCs w:val="32"/>
              </w:rPr>
              <w:t>20年普通高校考试招生报名的应届普通高中毕业生均有资格报考我院综合评价招生。</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 xml:space="preserve">第十四条 </w:t>
            </w:r>
            <w:r>
              <w:rPr>
                <w:rFonts w:ascii="仿宋_GB2312" w:eastAsia="仿宋_GB2312" w:hAnsi="Calibri" w:cs="Times New Roman" w:hint="eastAsia"/>
                <w:kern w:val="2"/>
                <w:sz w:val="32"/>
                <w:szCs w:val="32"/>
              </w:rPr>
              <w:t>报名及缴费</w:t>
            </w:r>
            <w:r>
              <w:rPr>
                <w:rFonts w:ascii="仿宋_GB2312" w:eastAsia="仿宋_GB2312" w:hAnsi="Calibri" w:cs="Times New Roman"/>
                <w:kern w:val="2"/>
                <w:sz w:val="32"/>
                <w:szCs w:val="32"/>
              </w:rPr>
              <w:t> </w:t>
            </w:r>
          </w:p>
          <w:p w:rsidR="00810965" w:rsidRDefault="00C06F99">
            <w:pPr>
              <w:widowControl w:val="0"/>
              <w:spacing w:line="600" w:lineRule="exact"/>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 xml:space="preserve">    考生须通过山东省2020年普通高校考试招生（含春季高考和夏季高考）报名后，方可参加单独招生或综合评价招生。</w:t>
            </w:r>
          </w:p>
          <w:p w:rsidR="00810965" w:rsidRDefault="00C06F99">
            <w:pPr>
              <w:pStyle w:val="a6"/>
              <w:widowControl w:val="0"/>
              <w:numPr>
                <w:ilvl w:val="0"/>
                <w:numId w:val="1"/>
              </w:numPr>
              <w:spacing w:line="600" w:lineRule="exact"/>
              <w:ind w:firstLineChars="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报名时间：2020年5月21日至24日</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2．报名网址：</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登录山东省教育招生考试院招生平台（网址：http://wsbm.sdzk.cn/gzdz/），填报专业。考生应根据相关要求如实、清晰、完整的填写报考信息。报名时，考生必须准确地填写考生号（</w:t>
            </w:r>
            <w:r>
              <w:rPr>
                <w:rFonts w:ascii="仿宋_GB2312" w:eastAsia="仿宋_GB2312" w:hAnsi="Calibri" w:cs="Times New Roman"/>
                <w:kern w:val="2"/>
                <w:sz w:val="32"/>
                <w:szCs w:val="32"/>
              </w:rPr>
              <w:t>14</w:t>
            </w:r>
            <w:r>
              <w:rPr>
                <w:rFonts w:ascii="仿宋_GB2312" w:eastAsia="仿宋_GB2312" w:hAnsi="Calibri" w:cs="Times New Roman" w:hint="eastAsia"/>
                <w:kern w:val="2"/>
                <w:sz w:val="32"/>
                <w:szCs w:val="32"/>
              </w:rPr>
              <w:t>位）及本人身份证号，因考生本人填写信息有误所造成的后果，由考生本人负责。</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3.缴费方式：网上</w:t>
            </w:r>
            <w:r>
              <w:rPr>
                <w:rFonts w:ascii="仿宋_GB2312" w:eastAsia="仿宋_GB2312" w:hAnsi="Calibri" w:cs="Times New Roman"/>
                <w:kern w:val="2"/>
                <w:sz w:val="32"/>
                <w:szCs w:val="32"/>
              </w:rPr>
              <w:t>缴纳报考费时间为5月27日至28日，缴费网址为</w:t>
            </w:r>
            <w:r>
              <w:rPr>
                <w:rFonts w:ascii="仿宋_GB2312" w:eastAsia="仿宋_GB2312" w:hAnsi="Calibri" w:cs="Times New Roman" w:hint="eastAsia"/>
                <w:kern w:val="2"/>
                <w:sz w:val="32"/>
                <w:szCs w:val="32"/>
              </w:rPr>
              <w:t xml:space="preserve">潍坊环境工程职业学院官网（网址： </w:t>
            </w:r>
            <w:hyperlink r:id="rId9" w:history="1">
              <w:r>
                <w:rPr>
                  <w:rFonts w:ascii="仿宋_GB2312" w:eastAsia="仿宋_GB2312" w:hAnsi="Calibri" w:cs="Times New Roman" w:hint="eastAsia"/>
                  <w:kern w:val="2"/>
                  <w:sz w:val="32"/>
                  <w:szCs w:val="32"/>
                </w:rPr>
                <w:t>http://www.wfhgzxy.com）</w:t>
              </w:r>
            </w:hyperlink>
            <w:r>
              <w:rPr>
                <w:rFonts w:ascii="仿宋_GB2312" w:eastAsia="仿宋_GB2312" w:hAnsi="Calibri" w:cs="Times New Roman"/>
                <w:kern w:val="2"/>
                <w:sz w:val="32"/>
                <w:szCs w:val="32"/>
              </w:rPr>
              <w:t>，缴费后方可打印出测试内容及测试系统使用说明，未缴纳报考费视为自愿放弃考试</w:t>
            </w:r>
            <w:r>
              <w:rPr>
                <w:rFonts w:ascii="仿宋_GB2312" w:eastAsia="仿宋_GB2312" w:hAnsi="Calibri" w:cs="Times New Roman" w:hint="eastAsia"/>
                <w:kern w:val="2"/>
                <w:sz w:val="32"/>
                <w:szCs w:val="32"/>
              </w:rPr>
              <w:t>。按照鲁价费发[2016]95号文件规定收费（报名费30元，考试费40元，共计70元）。</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lastRenderedPageBreak/>
              <w:t>特别提示：考生需开通银行卡网上银行支付业务，网上支付支持中国工商银行、中国农业银行、中国建设银行、中国银行、中国邮政储蓄银行以及其他部分商业银行。考生网上报名缴费一经确认，不予更改或撤销。</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第十五条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男女比例：各专业在录取时不限男女比例。</w:t>
            </w:r>
            <w:r>
              <w:rPr>
                <w:rFonts w:ascii="仿宋_GB2312" w:eastAsia="仿宋_GB2312" w:hAnsi="Calibri" w:cs="Times New Roman"/>
                <w:kern w:val="2"/>
                <w:sz w:val="32"/>
                <w:szCs w:val="32"/>
              </w:rPr>
              <w:t xml:space="preserve">  </w:t>
            </w:r>
          </w:p>
          <w:p w:rsidR="00810965" w:rsidRDefault="00C06F99">
            <w:pPr>
              <w:spacing w:line="600" w:lineRule="exact"/>
              <w:ind w:firstLineChars="200" w:firstLine="640"/>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 xml:space="preserve">第十六条 </w:t>
            </w:r>
            <w:r>
              <w:rPr>
                <w:rFonts w:ascii="仿宋_GB2312" w:eastAsia="仿宋_GB2312" w:hAnsi="Calibri" w:cs="Times New Roman" w:hint="eastAsia"/>
                <w:kern w:val="2"/>
                <w:sz w:val="32"/>
                <w:szCs w:val="32"/>
              </w:rPr>
              <w:t>体检：考生需在报名的县（市、区）招生办公室指定的县级以上医院进行体检，录取后我院将进行身体复查。因弄虚作假导致体检结论与其本人身体状况不符者，将按教育部的有关规定进行处理。</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第十七条</w:t>
            </w:r>
            <w:r>
              <w:rPr>
                <w:rFonts w:ascii="楷体_GB2312" w:eastAsia="楷体_GB2312" w:hAnsi="Calibri" w:cs="Times New Roman" w:hint="eastAsia"/>
                <w:kern w:val="2"/>
                <w:sz w:val="32"/>
                <w:szCs w:val="32"/>
              </w:rPr>
              <w:t> </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考核</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根据山东省教育厅关于做好2020年高职院校单独招生和综合评价招生有关工作的通知要求，单独招生和综合评价招生考核、命题、录取等工作由我院负责，实行网上考试（测试）。</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（一）考试（测试）项目</w:t>
            </w:r>
          </w:p>
          <w:p w:rsidR="00810965" w:rsidRPr="004D5FF1" w:rsidRDefault="00C06F99">
            <w:pPr>
              <w:widowControl w:val="0"/>
              <w:spacing w:line="600" w:lineRule="exact"/>
              <w:ind w:firstLineChars="200" w:firstLine="640"/>
              <w:jc w:val="both"/>
              <w:rPr>
                <w:rFonts w:ascii="仿宋_GB2312" w:eastAsia="仿宋_GB2312" w:hAnsi="Calibri" w:cs="Times New Roman"/>
                <w:kern w:val="2"/>
                <w:sz w:val="32"/>
                <w:szCs w:val="32"/>
              </w:rPr>
            </w:pPr>
            <w:r w:rsidRPr="004D5FF1">
              <w:rPr>
                <w:rFonts w:ascii="仿宋_GB2312" w:eastAsia="仿宋_GB2312" w:hAnsi="Calibri" w:cs="Times New Roman"/>
                <w:kern w:val="2"/>
                <w:sz w:val="32"/>
                <w:szCs w:val="32"/>
              </w:rPr>
              <w:t>1</w:t>
            </w:r>
            <w:r w:rsidRPr="004D5FF1">
              <w:rPr>
                <w:rFonts w:ascii="仿宋_GB2312" w:eastAsia="仿宋_GB2312" w:hAnsi="Calibri" w:cs="Times New Roman" w:hint="eastAsia"/>
                <w:kern w:val="2"/>
                <w:sz w:val="32"/>
                <w:szCs w:val="32"/>
              </w:rPr>
              <w:t>、单独招生：单独招生进行语文（</w:t>
            </w:r>
            <w:r w:rsidRPr="004D5FF1">
              <w:rPr>
                <w:rFonts w:ascii="仿宋_GB2312" w:eastAsia="仿宋_GB2312" w:hAnsi="Calibri" w:cs="Times New Roman"/>
                <w:kern w:val="2"/>
                <w:sz w:val="32"/>
                <w:szCs w:val="32"/>
              </w:rPr>
              <w:t>100</w:t>
            </w:r>
            <w:r w:rsidRPr="004D5FF1">
              <w:rPr>
                <w:rFonts w:ascii="仿宋_GB2312" w:eastAsia="仿宋_GB2312" w:hAnsi="Calibri" w:cs="Times New Roman" w:hint="eastAsia"/>
                <w:kern w:val="2"/>
                <w:sz w:val="32"/>
                <w:szCs w:val="32"/>
              </w:rPr>
              <w:t>分）、数学（</w:t>
            </w:r>
            <w:r w:rsidRPr="004D5FF1">
              <w:rPr>
                <w:rFonts w:ascii="仿宋_GB2312" w:eastAsia="仿宋_GB2312" w:hAnsi="Calibri" w:cs="Times New Roman"/>
                <w:kern w:val="2"/>
                <w:sz w:val="32"/>
                <w:szCs w:val="32"/>
              </w:rPr>
              <w:t>100</w:t>
            </w:r>
            <w:r w:rsidRPr="004D5FF1">
              <w:rPr>
                <w:rFonts w:ascii="仿宋_GB2312" w:eastAsia="仿宋_GB2312" w:hAnsi="Calibri" w:cs="Times New Roman" w:hint="eastAsia"/>
                <w:kern w:val="2"/>
                <w:sz w:val="32"/>
                <w:szCs w:val="32"/>
              </w:rPr>
              <w:t>分）两科基本文化素质测试和综合素质测试（</w:t>
            </w:r>
            <w:r w:rsidRPr="004D5FF1">
              <w:rPr>
                <w:rFonts w:ascii="仿宋_GB2312" w:eastAsia="仿宋_GB2312" w:hAnsi="Calibri" w:cs="Times New Roman"/>
                <w:kern w:val="2"/>
                <w:sz w:val="32"/>
                <w:szCs w:val="32"/>
              </w:rPr>
              <w:t>150</w:t>
            </w:r>
            <w:r w:rsidRPr="004D5FF1">
              <w:rPr>
                <w:rFonts w:ascii="仿宋_GB2312" w:eastAsia="仿宋_GB2312" w:hAnsi="Calibri" w:cs="Times New Roman" w:hint="eastAsia"/>
                <w:kern w:val="2"/>
                <w:sz w:val="32"/>
                <w:szCs w:val="32"/>
              </w:rPr>
              <w:t>分），通过网络笔试进行远程测试。</w:t>
            </w:r>
          </w:p>
          <w:p w:rsidR="00810965" w:rsidRPr="00A70C9E" w:rsidRDefault="00C06F99">
            <w:pPr>
              <w:widowControl w:val="0"/>
              <w:spacing w:line="600" w:lineRule="exact"/>
              <w:ind w:firstLineChars="200" w:firstLine="640"/>
              <w:jc w:val="both"/>
              <w:rPr>
                <w:rFonts w:ascii="仿宋_GB2312" w:eastAsia="仿宋_GB2312" w:hAnsi="Calibri" w:cs="Times New Roman"/>
                <w:kern w:val="2"/>
                <w:sz w:val="32"/>
                <w:szCs w:val="32"/>
              </w:rPr>
            </w:pPr>
            <w:r w:rsidRPr="004D5FF1">
              <w:rPr>
                <w:rFonts w:ascii="仿宋_GB2312" w:eastAsia="仿宋_GB2312" w:hAnsi="Calibri" w:cs="Times New Roman"/>
                <w:kern w:val="2"/>
                <w:sz w:val="32"/>
                <w:szCs w:val="32"/>
              </w:rPr>
              <w:t>2</w:t>
            </w:r>
            <w:r w:rsidRPr="004D5FF1">
              <w:rPr>
                <w:rFonts w:ascii="仿宋_GB2312" w:eastAsia="仿宋_GB2312" w:hAnsi="Calibri" w:cs="Times New Roman" w:hint="eastAsia"/>
                <w:kern w:val="2"/>
                <w:sz w:val="32"/>
                <w:szCs w:val="32"/>
              </w:rPr>
              <w:t>、综合评价招生：综合评价招生考试方式为综合素质测试（网络笔试），分值</w:t>
            </w:r>
            <w:r w:rsidRPr="004D5FF1">
              <w:rPr>
                <w:rFonts w:ascii="仿宋_GB2312" w:eastAsia="仿宋_GB2312" w:hAnsi="Calibri" w:cs="Times New Roman"/>
                <w:kern w:val="2"/>
                <w:sz w:val="32"/>
                <w:szCs w:val="32"/>
              </w:rPr>
              <w:t>150</w:t>
            </w:r>
            <w:r w:rsidRPr="004D5FF1">
              <w:rPr>
                <w:rFonts w:ascii="仿宋_GB2312" w:eastAsia="仿宋_GB2312" w:hAnsi="Calibri" w:cs="Times New Roman" w:hint="eastAsia"/>
                <w:kern w:val="2"/>
                <w:sz w:val="32"/>
                <w:szCs w:val="32"/>
              </w:rPr>
              <w:t>分。考生总成绩按照综合素质评价结果、学业成绩占</w:t>
            </w:r>
            <w:r w:rsidRPr="004D5FF1">
              <w:rPr>
                <w:rFonts w:ascii="仿宋_GB2312" w:eastAsia="仿宋_GB2312" w:hAnsi="Calibri" w:cs="Times New Roman"/>
                <w:kern w:val="2"/>
                <w:sz w:val="32"/>
                <w:szCs w:val="32"/>
              </w:rPr>
              <w:t>60%</w:t>
            </w:r>
            <w:r w:rsidRPr="004D5FF1">
              <w:rPr>
                <w:rFonts w:ascii="仿宋_GB2312" w:eastAsia="仿宋_GB2312" w:hAnsi="Calibri" w:cs="Times New Roman" w:hint="eastAsia"/>
                <w:kern w:val="2"/>
                <w:sz w:val="32"/>
                <w:szCs w:val="32"/>
              </w:rPr>
              <w:t>、综合素质测试成绩占</w:t>
            </w:r>
            <w:r w:rsidRPr="004D5FF1">
              <w:rPr>
                <w:rFonts w:ascii="仿宋_GB2312" w:eastAsia="仿宋_GB2312" w:hAnsi="Calibri" w:cs="Times New Roman"/>
                <w:kern w:val="2"/>
                <w:sz w:val="32"/>
                <w:szCs w:val="32"/>
              </w:rPr>
              <w:t>40%</w:t>
            </w:r>
            <w:r w:rsidRPr="004D5FF1">
              <w:rPr>
                <w:rFonts w:ascii="仿宋_GB2312" w:eastAsia="仿宋_GB2312" w:hAnsi="Calibri" w:cs="Times New Roman" w:hint="eastAsia"/>
                <w:kern w:val="2"/>
                <w:sz w:val="32"/>
                <w:szCs w:val="32"/>
              </w:rPr>
              <w:t>的比例进行评定。</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（二）考试（测试）网址：潍坊环境工程职业学院官网</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highlight w:val="yellow"/>
              </w:rPr>
            </w:pPr>
            <w:r>
              <w:rPr>
                <w:rFonts w:ascii="仿宋_GB2312" w:eastAsia="仿宋_GB2312" w:hAnsi="Calibri" w:cs="Times New Roman" w:hint="eastAsia"/>
                <w:kern w:val="2"/>
                <w:sz w:val="32"/>
                <w:szCs w:val="32"/>
              </w:rPr>
              <w:t xml:space="preserve">（网址： </w:t>
            </w:r>
            <w:hyperlink r:id="rId10" w:history="1">
              <w:r>
                <w:rPr>
                  <w:rFonts w:ascii="仿宋_GB2312" w:eastAsia="仿宋_GB2312" w:hAnsi="Calibri" w:cs="Times New Roman" w:hint="eastAsia"/>
                  <w:kern w:val="2"/>
                  <w:sz w:val="32"/>
                  <w:szCs w:val="32"/>
                </w:rPr>
                <w:t>http://www.wfhgzxy.com）</w:t>
              </w:r>
            </w:hyperlink>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（三）模拟考试时间：</w:t>
            </w:r>
            <w:r>
              <w:rPr>
                <w:rFonts w:ascii="仿宋_GB2312" w:eastAsia="仿宋_GB2312" w:hAnsi="Calibri" w:cs="Times New Roman"/>
                <w:kern w:val="2"/>
                <w:sz w:val="32"/>
                <w:szCs w:val="32"/>
              </w:rPr>
              <w:t>5月29日9:00至17:00</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（四）正式考试时间</w:t>
            </w:r>
            <w:r>
              <w:rPr>
                <w:rFonts w:ascii="仿宋_GB2312" w:eastAsia="仿宋_GB2312" w:hAnsi="Calibri" w:cs="Times New Roman"/>
                <w:kern w:val="2"/>
                <w:sz w:val="32"/>
                <w:szCs w:val="32"/>
              </w:rPr>
              <w:t> </w:t>
            </w:r>
            <w:r>
              <w:rPr>
                <w:rFonts w:ascii="仿宋_GB2312" w:eastAsia="仿宋_GB2312" w:hAnsi="Calibri" w:cs="Times New Roman" w:hint="eastAsia"/>
                <w:kern w:val="2"/>
                <w:sz w:val="32"/>
                <w:szCs w:val="32"/>
              </w:rPr>
              <w:t>：6月2日9:00至17:00 （具体安排</w:t>
            </w:r>
            <w:r>
              <w:rPr>
                <w:rFonts w:ascii="仿宋_GB2312" w:eastAsia="仿宋_GB2312" w:hAnsi="Calibri" w:cs="Times New Roman" w:hint="eastAsia"/>
                <w:kern w:val="2"/>
                <w:sz w:val="32"/>
                <w:szCs w:val="32"/>
              </w:rPr>
              <w:lastRenderedPageBreak/>
              <w:t>以准考证为准）</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 xml:space="preserve">第十八条 </w:t>
            </w:r>
            <w:r>
              <w:rPr>
                <w:rFonts w:ascii="仿宋_GB2312" w:eastAsia="仿宋_GB2312" w:hAnsi="Calibri" w:cs="Times New Roman" w:hint="eastAsia"/>
                <w:kern w:val="2"/>
                <w:sz w:val="32"/>
                <w:szCs w:val="32"/>
              </w:rPr>
              <w:t>严格执行国家及省教育主管部门关于普通高等学校单独招生和综合评价招生工作规定，在录取过程中纪检监察部门全程参与，并接受社会监督。</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楷体_GB2312" w:eastAsia="楷体_GB2312" w:hAnsi="Calibri" w:cs="Times New Roman"/>
                <w:kern w:val="2"/>
                <w:sz w:val="32"/>
                <w:szCs w:val="32"/>
              </w:rPr>
            </w:pPr>
            <w:r>
              <w:rPr>
                <w:rFonts w:ascii="楷体_GB2312" w:eastAsia="楷体_GB2312" w:hAnsi="Calibri" w:cs="Times New Roman" w:hint="eastAsia"/>
                <w:kern w:val="2"/>
                <w:sz w:val="32"/>
                <w:szCs w:val="32"/>
              </w:rPr>
              <w:t>第十九条  录取原则</w:t>
            </w:r>
            <w:r>
              <w:rPr>
                <w:rFonts w:ascii="楷体_GB2312" w:eastAsia="楷体_GB2312" w:hAnsi="Calibri" w:cs="Times New Roman" w:hint="eastAsia"/>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根据教育部和山东省招生考试委员会的要求，实行由学校负责的体制，按公平、公正的原则，择优录取。</w:t>
            </w:r>
          </w:p>
          <w:p w:rsidR="00810965" w:rsidRDefault="00C06F99">
            <w:pPr>
              <w:widowControl w:val="0"/>
              <w:numPr>
                <w:ilvl w:val="0"/>
                <w:numId w:val="2"/>
              </w:numPr>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单独招生按招生计划数1:1划定录取控制分数线；综合评价招生按招生计划数1:1划定录取控制分数线。分数相同考生按照综合素质测试、数学、语文成绩高低排序录取；专业确定按照“分数优先、遵循志愿”的原则，统筹安排。</w:t>
            </w:r>
          </w:p>
          <w:p w:rsidR="00810965" w:rsidRDefault="00C06F99">
            <w:pPr>
              <w:widowControl w:val="0"/>
              <w:numPr>
                <w:ilvl w:val="0"/>
                <w:numId w:val="2"/>
              </w:numPr>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公示拟录取名单：在学院招生信息网公示拟录取名单。公示无异议的考生，我院按照省教育招生考试院的要求办理录取手续。已被我院单独招生、综合评价招生录取的考生，不再参加山东省2020年春季、夏季普通高校招生统一考试及录取。</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3．计划调整：单独招生、综合评价招生、相互之间的计划可以调整。</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4.申请免试入学的考生，需在规定时间内将获奖证书原件及复印件一份邮寄至学院招生就业处以备审核，邮寄地址为：潍坊环境工程职业学院招生就业处，邮编：261300。</w:t>
            </w:r>
            <w:r>
              <w:rPr>
                <w:rFonts w:ascii="仿宋_GB2312" w:eastAsia="仿宋_GB2312" w:hAnsi="Calibri" w:cs="Times New Roman" w:hint="eastAsia"/>
                <w:kern w:val="2"/>
                <w:sz w:val="32"/>
                <w:szCs w:val="32"/>
              </w:rPr>
              <w:t> </w:t>
            </w:r>
          </w:p>
          <w:p w:rsidR="00810965" w:rsidRDefault="00C06F99">
            <w:pPr>
              <w:widowControl w:val="0"/>
              <w:spacing w:line="600" w:lineRule="exact"/>
              <w:ind w:firstLineChars="200" w:firstLine="640"/>
              <w:jc w:val="both"/>
              <w:rPr>
                <w:rFonts w:ascii="楷体_GB2312" w:eastAsia="楷体_GB2312" w:hAnsi="Calibri" w:cs="Times New Roman"/>
                <w:kern w:val="2"/>
                <w:sz w:val="32"/>
                <w:szCs w:val="32"/>
              </w:rPr>
            </w:pPr>
            <w:r>
              <w:rPr>
                <w:rFonts w:ascii="楷体_GB2312" w:eastAsia="楷体_GB2312" w:hAnsi="Calibri" w:cs="Times New Roman" w:hint="eastAsia"/>
                <w:kern w:val="2"/>
                <w:sz w:val="32"/>
                <w:szCs w:val="32"/>
              </w:rPr>
              <w:t>第二十条  确定录取名单</w:t>
            </w:r>
            <w:r>
              <w:rPr>
                <w:rFonts w:ascii="楷体_GB2312" w:eastAsia="楷体_GB2312" w:hAnsi="Calibri" w:cs="Times New Roman" w:hint="eastAsia"/>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1.</w:t>
            </w:r>
            <w:r>
              <w:rPr>
                <w:rFonts w:ascii="仿宋_GB2312" w:eastAsia="仿宋_GB2312" w:hAnsi="Calibri" w:cs="Times New Roman" w:hint="eastAsia"/>
                <w:kern w:val="2"/>
                <w:sz w:val="32"/>
                <w:szCs w:val="32"/>
              </w:rPr>
              <w:t>确定预录名单：录取组根据考生的录取成绩及考生身体状况提出预录名单，报学院单独招生工作领导小组审核、批准。</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2.</w:t>
            </w:r>
            <w:r>
              <w:rPr>
                <w:rFonts w:ascii="仿宋_GB2312" w:eastAsia="仿宋_GB2312" w:hAnsi="Calibri" w:cs="Times New Roman" w:hint="eastAsia"/>
                <w:kern w:val="2"/>
                <w:sz w:val="32"/>
                <w:szCs w:val="32"/>
              </w:rPr>
              <w:t>公示预录名单：学院将在招生信息网公示预录考生名单。</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lastRenderedPageBreak/>
              <w:t>3.</w:t>
            </w:r>
            <w:r>
              <w:rPr>
                <w:rFonts w:ascii="仿宋_GB2312" w:eastAsia="仿宋_GB2312" w:hAnsi="Calibri" w:cs="Times New Roman" w:hint="eastAsia"/>
                <w:kern w:val="2"/>
                <w:sz w:val="32"/>
                <w:szCs w:val="32"/>
              </w:rPr>
              <w:t>学院将预录考生名单报山东省教育招生考试院，办理录取手续后公布正式录取名单，通过邮政局以特快专递方式寄发新生录取通知书。</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4.</w:t>
            </w:r>
            <w:r>
              <w:rPr>
                <w:rFonts w:ascii="仿宋_GB2312" w:eastAsia="仿宋_GB2312" w:hAnsi="Calibri" w:cs="Times New Roman" w:hint="eastAsia"/>
                <w:kern w:val="2"/>
                <w:sz w:val="32"/>
                <w:szCs w:val="32"/>
              </w:rPr>
              <w:t>依据《教育部办公厅关于</w:t>
            </w:r>
            <w:r>
              <w:rPr>
                <w:rFonts w:ascii="仿宋_GB2312" w:eastAsia="仿宋_GB2312" w:hAnsi="Calibri" w:cs="Times New Roman"/>
                <w:kern w:val="2"/>
                <w:sz w:val="32"/>
                <w:szCs w:val="32"/>
              </w:rPr>
              <w:t>2011</w:t>
            </w:r>
            <w:r>
              <w:rPr>
                <w:rFonts w:ascii="仿宋_GB2312" w:eastAsia="仿宋_GB2312" w:hAnsi="Calibri" w:cs="Times New Roman" w:hint="eastAsia"/>
                <w:kern w:val="2"/>
                <w:sz w:val="32"/>
                <w:szCs w:val="32"/>
              </w:rPr>
              <w:t>年部分高等职业院校开展单独招生改革试点工作的通知》和山东省单独招生文件之规定，凡已被各校单独招生和综合评价招生录取的考生不再参加</w:t>
            </w:r>
            <w:r>
              <w:rPr>
                <w:rFonts w:ascii="仿宋_GB2312" w:eastAsia="仿宋_GB2312" w:hAnsi="Calibri" w:cs="Times New Roman"/>
                <w:kern w:val="2"/>
                <w:sz w:val="32"/>
                <w:szCs w:val="32"/>
              </w:rPr>
              <w:t>20</w:t>
            </w:r>
            <w:r>
              <w:rPr>
                <w:rFonts w:ascii="仿宋_GB2312" w:eastAsia="仿宋_GB2312" w:hAnsi="Calibri" w:cs="Times New Roman" w:hint="eastAsia"/>
                <w:kern w:val="2"/>
                <w:sz w:val="32"/>
                <w:szCs w:val="32"/>
              </w:rPr>
              <w:t>20年春季、夏季普通高校生统一考试及录取。</w:t>
            </w:r>
            <w:r>
              <w:rPr>
                <w:rFonts w:ascii="仿宋_GB2312" w:eastAsia="仿宋_GB2312" w:hAnsi="Calibri" w:cs="Times New Roman"/>
                <w:kern w:val="2"/>
                <w:sz w:val="32"/>
                <w:szCs w:val="32"/>
              </w:rPr>
              <w:t> </w:t>
            </w:r>
          </w:p>
        </w:tc>
      </w:tr>
      <w:tr w:rsidR="00810965">
        <w:trPr>
          <w:tblCellSpacing w:w="15" w:type="dxa"/>
        </w:trPr>
        <w:tc>
          <w:tcPr>
            <w:tcW w:w="8768" w:type="dxa"/>
            <w:tcMar>
              <w:top w:w="15" w:type="dxa"/>
              <w:left w:w="15" w:type="dxa"/>
              <w:bottom w:w="15" w:type="dxa"/>
              <w:right w:w="15" w:type="dxa"/>
            </w:tcMar>
          </w:tcPr>
          <w:p w:rsidR="00810965" w:rsidRDefault="00C06F99" w:rsidP="00505FA9">
            <w:pPr>
              <w:widowControl w:val="0"/>
              <w:spacing w:line="600" w:lineRule="exact"/>
              <w:ind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lastRenderedPageBreak/>
              <w:t>第六章</w:t>
            </w:r>
            <w:r>
              <w:rPr>
                <w:rFonts w:ascii="黑体" w:eastAsia="黑体" w:hAnsi="Calibri" w:cs="Times New Roman"/>
                <w:kern w:val="2"/>
                <w:sz w:val="32"/>
                <w:szCs w:val="32"/>
              </w:rPr>
              <w:t xml:space="preserve">  </w:t>
            </w:r>
            <w:r>
              <w:rPr>
                <w:rFonts w:ascii="黑体" w:eastAsia="黑体" w:hAnsi="Calibri" w:cs="Times New Roman" w:hint="eastAsia"/>
                <w:kern w:val="2"/>
                <w:sz w:val="32"/>
                <w:szCs w:val="32"/>
              </w:rPr>
              <w:t>收退费政策</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第二十一条</w:t>
            </w:r>
            <w:r>
              <w:rPr>
                <w:rFonts w:ascii="楷体_GB2312" w:eastAsia="楷体_GB2312" w:hAnsi="Calibri" w:cs="Times New Roman"/>
                <w:kern w:val="2"/>
                <w:sz w:val="32"/>
                <w:szCs w:val="32"/>
              </w:rPr>
              <w:t xml:space="preserve"> </w:t>
            </w:r>
            <w:r>
              <w:rPr>
                <w:rFonts w:ascii="楷体_GB2312" w:eastAsia="楷体_GB2312" w:hAnsi="Calibri" w:cs="Times New Roman" w:hint="eastAsia"/>
                <w:kern w:val="2"/>
                <w:sz w:val="32"/>
                <w:szCs w:val="32"/>
              </w:rPr>
              <w:t>收费标准</w:t>
            </w:r>
            <w:r>
              <w:rPr>
                <w:rFonts w:ascii="仿宋_GB2312" w:eastAsia="仿宋_GB2312" w:hAnsi="Calibri" w:cs="Times New Roman"/>
                <w:kern w:val="2"/>
                <w:sz w:val="32"/>
                <w:szCs w:val="32"/>
              </w:rPr>
              <w:t xml:space="preserve">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在山东省物价局、财政厅、教育厅制定的收费标准内执行。学费按学年度收取。</w:t>
            </w:r>
            <w:r>
              <w:rPr>
                <w:rFonts w:ascii="仿宋_GB2312" w:eastAsia="仿宋_GB2312" w:hAnsi="Calibri" w:cs="Times New Roman"/>
                <w:kern w:val="2"/>
                <w:sz w:val="32"/>
                <w:szCs w:val="32"/>
              </w:rPr>
              <w:t xml:space="preserve">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 xml:space="preserve">1.环境工程技术、环境监测与控制技术、机械制造与自动化、物联网应用技术、电子商务学费5000元/年/生；工业机器人技术学费7800元/年/生。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2.学生公寓住宿收费标准：</w:t>
            </w:r>
            <w:r>
              <w:rPr>
                <w:rFonts w:ascii="仿宋_GB2312" w:eastAsia="仿宋_GB2312" w:hAnsi="Calibri" w:cs="Times New Roman"/>
                <w:kern w:val="2"/>
                <w:sz w:val="32"/>
                <w:szCs w:val="32"/>
              </w:rPr>
              <w:t xml:space="preserve"> 6</w:t>
            </w:r>
            <w:r>
              <w:rPr>
                <w:rFonts w:ascii="仿宋_GB2312" w:eastAsia="仿宋_GB2312" w:hAnsi="Calibri" w:cs="Times New Roman" w:hint="eastAsia"/>
                <w:kern w:val="2"/>
                <w:sz w:val="32"/>
                <w:szCs w:val="32"/>
              </w:rPr>
              <w:t>人间1200元</w:t>
            </w:r>
            <w:r>
              <w:rPr>
                <w:rFonts w:ascii="仿宋_GB2312" w:eastAsia="仿宋_GB2312" w:hAnsi="Calibri" w:cs="Times New Roman"/>
                <w:kern w:val="2"/>
                <w:sz w:val="32"/>
                <w:szCs w:val="32"/>
              </w:rPr>
              <w:t>/</w:t>
            </w:r>
            <w:r>
              <w:rPr>
                <w:rFonts w:ascii="仿宋_GB2312" w:eastAsia="仿宋_GB2312" w:hAnsi="Calibri" w:cs="Times New Roman" w:hint="eastAsia"/>
                <w:kern w:val="2"/>
                <w:sz w:val="32"/>
                <w:szCs w:val="32"/>
              </w:rPr>
              <w:t>年；</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第二十二条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退费按照《山东省高等学校收费管理办法》（鲁政办字〔</w:t>
            </w:r>
            <w:r>
              <w:rPr>
                <w:rFonts w:ascii="仿宋_GB2312" w:eastAsia="仿宋_GB2312" w:hAnsi="Calibri" w:cs="Times New Roman"/>
                <w:kern w:val="2"/>
                <w:sz w:val="32"/>
                <w:szCs w:val="32"/>
              </w:rPr>
              <w:t>2018</w:t>
            </w:r>
            <w:r>
              <w:rPr>
                <w:rFonts w:ascii="仿宋_GB2312" w:eastAsia="仿宋_GB2312" w:hAnsi="Calibri" w:cs="Times New Roman" w:hint="eastAsia"/>
                <w:kern w:val="2"/>
                <w:sz w:val="32"/>
                <w:szCs w:val="32"/>
              </w:rPr>
              <w:t>〕</w:t>
            </w:r>
            <w:r>
              <w:rPr>
                <w:rFonts w:ascii="仿宋_GB2312" w:eastAsia="仿宋_GB2312" w:hAnsi="Calibri" w:cs="Times New Roman"/>
                <w:kern w:val="2"/>
                <w:sz w:val="32"/>
                <w:szCs w:val="32"/>
              </w:rPr>
              <w:t xml:space="preserve">98 </w:t>
            </w:r>
            <w:r>
              <w:rPr>
                <w:rFonts w:ascii="仿宋_GB2312" w:eastAsia="仿宋_GB2312" w:hAnsi="Calibri" w:cs="Times New Roman" w:hint="eastAsia"/>
                <w:kern w:val="2"/>
                <w:sz w:val="32"/>
                <w:szCs w:val="32"/>
              </w:rPr>
              <w:t>号）有关规定执行。</w:t>
            </w:r>
          </w:p>
          <w:p w:rsidR="00810965" w:rsidRDefault="00C06F99" w:rsidP="00505FA9">
            <w:pPr>
              <w:widowControl w:val="0"/>
              <w:spacing w:line="600" w:lineRule="exact"/>
              <w:ind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t>第七章  资助政策</w:t>
            </w:r>
          </w:p>
          <w:p w:rsidR="00810965" w:rsidRDefault="00C06F99">
            <w:pPr>
              <w:widowControl w:val="0"/>
              <w:spacing w:line="600" w:lineRule="exact"/>
              <w:ind w:firstLineChars="200" w:firstLine="640"/>
              <w:jc w:val="both"/>
              <w:rPr>
                <w:rFonts w:ascii="楷体_GB2312" w:eastAsia="楷体_GB2312" w:hAnsi="Calibri" w:cs="Times New Roman"/>
                <w:kern w:val="2"/>
                <w:sz w:val="32"/>
                <w:szCs w:val="32"/>
              </w:rPr>
            </w:pPr>
            <w:r>
              <w:rPr>
                <w:rFonts w:ascii="楷体_GB2312" w:eastAsia="楷体_GB2312" w:hAnsi="Calibri" w:cs="Times New Roman" w:hint="eastAsia"/>
                <w:kern w:val="2"/>
                <w:sz w:val="32"/>
                <w:szCs w:val="32"/>
              </w:rPr>
              <w:t>第二十三条  资助特困生政策：</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1、设立特困生救助基金，对特困生学费实行全部或部分减免制度。</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2、设立勤工俭学岗位，对家庭困难的同学提供资助。</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3、实行奖学金制度，对品学兼优的特困生重点奖励。</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lastRenderedPageBreak/>
              <w:t>4、设立贫困生助学贷款。</w:t>
            </w:r>
          </w:p>
        </w:tc>
      </w:tr>
      <w:tr w:rsidR="00810965">
        <w:trPr>
          <w:tblCellSpacing w:w="15" w:type="dxa"/>
        </w:trPr>
        <w:tc>
          <w:tcPr>
            <w:tcW w:w="8768" w:type="dxa"/>
            <w:tcMar>
              <w:top w:w="15" w:type="dxa"/>
              <w:left w:w="15" w:type="dxa"/>
              <w:bottom w:w="15" w:type="dxa"/>
              <w:right w:w="15" w:type="dxa"/>
            </w:tcMar>
          </w:tcPr>
          <w:p w:rsidR="00810965" w:rsidRDefault="00C06F99" w:rsidP="00505FA9">
            <w:pPr>
              <w:widowControl w:val="0"/>
              <w:spacing w:line="600" w:lineRule="exact"/>
              <w:ind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lastRenderedPageBreak/>
              <w:t>第八章</w:t>
            </w:r>
            <w:r>
              <w:rPr>
                <w:rFonts w:ascii="黑体" w:eastAsia="黑体" w:hAnsi="Calibri" w:cs="Times New Roman"/>
                <w:kern w:val="2"/>
                <w:sz w:val="32"/>
                <w:szCs w:val="32"/>
              </w:rPr>
              <w:t xml:space="preserve">  </w:t>
            </w:r>
            <w:r>
              <w:rPr>
                <w:rFonts w:ascii="黑体" w:eastAsia="黑体" w:hAnsi="Calibri" w:cs="Times New Roman" w:hint="eastAsia"/>
                <w:kern w:val="2"/>
                <w:sz w:val="32"/>
                <w:szCs w:val="32"/>
              </w:rPr>
              <w:t>资格复查与证书颁发</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第二十四条</w:t>
            </w:r>
            <w:r>
              <w:rPr>
                <w:rFonts w:ascii="楷体_GB2312" w:eastAsia="楷体_GB2312" w:hAnsi="Calibri" w:cs="Times New Roman"/>
                <w:kern w:val="2"/>
                <w:sz w:val="32"/>
                <w:szCs w:val="32"/>
              </w:rPr>
              <w:t xml:space="preserve"> </w:t>
            </w:r>
            <w:r>
              <w:rPr>
                <w:rFonts w:ascii="楷体_GB2312" w:eastAsia="楷体_GB2312" w:hAnsi="Calibri" w:cs="Times New Roman" w:hint="eastAsia"/>
                <w:kern w:val="2"/>
                <w:sz w:val="32"/>
                <w:szCs w:val="32"/>
              </w:rPr>
              <w:t>新生报到和资格审查</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1.</w:t>
            </w:r>
            <w:r>
              <w:rPr>
                <w:rFonts w:ascii="仿宋_GB2312" w:eastAsia="仿宋_GB2312" w:hAnsi="Calibri" w:cs="Times New Roman" w:hint="eastAsia"/>
                <w:kern w:val="2"/>
                <w:sz w:val="32"/>
                <w:szCs w:val="32"/>
              </w:rPr>
              <w:t>学生须凭录取通知书，在指定时间内到我院办理报到手续，逾期不报到者，按自动放弃入学资格处理。</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2.</w:t>
            </w:r>
            <w:r>
              <w:rPr>
                <w:rFonts w:ascii="仿宋_GB2312" w:eastAsia="仿宋_GB2312" w:hAnsi="Calibri" w:cs="Times New Roman" w:hint="eastAsia"/>
                <w:kern w:val="2"/>
                <w:sz w:val="32"/>
                <w:szCs w:val="32"/>
              </w:rPr>
              <w:t>新生入学后，学院按照规定进行政治、文化、健康等方面的入学资格复查。</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3.</w:t>
            </w:r>
            <w:r>
              <w:rPr>
                <w:rFonts w:ascii="仿宋_GB2312" w:eastAsia="仿宋_GB2312" w:hAnsi="Calibri" w:cs="Times New Roman" w:hint="eastAsia"/>
                <w:kern w:val="2"/>
                <w:sz w:val="32"/>
                <w:szCs w:val="32"/>
              </w:rPr>
              <w:t>对在报名和考试过程中有弄虚作假或其他违纪违规行为的考生，将报</w:t>
            </w:r>
            <w:r w:rsidR="00D8632D">
              <w:rPr>
                <w:rFonts w:ascii="仿宋_GB2312" w:eastAsia="仿宋_GB2312" w:hAnsi="Calibri" w:cs="Times New Roman" w:hint="eastAsia"/>
                <w:kern w:val="2"/>
                <w:sz w:val="32"/>
                <w:szCs w:val="32"/>
              </w:rPr>
              <w:t>上级主管部门</w:t>
            </w:r>
            <w:r>
              <w:rPr>
                <w:rFonts w:ascii="仿宋_GB2312" w:eastAsia="仿宋_GB2312" w:hAnsi="Calibri" w:cs="Times New Roman" w:hint="eastAsia"/>
                <w:kern w:val="2"/>
                <w:sz w:val="32"/>
                <w:szCs w:val="32"/>
              </w:rPr>
              <w:t>，取消其入学资格。对在复查中发现的其他问题，按《潍坊环境工程职业学院学籍管理规定》处理。</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4.</w:t>
            </w:r>
            <w:r>
              <w:rPr>
                <w:rFonts w:ascii="仿宋_GB2312" w:eastAsia="仿宋_GB2312" w:hAnsi="Calibri" w:cs="Times New Roman" w:hint="eastAsia"/>
                <w:kern w:val="2"/>
                <w:sz w:val="32"/>
                <w:szCs w:val="32"/>
              </w:rPr>
              <w:t>被学院单独招生和综合评价招生录取的考生，入学后与普通高校统一招生考试录取新生享受同等待遇。通过单独招生和综合评价招生录取的学生学业期满，成绩合格，颁发与普通高校统一招生考试录取的学生相同的</w:t>
            </w:r>
            <w:r w:rsidR="00A238F3">
              <w:rPr>
                <w:rFonts w:ascii="仿宋_GB2312" w:eastAsia="仿宋_GB2312" w:hAnsi="Calibri" w:cs="Times New Roman" w:hint="eastAsia"/>
                <w:kern w:val="2"/>
                <w:sz w:val="32"/>
                <w:szCs w:val="32"/>
              </w:rPr>
              <w:t>学历</w:t>
            </w:r>
            <w:r>
              <w:rPr>
                <w:rFonts w:ascii="仿宋_GB2312" w:eastAsia="仿宋_GB2312" w:hAnsi="Calibri" w:cs="Times New Roman" w:hint="eastAsia"/>
                <w:kern w:val="2"/>
                <w:sz w:val="32"/>
                <w:szCs w:val="32"/>
              </w:rPr>
              <w:t>证书。</w:t>
            </w:r>
            <w:r>
              <w:rPr>
                <w:rFonts w:ascii="仿宋_GB2312" w:eastAsia="仿宋_GB2312" w:hAnsi="Calibri" w:cs="Times New Roman"/>
                <w:kern w:val="2"/>
                <w:sz w:val="32"/>
                <w:szCs w:val="32"/>
              </w:rPr>
              <w:t xml:space="preserve">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第二十五条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 xml:space="preserve">颁发学历证书的学校名称：潍坊环境工程职业学院，证书种类：普通高等教育专科学历证书。     </w:t>
            </w:r>
          </w:p>
        </w:tc>
      </w:tr>
      <w:tr w:rsidR="00810965">
        <w:trPr>
          <w:tblCellSpacing w:w="15" w:type="dxa"/>
        </w:trPr>
        <w:tc>
          <w:tcPr>
            <w:tcW w:w="8768" w:type="dxa"/>
            <w:tcMar>
              <w:top w:w="15" w:type="dxa"/>
              <w:left w:w="15" w:type="dxa"/>
              <w:bottom w:w="15" w:type="dxa"/>
              <w:right w:w="15" w:type="dxa"/>
            </w:tcMar>
          </w:tcPr>
          <w:p w:rsidR="00810965" w:rsidRDefault="00C06F99" w:rsidP="00505FA9">
            <w:pPr>
              <w:widowControl w:val="0"/>
              <w:spacing w:line="600" w:lineRule="exact"/>
              <w:ind w:firstLineChars="200" w:firstLine="640"/>
              <w:jc w:val="center"/>
              <w:rPr>
                <w:rFonts w:ascii="黑体" w:eastAsia="黑体" w:hAnsi="Calibri" w:cs="Times New Roman"/>
                <w:kern w:val="2"/>
                <w:sz w:val="32"/>
                <w:szCs w:val="32"/>
              </w:rPr>
            </w:pPr>
            <w:r>
              <w:rPr>
                <w:rFonts w:ascii="黑体" w:eastAsia="黑体" w:hAnsi="Calibri" w:cs="Times New Roman" w:hint="eastAsia"/>
                <w:kern w:val="2"/>
                <w:sz w:val="32"/>
                <w:szCs w:val="32"/>
              </w:rPr>
              <w:t>第九章</w:t>
            </w:r>
            <w:r>
              <w:rPr>
                <w:rFonts w:ascii="黑体" w:eastAsia="黑体" w:hAnsi="Calibri" w:cs="Times New Roman"/>
                <w:kern w:val="2"/>
                <w:sz w:val="32"/>
                <w:szCs w:val="32"/>
              </w:rPr>
              <w:t xml:space="preserve">  </w:t>
            </w:r>
            <w:r>
              <w:rPr>
                <w:rFonts w:ascii="黑体" w:eastAsia="黑体" w:hAnsi="Calibri" w:cs="Times New Roman" w:hint="eastAsia"/>
                <w:kern w:val="2"/>
                <w:sz w:val="32"/>
                <w:szCs w:val="32"/>
              </w:rPr>
              <w:t>附则</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第二十六条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本章程未尽事宜，按上级有关规定执行。本章程若有与上级有关政策不一致之处，以国家和上级有关政策为准。</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第二十七条</w:t>
            </w: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本章程由潍坊环境工程职业学院招生就业处负责解释。</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lastRenderedPageBreak/>
              <w:t>学院地址：山东省潍坊市昌邑市院校中街217号</w:t>
            </w:r>
            <w:r>
              <w:rPr>
                <w:rFonts w:ascii="仿宋_GB2312" w:eastAsia="仿宋_GB2312" w:hAnsi="Calibri" w:cs="Times New Roman"/>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招生咨询：</w:t>
            </w:r>
            <w:r>
              <w:rPr>
                <w:rFonts w:ascii="仿宋_GB2312" w:eastAsia="仿宋_GB2312" w:hAnsi="Calibri" w:cs="Times New Roman"/>
                <w:kern w:val="2"/>
                <w:sz w:val="32"/>
                <w:szCs w:val="32"/>
              </w:rPr>
              <w:t> </w:t>
            </w:r>
            <w:r>
              <w:rPr>
                <w:rFonts w:ascii="仿宋_GB2312" w:eastAsia="仿宋_GB2312" w:hAnsi="Calibri" w:cs="Times New Roman" w:hint="eastAsia"/>
                <w:kern w:val="2"/>
                <w:sz w:val="32"/>
                <w:szCs w:val="32"/>
              </w:rPr>
              <w:t>0536-7030333   0536-2079888</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投诉电话：0536-7323888</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学院网址：</w:t>
            </w:r>
            <w:r>
              <w:rPr>
                <w:rFonts w:ascii="仿宋_GB2312" w:eastAsia="仿宋_GB2312" w:hAnsi="Calibri" w:cs="Times New Roman"/>
                <w:kern w:val="2"/>
                <w:sz w:val="32"/>
                <w:szCs w:val="32"/>
              </w:rPr>
              <w:t>http://</w:t>
            </w:r>
            <w:r>
              <w:rPr>
                <w:rFonts w:ascii="仿宋_GB2312" w:eastAsia="仿宋_GB2312" w:hAnsi="Calibri" w:cs="Times New Roman" w:hint="eastAsia"/>
                <w:kern w:val="2"/>
                <w:sz w:val="32"/>
                <w:szCs w:val="32"/>
              </w:rPr>
              <w:t>www.wfhgzxy.com</w:t>
            </w:r>
            <w:r>
              <w:rPr>
                <w:rFonts w:ascii="仿宋_GB2312" w:eastAsia="仿宋_GB2312" w:hAnsi="Calibri" w:cs="Times New Roman" w:hint="eastAsia"/>
                <w:kern w:val="2"/>
                <w:sz w:val="32"/>
                <w:szCs w:val="32"/>
              </w:rPr>
              <w:t> </w:t>
            </w:r>
          </w:p>
          <w:p w:rsidR="00810965" w:rsidRDefault="00C06F99">
            <w:pPr>
              <w:widowControl w:val="0"/>
              <w:spacing w:line="6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 xml:space="preserve">  </w:t>
            </w:r>
          </w:p>
        </w:tc>
      </w:tr>
    </w:tbl>
    <w:p w:rsidR="00810965" w:rsidRDefault="00C06F99">
      <w:pPr>
        <w:spacing w:before="100" w:beforeAutospacing="1" w:after="100" w:afterAutospacing="1" w:line="600" w:lineRule="exact"/>
        <w:ind w:firstLine="560"/>
        <w:rPr>
          <w:rFonts w:ascii="仿宋_GB2312" w:eastAsia="仿宋_GB2312"/>
          <w:sz w:val="32"/>
          <w:szCs w:val="32"/>
        </w:rPr>
      </w:pPr>
      <w:r>
        <w:rPr>
          <w:rFonts w:ascii="仿宋_GB2312" w:eastAsia="仿宋_GB2312"/>
          <w:sz w:val="32"/>
          <w:szCs w:val="32"/>
        </w:rPr>
        <w:lastRenderedPageBreak/>
        <w:t xml:space="preserve"> </w:t>
      </w:r>
    </w:p>
    <w:p w:rsidR="00810965" w:rsidRDefault="00810965">
      <w:pPr>
        <w:spacing w:before="100" w:beforeAutospacing="1" w:after="100" w:afterAutospacing="1" w:line="600" w:lineRule="exact"/>
        <w:ind w:firstLine="560"/>
        <w:rPr>
          <w:rFonts w:ascii="仿宋_GB2312" w:eastAsia="仿宋_GB2312"/>
          <w:sz w:val="32"/>
          <w:szCs w:val="32"/>
        </w:rPr>
      </w:pPr>
    </w:p>
    <w:p w:rsidR="00810965" w:rsidRDefault="00810965">
      <w:pPr>
        <w:spacing w:line="600" w:lineRule="exact"/>
      </w:pPr>
    </w:p>
    <w:sectPr w:rsidR="00810965">
      <w:footerReference w:type="default" r:id="rId11"/>
      <w:pgSz w:w="11906" w:h="16839"/>
      <w:pgMar w:top="1134" w:right="1701" w:bottom="1134" w:left="170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81" w:rsidRDefault="005C6781">
      <w:r>
        <w:separator/>
      </w:r>
    </w:p>
  </w:endnote>
  <w:endnote w:type="continuationSeparator" w:id="0">
    <w:p w:rsidR="005C6781" w:rsidRDefault="005C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65" w:rsidRDefault="005C6781">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810965" w:rsidRDefault="00C06F99">
                <w:pPr>
                  <w:pStyle w:val="a3"/>
                </w:pPr>
                <w:r>
                  <w:rPr>
                    <w:rFonts w:hint="eastAsia"/>
                  </w:rPr>
                  <w:fldChar w:fldCharType="begin"/>
                </w:r>
                <w:r>
                  <w:rPr>
                    <w:rFonts w:hint="eastAsia"/>
                  </w:rPr>
                  <w:instrText xml:space="preserve"> PAGE  \* MERGEFORMAT </w:instrText>
                </w:r>
                <w:r>
                  <w:rPr>
                    <w:rFonts w:hint="eastAsia"/>
                  </w:rPr>
                  <w:fldChar w:fldCharType="separate"/>
                </w:r>
                <w:r w:rsidR="00DE6FC4">
                  <w:rPr>
                    <w:noProof/>
                  </w:rPr>
                  <w:t>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81" w:rsidRDefault="005C6781">
      <w:r>
        <w:separator/>
      </w:r>
    </w:p>
  </w:footnote>
  <w:footnote w:type="continuationSeparator" w:id="0">
    <w:p w:rsidR="005C6781" w:rsidRDefault="005C6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054A4F"/>
    <w:multiLevelType w:val="singleLevel"/>
    <w:tmpl w:val="D8054A4F"/>
    <w:lvl w:ilvl="0">
      <w:start w:val="1"/>
      <w:numFmt w:val="decimal"/>
      <w:lvlText w:val="%1."/>
      <w:lvlJc w:val="left"/>
      <w:pPr>
        <w:tabs>
          <w:tab w:val="left" w:pos="312"/>
        </w:tabs>
      </w:pPr>
    </w:lvl>
  </w:abstractNum>
  <w:abstractNum w:abstractNumId="1">
    <w:nsid w:val="46CC5267"/>
    <w:multiLevelType w:val="multilevel"/>
    <w:tmpl w:val="46CC5267"/>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435E"/>
    <w:rsid w:val="0002604A"/>
    <w:rsid w:val="000524C8"/>
    <w:rsid w:val="0005286D"/>
    <w:rsid w:val="00090265"/>
    <w:rsid w:val="000976AA"/>
    <w:rsid w:val="000C0BDD"/>
    <w:rsid w:val="000D0E4D"/>
    <w:rsid w:val="000E5E05"/>
    <w:rsid w:val="00132DE6"/>
    <w:rsid w:val="0016213A"/>
    <w:rsid w:val="001D41CB"/>
    <w:rsid w:val="001F56D4"/>
    <w:rsid w:val="00220BAA"/>
    <w:rsid w:val="002532F3"/>
    <w:rsid w:val="00302983"/>
    <w:rsid w:val="00305CD9"/>
    <w:rsid w:val="003245AC"/>
    <w:rsid w:val="00364F49"/>
    <w:rsid w:val="003E483C"/>
    <w:rsid w:val="00437386"/>
    <w:rsid w:val="00492C89"/>
    <w:rsid w:val="004B7075"/>
    <w:rsid w:val="004D5FF1"/>
    <w:rsid w:val="0050196A"/>
    <w:rsid w:val="00503954"/>
    <w:rsid w:val="00505B83"/>
    <w:rsid w:val="00505FA9"/>
    <w:rsid w:val="00565E67"/>
    <w:rsid w:val="005A1A7F"/>
    <w:rsid w:val="005C6781"/>
    <w:rsid w:val="005E5182"/>
    <w:rsid w:val="00600C34"/>
    <w:rsid w:val="00634F24"/>
    <w:rsid w:val="006428CD"/>
    <w:rsid w:val="00697FB3"/>
    <w:rsid w:val="007312B4"/>
    <w:rsid w:val="007329B2"/>
    <w:rsid w:val="00776319"/>
    <w:rsid w:val="007B4384"/>
    <w:rsid w:val="007C43DE"/>
    <w:rsid w:val="007D2348"/>
    <w:rsid w:val="007D61B1"/>
    <w:rsid w:val="007D6BA9"/>
    <w:rsid w:val="00810965"/>
    <w:rsid w:val="008B6650"/>
    <w:rsid w:val="008E4B32"/>
    <w:rsid w:val="009A435E"/>
    <w:rsid w:val="009E40EA"/>
    <w:rsid w:val="00A060C0"/>
    <w:rsid w:val="00A238F3"/>
    <w:rsid w:val="00A70C9E"/>
    <w:rsid w:val="00A760E4"/>
    <w:rsid w:val="00A96650"/>
    <w:rsid w:val="00AE5CC6"/>
    <w:rsid w:val="00B01B32"/>
    <w:rsid w:val="00B7665B"/>
    <w:rsid w:val="00B82E5E"/>
    <w:rsid w:val="00BA4FE0"/>
    <w:rsid w:val="00BA5224"/>
    <w:rsid w:val="00BD4CA9"/>
    <w:rsid w:val="00BE7E16"/>
    <w:rsid w:val="00BF2E41"/>
    <w:rsid w:val="00C03585"/>
    <w:rsid w:val="00C06F99"/>
    <w:rsid w:val="00CA4EFC"/>
    <w:rsid w:val="00CC7373"/>
    <w:rsid w:val="00D16D6E"/>
    <w:rsid w:val="00D8632D"/>
    <w:rsid w:val="00DC6CDF"/>
    <w:rsid w:val="00DD3EC8"/>
    <w:rsid w:val="00DE6FC4"/>
    <w:rsid w:val="00E346BC"/>
    <w:rsid w:val="00E62E9F"/>
    <w:rsid w:val="00E73BC9"/>
    <w:rsid w:val="00F83F64"/>
    <w:rsid w:val="00FA1E92"/>
    <w:rsid w:val="00FC416E"/>
    <w:rsid w:val="00FF6DEA"/>
    <w:rsid w:val="0523116E"/>
    <w:rsid w:val="0C791084"/>
    <w:rsid w:val="134276C1"/>
    <w:rsid w:val="1398455F"/>
    <w:rsid w:val="1635071B"/>
    <w:rsid w:val="19D94DDE"/>
    <w:rsid w:val="1A997BD1"/>
    <w:rsid w:val="3D3D476D"/>
    <w:rsid w:val="3FE27B64"/>
    <w:rsid w:val="44C60D3F"/>
    <w:rsid w:val="460667F0"/>
    <w:rsid w:val="4CB74646"/>
    <w:rsid w:val="58FF7F0F"/>
    <w:rsid w:val="5BD303BB"/>
    <w:rsid w:val="5E634754"/>
    <w:rsid w:val="60904CAF"/>
    <w:rsid w:val="66E02BFA"/>
    <w:rsid w:val="6E591998"/>
    <w:rsid w:val="71113D9F"/>
    <w:rsid w:val="71165732"/>
    <w:rsid w:val="7363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045CFF31-6922-4143-B613-B8D707C6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font01">
    <w:name w:val="font0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style01">
    <w:name w:val="fontstyle01"/>
    <w:qFormat/>
    <w:rPr>
      <w:rFonts w:ascii="仿宋_GB2312" w:eastAsia="仿宋_GB2312" w:hint="eastAsia"/>
      <w:color w:val="000000"/>
      <w:sz w:val="32"/>
      <w:szCs w:val="32"/>
    </w:rPr>
  </w:style>
  <w:style w:type="paragraph" w:styleId="a7">
    <w:name w:val="Balloon Text"/>
    <w:basedOn w:val="a"/>
    <w:link w:val="Char1"/>
    <w:uiPriority w:val="99"/>
    <w:semiHidden/>
    <w:unhideWhenUsed/>
    <w:rsid w:val="005E5182"/>
    <w:rPr>
      <w:sz w:val="18"/>
      <w:szCs w:val="18"/>
    </w:rPr>
  </w:style>
  <w:style w:type="character" w:customStyle="1" w:styleId="Char1">
    <w:name w:val="批注框文本 Char"/>
    <w:basedOn w:val="a0"/>
    <w:link w:val="a7"/>
    <w:uiPriority w:val="99"/>
    <w:semiHidden/>
    <w:rsid w:val="005E5182"/>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ytqcvc.cn/&#65289;&#28857;&#20987;&#39128;&#31383;" TargetMode="External"/><Relationship Id="rId4" Type="http://schemas.openxmlformats.org/officeDocument/2006/relationships/styles" Target="styles.xml"/><Relationship Id="rId9" Type="http://schemas.openxmlformats.org/officeDocument/2006/relationships/hyperlink" Target="http://www.ytqcvc.cn/&#65289;&#28857;&#20987;&#39128;&#313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01B2A-3555-4F39-98BB-893BFD69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Pages>
  <Words>745</Words>
  <Characters>4248</Characters>
  <Application>Microsoft Office Word</Application>
  <DocSecurity>0</DocSecurity>
  <Lines>35</Lines>
  <Paragraphs>9</Paragraphs>
  <ScaleCrop>false</ScaleCrop>
  <Company>China</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微软中国</cp:lastModifiedBy>
  <cp:revision>101</cp:revision>
  <cp:lastPrinted>2020-05-05T02:35:00Z</cp:lastPrinted>
  <dcterms:created xsi:type="dcterms:W3CDTF">2020-05-01T08:18:00Z</dcterms:created>
  <dcterms:modified xsi:type="dcterms:W3CDTF">2020-05-14T02:44:00Z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