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3DD9" w:rsidRPr="008B3DD9" w:rsidRDefault="008B3DD9" w:rsidP="004B7EC5">
      <w:pPr>
        <w:jc w:val="center"/>
        <w:rPr>
          <w:rFonts w:ascii="黑体" w:eastAsia="黑体" w:hAnsi="黑体"/>
          <w:sz w:val="32"/>
          <w:szCs w:val="32"/>
        </w:rPr>
      </w:pPr>
    </w:p>
    <w:p w:rsidR="008B3DD9" w:rsidRDefault="008B3DD9" w:rsidP="004B7EC5">
      <w:pPr>
        <w:jc w:val="center"/>
        <w:rPr>
          <w:rFonts w:ascii="黑体" w:eastAsia="黑体" w:hAnsi="黑体"/>
          <w:sz w:val="32"/>
          <w:szCs w:val="32"/>
        </w:rPr>
      </w:pPr>
    </w:p>
    <w:p w:rsidR="008B3DD9" w:rsidRPr="002315D2" w:rsidRDefault="008B3DD9" w:rsidP="008B3DD9">
      <w:pPr>
        <w:spacing w:line="1360" w:lineRule="exact"/>
        <w:jc w:val="center"/>
        <w:rPr>
          <w:rFonts w:ascii="黑体" w:eastAsia="黑体" w:hAnsi="黑体"/>
          <w:spacing w:val="44"/>
          <w:sz w:val="72"/>
          <w:szCs w:val="72"/>
        </w:rPr>
      </w:pPr>
      <w:r w:rsidRPr="002315D2">
        <w:rPr>
          <w:rFonts w:ascii="黑体" w:eastAsia="黑体" w:hAnsi="黑体" w:hint="eastAsia"/>
          <w:spacing w:val="44"/>
          <w:sz w:val="72"/>
          <w:szCs w:val="72"/>
        </w:rPr>
        <w:t>阳谷县西湖中学</w:t>
      </w:r>
    </w:p>
    <w:p w:rsidR="008B3DD9" w:rsidRPr="002315D2" w:rsidRDefault="008B3DD9" w:rsidP="008B3DD9">
      <w:pPr>
        <w:spacing w:line="1360" w:lineRule="exact"/>
        <w:jc w:val="center"/>
        <w:rPr>
          <w:rFonts w:ascii="黑体" w:eastAsia="黑体" w:hAnsi="黑体"/>
          <w:spacing w:val="44"/>
          <w:sz w:val="72"/>
          <w:szCs w:val="72"/>
        </w:rPr>
      </w:pPr>
      <w:r w:rsidRPr="002315D2">
        <w:rPr>
          <w:rFonts w:ascii="黑体" w:eastAsia="黑体" w:hAnsi="黑体" w:hint="eastAsia"/>
          <w:spacing w:val="44"/>
          <w:sz w:val="72"/>
          <w:szCs w:val="72"/>
        </w:rPr>
        <w:t>主要先进事迹材料</w:t>
      </w:r>
    </w:p>
    <w:p w:rsidR="008B3DD9" w:rsidRDefault="008B3DD9" w:rsidP="008B3DD9">
      <w:pPr>
        <w:spacing w:line="1520" w:lineRule="exact"/>
        <w:jc w:val="center"/>
        <w:rPr>
          <w:rFonts w:asciiTheme="majorEastAsia" w:eastAsiaTheme="majorEastAsia" w:hAnsiTheme="majorEastAsia"/>
          <w:spacing w:val="44"/>
          <w:sz w:val="84"/>
          <w:szCs w:val="84"/>
        </w:rPr>
      </w:pPr>
    </w:p>
    <w:p w:rsidR="008B3DD9" w:rsidRDefault="008B3DD9" w:rsidP="008B3DD9">
      <w:pPr>
        <w:spacing w:line="1520" w:lineRule="exact"/>
        <w:jc w:val="center"/>
        <w:rPr>
          <w:rFonts w:asciiTheme="majorEastAsia" w:eastAsiaTheme="majorEastAsia" w:hAnsiTheme="majorEastAsia"/>
          <w:spacing w:val="44"/>
          <w:sz w:val="84"/>
          <w:szCs w:val="84"/>
        </w:rPr>
      </w:pPr>
    </w:p>
    <w:p w:rsidR="008B3DD9" w:rsidRDefault="008B3DD9" w:rsidP="008B3DD9">
      <w:pPr>
        <w:spacing w:line="1520" w:lineRule="exact"/>
        <w:rPr>
          <w:rFonts w:asciiTheme="majorEastAsia" w:eastAsiaTheme="majorEastAsia" w:hAnsiTheme="majorEastAsia"/>
          <w:spacing w:val="44"/>
          <w:sz w:val="84"/>
          <w:szCs w:val="84"/>
        </w:rPr>
      </w:pPr>
    </w:p>
    <w:p w:rsidR="008B3DD9" w:rsidRDefault="008B3DD9" w:rsidP="008B3DD9">
      <w:pPr>
        <w:spacing w:line="1520" w:lineRule="exact"/>
        <w:jc w:val="center"/>
        <w:rPr>
          <w:rFonts w:asciiTheme="majorEastAsia" w:eastAsiaTheme="majorEastAsia" w:hAnsiTheme="majorEastAsia"/>
          <w:spacing w:val="44"/>
          <w:sz w:val="52"/>
          <w:szCs w:val="52"/>
        </w:rPr>
      </w:pPr>
    </w:p>
    <w:p w:rsidR="008B3DD9" w:rsidRPr="00C741A6" w:rsidRDefault="008B3DD9" w:rsidP="008B3DD9">
      <w:pPr>
        <w:spacing w:line="1520" w:lineRule="exact"/>
        <w:jc w:val="center"/>
        <w:rPr>
          <w:rFonts w:asciiTheme="majorEastAsia" w:eastAsiaTheme="majorEastAsia" w:hAnsiTheme="majorEastAsia"/>
          <w:spacing w:val="44"/>
          <w:sz w:val="44"/>
          <w:szCs w:val="44"/>
        </w:rPr>
      </w:pPr>
      <w:r w:rsidRPr="00C741A6">
        <w:rPr>
          <w:rFonts w:asciiTheme="majorEastAsia" w:eastAsiaTheme="majorEastAsia" w:hAnsiTheme="majorEastAsia" w:hint="eastAsia"/>
          <w:spacing w:val="44"/>
          <w:sz w:val="44"/>
          <w:szCs w:val="44"/>
        </w:rPr>
        <w:t>2019年7月</w:t>
      </w:r>
    </w:p>
    <w:p w:rsidR="008B3DD9" w:rsidRDefault="008B3DD9" w:rsidP="008B3DD9">
      <w:pPr>
        <w:jc w:val="center"/>
        <w:rPr>
          <w:rFonts w:asciiTheme="majorEastAsia" w:eastAsiaTheme="majorEastAsia" w:hAnsiTheme="majorEastAsia"/>
          <w:spacing w:val="44"/>
          <w:sz w:val="84"/>
          <w:szCs w:val="84"/>
        </w:rPr>
      </w:pPr>
    </w:p>
    <w:p w:rsidR="008B3DD9" w:rsidRPr="00155257" w:rsidRDefault="008B3DD9" w:rsidP="008B3DD9">
      <w:pPr>
        <w:jc w:val="center"/>
        <w:rPr>
          <w:rFonts w:asciiTheme="majorEastAsia" w:eastAsiaTheme="majorEastAsia" w:hAnsiTheme="majorEastAsia"/>
          <w:spacing w:val="44"/>
          <w:sz w:val="28"/>
          <w:szCs w:val="28"/>
        </w:rPr>
      </w:pPr>
    </w:p>
    <w:p w:rsidR="008B3DD9" w:rsidRPr="00657318" w:rsidRDefault="008B3DD9" w:rsidP="00C741A6">
      <w:pPr>
        <w:spacing w:afterLines="50"/>
        <w:jc w:val="center"/>
        <w:rPr>
          <w:rFonts w:ascii="方正小标宋简体" w:eastAsia="方正小标宋简体"/>
          <w:sz w:val="44"/>
          <w:szCs w:val="44"/>
        </w:rPr>
      </w:pPr>
      <w:r w:rsidRPr="00657318">
        <w:rPr>
          <w:rFonts w:ascii="方正小标宋简体" w:eastAsia="方正小标宋简体" w:hint="eastAsia"/>
          <w:sz w:val="44"/>
          <w:szCs w:val="44"/>
        </w:rPr>
        <w:lastRenderedPageBreak/>
        <w:t>阳谷县西湖中学主要先进事迹材料</w:t>
      </w:r>
    </w:p>
    <w:p w:rsidR="00657318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阳谷县西湖中学成立于1960年，位于阳谷县西湖镇驻地，是一所现代化的农村乡镇中学，占地106亩，在校生1100余人，教职工109人。学校目前拥有“山东省规范化学校”、“山东省教学示范学校”、</w:t>
      </w:r>
      <w:r w:rsidRPr="00657318">
        <w:rPr>
          <w:rFonts w:ascii="仿宋_GB2312" w:eastAsia="仿宋_GB2312" w:hint="eastAsia"/>
          <w:sz w:val="32"/>
          <w:szCs w:val="32"/>
        </w:rPr>
        <w:t xml:space="preserve"> </w:t>
      </w:r>
      <w:r w:rsidRPr="00657318">
        <w:rPr>
          <w:rFonts w:ascii="仿宋_GB2312" w:eastAsia="仿宋_GB2312" w:hAnsi="华文仿宋" w:hint="eastAsia"/>
          <w:sz w:val="32"/>
          <w:szCs w:val="32"/>
        </w:rPr>
        <w:t>“山东省平安校园示范校”</w:t>
      </w:r>
      <w:r w:rsidRPr="00657318">
        <w:rPr>
          <w:rFonts w:ascii="仿宋_GB2312" w:eastAsia="仿宋_GB2312" w:hint="eastAsia"/>
          <w:sz w:val="32"/>
          <w:szCs w:val="32"/>
        </w:rPr>
        <w:t>、</w:t>
      </w:r>
      <w:r w:rsidRPr="00657318">
        <w:rPr>
          <w:rFonts w:ascii="仿宋_GB2312" w:eastAsia="仿宋_GB2312" w:hAnsi="华文仿宋" w:hint="eastAsia"/>
          <w:sz w:val="32"/>
          <w:szCs w:val="32"/>
        </w:rPr>
        <w:t>“山东省素质教育先进单位”等各类称号100余项。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  <w:proofErr w:type="gramStart"/>
      <w:r w:rsidRPr="00657318">
        <w:rPr>
          <w:rFonts w:ascii="黑体" w:eastAsia="黑体" w:hAnsi="黑体" w:hint="eastAsia"/>
          <w:sz w:val="32"/>
          <w:szCs w:val="32"/>
        </w:rPr>
        <w:t>一</w:t>
      </w:r>
      <w:proofErr w:type="gramEnd"/>
      <w:r w:rsidRPr="00657318">
        <w:rPr>
          <w:rFonts w:ascii="黑体" w:eastAsia="黑体" w:hAnsi="黑体" w:hint="eastAsia"/>
          <w:sz w:val="32"/>
          <w:szCs w:val="32"/>
        </w:rPr>
        <w:t>．立德树人成效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在“明德求真、博学笃志”校训指引下，我们坚持德才并重，着眼于让学生先成人、再成才，正契合了“立德树人”。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1.课堂改革，确保阵地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我们充分发挥课堂在立德树人工作中的阵地作用，逐步确立了“3311”课堂教学模式。3个模块：语文、英语为一模块；数学、理化为一模块；政史地生为一模块3个环节：预习探索、展示提高、达标反馈；1个教学案； 1个“学生发展”中心。其核心思想是“开放课堂、解放学生”，强调学生自学能力和情感态度、价值观的培养，为各学科开展立德树人工作提供了良好平台。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2、活动载体，拓展深化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根据学生特点和学生实际，我们实行“3G”层级教育模式，开展分年级、分层次、有侧重的立德树人教育。初</w:t>
      </w:r>
      <w:proofErr w:type="gramStart"/>
      <w:r w:rsidRPr="00657318">
        <w:rPr>
          <w:rFonts w:ascii="仿宋_GB2312" w:eastAsia="仿宋_GB2312" w:hAnsi="华文仿宋" w:hint="eastAsia"/>
          <w:sz w:val="32"/>
          <w:szCs w:val="32"/>
        </w:rPr>
        <w:t>一</w:t>
      </w:r>
      <w:proofErr w:type="gramEnd"/>
      <w:r w:rsidRPr="00657318">
        <w:rPr>
          <w:rFonts w:ascii="仿宋_GB2312" w:eastAsia="仿宋_GB2312" w:hAnsi="华文仿宋" w:hint="eastAsia"/>
          <w:sz w:val="32"/>
          <w:szCs w:val="32"/>
        </w:rPr>
        <w:t>重点进行行为习惯教育，初二重点进行感恩教育，初三重点进行励志教育。“3G”层级德育教育通过有计划、有侧重地向学生传授做人的知识和道理，促使他们形成良好的行为习惯</w:t>
      </w:r>
      <w:r w:rsidRPr="00657318">
        <w:rPr>
          <w:rFonts w:ascii="仿宋_GB2312" w:eastAsia="仿宋_GB2312" w:hAnsi="华文仿宋" w:hint="eastAsia"/>
          <w:sz w:val="32"/>
          <w:szCs w:val="32"/>
        </w:rPr>
        <w:lastRenderedPageBreak/>
        <w:t>和高尚的道德情操。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3、家校互动，形成合力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 xml:space="preserve">我校坚持开门办学，创办家长学校，成立家长委员会，让家长充分参与到学校教育教学中来，有力地促进了立德树人工作的开展。我们以年级为单位，每学期进行两轮“家长进校园”活动，开放办学成为常态。其流程概括起来就是“一听二看三体验四反馈五整改”，“听”是听课，让家长参与课堂教学，观察孩子的课堂表现、教师的工作状态；“看”是参观学校；“体验”是家长在校就餐、就寝；“反馈”是家长对学校和老师提出的意见和建议；“整改”是针对意见和建议，学校分工落实，改进工作。 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  <w:r w:rsidRPr="00657318">
        <w:rPr>
          <w:rFonts w:ascii="黑体" w:eastAsia="黑体" w:hAnsi="黑体" w:hint="eastAsia"/>
          <w:sz w:val="32"/>
          <w:szCs w:val="32"/>
        </w:rPr>
        <w:t>二．党建工作和思想政治工作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近年来，学校党支部把管党治党工作与教育教学工作紧密结合起来，推动全面从严治党不断向纵深发展。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1.落实“三会一课”制度。学校指定</w:t>
      </w:r>
      <w:proofErr w:type="gramStart"/>
      <w:r w:rsidRPr="00657318">
        <w:rPr>
          <w:rFonts w:ascii="仿宋_GB2312" w:eastAsia="仿宋_GB2312" w:hAnsi="华文仿宋" w:hint="eastAsia"/>
          <w:sz w:val="32"/>
          <w:szCs w:val="32"/>
        </w:rPr>
        <w:t>期召开</w:t>
      </w:r>
      <w:proofErr w:type="gramEnd"/>
      <w:r w:rsidRPr="00657318">
        <w:rPr>
          <w:rFonts w:ascii="仿宋_GB2312" w:eastAsia="仿宋_GB2312" w:hAnsi="华文仿宋" w:hint="eastAsia"/>
          <w:sz w:val="32"/>
          <w:szCs w:val="32"/>
        </w:rPr>
        <w:t>党员大会、支部委员会、党小组会，按时上好党课。认真组织召开组织生活会。通过加强党员教育，提高党员素质，全校20名党员，无论在业务或是生活上，身先士卒，无私奉献，受到师生和家长的高度评价。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2.与时俱进讲政治。牢固树立“四个意识”，积极落实上级党委决策，推动上级精神在西湖中学落地生根。以开展“一对一”</w:t>
      </w:r>
      <w:proofErr w:type="gramStart"/>
      <w:r w:rsidRPr="00657318">
        <w:rPr>
          <w:rFonts w:ascii="仿宋_GB2312" w:eastAsia="仿宋_GB2312" w:hAnsi="华文仿宋" w:hint="eastAsia"/>
          <w:sz w:val="32"/>
          <w:szCs w:val="32"/>
        </w:rPr>
        <w:t>帮扶学困生</w:t>
      </w:r>
      <w:proofErr w:type="gramEnd"/>
      <w:r w:rsidRPr="00657318">
        <w:rPr>
          <w:rFonts w:ascii="仿宋_GB2312" w:eastAsia="仿宋_GB2312" w:hAnsi="华文仿宋" w:hint="eastAsia"/>
          <w:sz w:val="32"/>
          <w:szCs w:val="32"/>
        </w:rPr>
        <w:t>、贫困生活动，“百名教师家访活动”，“不让一个学生辍学”为主题的捐助活动等为切入点，推动全体党员净化思想，提高觉悟，</w:t>
      </w:r>
      <w:proofErr w:type="gramStart"/>
      <w:r w:rsidRPr="00657318">
        <w:rPr>
          <w:rFonts w:ascii="仿宋_GB2312" w:eastAsia="仿宋_GB2312" w:hAnsi="华文仿宋" w:hint="eastAsia"/>
          <w:sz w:val="32"/>
          <w:szCs w:val="32"/>
        </w:rPr>
        <w:t>践行</w:t>
      </w:r>
      <w:proofErr w:type="gramEnd"/>
      <w:r w:rsidRPr="00657318">
        <w:rPr>
          <w:rFonts w:ascii="仿宋_GB2312" w:eastAsia="仿宋_GB2312" w:hAnsi="华文仿宋" w:hint="eastAsia"/>
          <w:sz w:val="32"/>
          <w:szCs w:val="32"/>
        </w:rPr>
        <w:t>党的宗旨。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lastRenderedPageBreak/>
        <w:t>3、严格落实民主集中制要求。坚持集体领导、充分发扬民主，严格按程序决策、按规矩办事，学校坚持工作日每周五召开党政会，年底11月前召开教代会，对于涉及师生利益的重大问题全部提交集体研究，集思广益，做到民主决策。</w:t>
      </w:r>
    </w:p>
    <w:p w:rsidR="008B3DD9" w:rsidRPr="00657318" w:rsidRDefault="00657318" w:rsidP="00657318">
      <w:pPr>
        <w:spacing w:line="560" w:lineRule="exact"/>
        <w:ind w:firstLineChars="200" w:firstLine="640"/>
        <w:rPr>
          <w:rFonts w:ascii="黑体" w:eastAsia="黑体" w:hAnsi="黑体"/>
          <w:sz w:val="32"/>
          <w:szCs w:val="32"/>
        </w:rPr>
      </w:pPr>
      <w:r w:rsidRPr="00657318">
        <w:rPr>
          <w:rFonts w:ascii="黑体" w:eastAsia="黑体" w:hAnsi="黑体" w:hint="eastAsia"/>
          <w:sz w:val="32"/>
          <w:szCs w:val="32"/>
        </w:rPr>
        <w:t>三、办学实绩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近些年来，学校共举办各类市、县现场会9次，办学经验得到逐步推广，取得了良好的社会效益。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2007年，学校代表全省农村初中接受省教育厅素质教育评估专家团的调研，得到了专家们的充分肯定。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2009年5月，山东省教学示范学校命名表彰会议在青岛召开，学校被评为“山东省教学示范学校”，并在会议上作了典型发言。同年，学校获得“山东省素质教育先进单位”称号。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2011年1月，学校被评为“山东省规范化学校”。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2011年4月，学校代表聊城市4处省级教学示范学校接受复评，并以第一名的高分通过验收。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2014年，获得“山东省教育系统先进集体”称号。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2015年，由于工作突出，获得“阳谷教育特殊贡献奖”。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2016年，成为山东省中小学安全文化建设重点研究基地。</w:t>
      </w:r>
    </w:p>
    <w:p w:rsidR="008B3DD9" w:rsidRPr="00657318" w:rsidRDefault="008B3DD9" w:rsidP="00657318">
      <w:pPr>
        <w:spacing w:line="560" w:lineRule="exact"/>
        <w:ind w:firstLineChars="200" w:firstLine="640"/>
        <w:rPr>
          <w:rFonts w:ascii="仿宋_GB2312" w:eastAsia="仿宋_GB2312" w:hAnsi="华文仿宋"/>
          <w:sz w:val="32"/>
          <w:szCs w:val="32"/>
        </w:rPr>
      </w:pPr>
      <w:r w:rsidRPr="00657318">
        <w:rPr>
          <w:rFonts w:ascii="仿宋_GB2312" w:eastAsia="仿宋_GB2312" w:hAnsi="华文仿宋" w:hint="eastAsia"/>
          <w:sz w:val="32"/>
          <w:szCs w:val="32"/>
        </w:rPr>
        <w:t>2019年4月，被评为“山东省平安校园示范校”。</w:t>
      </w:r>
    </w:p>
    <w:p w:rsidR="008B3DD9" w:rsidRDefault="008B3DD9" w:rsidP="008B3DD9">
      <w:pPr>
        <w:ind w:firstLineChars="200" w:firstLine="560"/>
        <w:rPr>
          <w:rFonts w:ascii="华文仿宋" w:eastAsia="华文仿宋" w:hAnsi="华文仿宋"/>
          <w:sz w:val="28"/>
          <w:szCs w:val="28"/>
        </w:rPr>
      </w:pPr>
    </w:p>
    <w:p w:rsidR="008B3DD9" w:rsidRDefault="008B3DD9" w:rsidP="008B3DD9">
      <w:pPr>
        <w:ind w:firstLineChars="200" w:firstLine="560"/>
        <w:rPr>
          <w:rFonts w:ascii="华文仿宋" w:eastAsia="华文仿宋" w:hAnsi="华文仿宋"/>
          <w:sz w:val="28"/>
          <w:szCs w:val="28"/>
        </w:rPr>
      </w:pPr>
    </w:p>
    <w:p w:rsidR="008B3DD9" w:rsidRDefault="008B3DD9" w:rsidP="008B3DD9">
      <w:pPr>
        <w:ind w:firstLineChars="200" w:firstLine="560"/>
        <w:rPr>
          <w:rFonts w:ascii="华文仿宋" w:eastAsia="华文仿宋" w:hAnsi="华文仿宋"/>
          <w:sz w:val="28"/>
          <w:szCs w:val="28"/>
        </w:rPr>
      </w:pPr>
    </w:p>
    <w:p w:rsidR="00E74734" w:rsidRDefault="004B7EC5" w:rsidP="008B3DD9">
      <w:pPr>
        <w:jc w:val="center"/>
        <w:rPr>
          <w:rFonts w:ascii="黑体" w:eastAsia="黑体" w:hAnsi="黑体"/>
          <w:sz w:val="32"/>
          <w:szCs w:val="32"/>
        </w:rPr>
      </w:pPr>
      <w:r w:rsidRPr="004B7EC5">
        <w:rPr>
          <w:rFonts w:ascii="黑体" w:eastAsia="黑体" w:hAnsi="黑体" w:hint="eastAsia"/>
          <w:sz w:val="32"/>
          <w:szCs w:val="32"/>
        </w:rPr>
        <w:lastRenderedPageBreak/>
        <w:t>主要荣誉照片</w:t>
      </w:r>
    </w:p>
    <w:p w:rsidR="008B3DD9" w:rsidRDefault="008B3DD9" w:rsidP="004B7EC5">
      <w:pPr>
        <w:jc w:val="center"/>
        <w:rPr>
          <w:rFonts w:ascii="黑体" w:eastAsia="黑体" w:hAnsi="黑体"/>
          <w:sz w:val="32"/>
          <w:szCs w:val="32"/>
        </w:rPr>
      </w:pPr>
    </w:p>
    <w:p w:rsidR="00DA1B43" w:rsidRDefault="00DA1B43" w:rsidP="00DA1B43">
      <w:pPr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/>
          <w:noProof/>
          <w:sz w:val="32"/>
          <w:szCs w:val="32"/>
        </w:rPr>
        <w:drawing>
          <wp:inline distT="0" distB="0" distL="0" distR="0">
            <wp:extent cx="5591175" cy="3763816"/>
            <wp:effectExtent l="0" t="0" r="0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_10_29_14_46_IMG_1024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4699" b="21412"/>
                    <a:stretch/>
                  </pic:blipFill>
                  <pic:spPr bwMode="auto">
                    <a:xfrm>
                      <a:off x="0" y="0"/>
                      <a:ext cx="5598590" cy="37688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A1B43" w:rsidRDefault="00DA1B43" w:rsidP="004B7EC5">
      <w:pPr>
        <w:jc w:val="center"/>
        <w:rPr>
          <w:rFonts w:ascii="黑体" w:eastAsia="黑体" w:hAnsi="黑体"/>
          <w:sz w:val="32"/>
          <w:szCs w:val="32"/>
        </w:rPr>
      </w:pPr>
    </w:p>
    <w:p w:rsidR="004B7EC5" w:rsidRDefault="00DA1B43" w:rsidP="008B3DD9">
      <w:pPr>
        <w:jc w:val="center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/>
          <w:noProof/>
          <w:sz w:val="32"/>
          <w:szCs w:val="32"/>
        </w:rPr>
        <w:drawing>
          <wp:inline distT="0" distB="0" distL="0" distR="0">
            <wp:extent cx="5410200" cy="3583032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915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6506" b="22855"/>
                    <a:stretch/>
                  </pic:blipFill>
                  <pic:spPr bwMode="auto">
                    <a:xfrm>
                      <a:off x="0" y="0"/>
                      <a:ext cx="5417375" cy="35877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B7EC5" w:rsidRDefault="004B7EC5" w:rsidP="008B3DD9">
      <w:pPr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/>
          <w:noProof/>
          <w:sz w:val="32"/>
          <w:szCs w:val="32"/>
        </w:rPr>
        <w:lastRenderedPageBreak/>
        <w:drawing>
          <wp:inline distT="0" distB="0" distL="0" distR="0">
            <wp:extent cx="5694462" cy="3390900"/>
            <wp:effectExtent l="0" t="0" r="190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620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1721" cy="3389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7EC5" w:rsidRDefault="004B7EC5" w:rsidP="004B7EC5">
      <w:pPr>
        <w:jc w:val="center"/>
        <w:rPr>
          <w:rFonts w:ascii="黑体" w:eastAsia="黑体" w:hAnsi="黑体"/>
          <w:sz w:val="32"/>
          <w:szCs w:val="32"/>
        </w:rPr>
      </w:pPr>
    </w:p>
    <w:p w:rsidR="004B7EC5" w:rsidRDefault="004B7EC5" w:rsidP="004B7EC5">
      <w:pPr>
        <w:jc w:val="center"/>
        <w:rPr>
          <w:rFonts w:ascii="黑体" w:eastAsia="黑体" w:hAnsi="黑体"/>
          <w:noProof/>
          <w:sz w:val="32"/>
          <w:szCs w:val="32"/>
        </w:rPr>
      </w:pPr>
    </w:p>
    <w:p w:rsidR="004B7EC5" w:rsidRDefault="004B7EC5" w:rsidP="004B7EC5">
      <w:pPr>
        <w:jc w:val="center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/>
          <w:noProof/>
          <w:sz w:val="32"/>
          <w:szCs w:val="32"/>
        </w:rPr>
        <w:drawing>
          <wp:inline distT="0" distB="0" distL="0" distR="0">
            <wp:extent cx="5742193" cy="37719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DC1072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9429" cy="3770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7EC5" w:rsidRDefault="004B7EC5" w:rsidP="004B7EC5">
      <w:pPr>
        <w:jc w:val="center"/>
        <w:rPr>
          <w:rFonts w:ascii="黑体" w:eastAsia="黑体" w:hAnsi="黑体"/>
          <w:sz w:val="32"/>
          <w:szCs w:val="32"/>
        </w:rPr>
      </w:pPr>
    </w:p>
    <w:p w:rsidR="004B7EC5" w:rsidRDefault="004B7EC5" w:rsidP="004B7EC5">
      <w:pPr>
        <w:jc w:val="center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noProof/>
          <w:sz w:val="32"/>
          <w:szCs w:val="32"/>
        </w:rPr>
        <w:lastRenderedPageBreak/>
        <w:drawing>
          <wp:inline distT="0" distB="0" distL="0" distR="0">
            <wp:extent cx="5274310" cy="3474085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618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74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7EC5" w:rsidRDefault="004B7EC5" w:rsidP="004B7EC5">
      <w:pPr>
        <w:jc w:val="center"/>
        <w:rPr>
          <w:rFonts w:ascii="黑体" w:eastAsia="黑体" w:hAnsi="黑体"/>
          <w:sz w:val="32"/>
          <w:szCs w:val="32"/>
        </w:rPr>
      </w:pPr>
    </w:p>
    <w:p w:rsidR="004B7EC5" w:rsidRDefault="004B7EC5" w:rsidP="004B7EC5">
      <w:pPr>
        <w:jc w:val="center"/>
        <w:rPr>
          <w:rFonts w:ascii="黑体" w:eastAsia="黑体" w:hAnsi="黑体"/>
          <w:sz w:val="32"/>
          <w:szCs w:val="32"/>
        </w:rPr>
      </w:pPr>
    </w:p>
    <w:p w:rsidR="004B7EC5" w:rsidRDefault="004B7EC5" w:rsidP="004B7EC5">
      <w:pPr>
        <w:jc w:val="center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/>
          <w:noProof/>
          <w:sz w:val="32"/>
          <w:szCs w:val="32"/>
        </w:rPr>
        <w:drawing>
          <wp:inline distT="0" distB="0" distL="0" distR="0">
            <wp:extent cx="5274310" cy="337439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619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74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7EC5" w:rsidRDefault="004B7EC5" w:rsidP="004B7EC5">
      <w:pPr>
        <w:jc w:val="center"/>
        <w:rPr>
          <w:rFonts w:ascii="黑体" w:eastAsia="黑体" w:hAnsi="黑体"/>
          <w:sz w:val="32"/>
          <w:szCs w:val="32"/>
        </w:rPr>
      </w:pPr>
    </w:p>
    <w:p w:rsidR="004B7EC5" w:rsidRDefault="004B7EC5" w:rsidP="004B7EC5">
      <w:pPr>
        <w:jc w:val="center"/>
        <w:rPr>
          <w:rFonts w:ascii="黑体" w:eastAsia="黑体" w:hAnsi="黑体"/>
          <w:sz w:val="32"/>
          <w:szCs w:val="32"/>
        </w:rPr>
      </w:pPr>
    </w:p>
    <w:p w:rsidR="004B7EC5" w:rsidRDefault="004B7EC5" w:rsidP="004B7EC5">
      <w:pPr>
        <w:jc w:val="center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noProof/>
          <w:sz w:val="32"/>
          <w:szCs w:val="32"/>
        </w:rPr>
        <w:lastRenderedPageBreak/>
        <w:drawing>
          <wp:inline distT="0" distB="0" distL="0" distR="0">
            <wp:extent cx="5274310" cy="3956050"/>
            <wp:effectExtent l="0" t="0" r="2540" b="635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DC1002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0E5" w:rsidRDefault="00C100E5" w:rsidP="004B7EC5">
      <w:pPr>
        <w:jc w:val="center"/>
        <w:rPr>
          <w:rFonts w:ascii="黑体" w:eastAsia="黑体" w:hAnsi="黑体"/>
          <w:sz w:val="32"/>
          <w:szCs w:val="32"/>
        </w:rPr>
      </w:pPr>
    </w:p>
    <w:p w:rsidR="00C100E5" w:rsidRDefault="00C100E5" w:rsidP="004B7EC5">
      <w:pPr>
        <w:jc w:val="center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noProof/>
          <w:sz w:val="32"/>
          <w:szCs w:val="32"/>
        </w:rPr>
        <w:drawing>
          <wp:inline distT="0" distB="0" distL="0" distR="0">
            <wp:extent cx="5274310" cy="3999230"/>
            <wp:effectExtent l="0" t="0" r="2540" b="127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621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9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0E5" w:rsidRDefault="008B3DD9" w:rsidP="004B7EC5">
      <w:pPr>
        <w:jc w:val="center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/>
          <w:noProof/>
          <w:sz w:val="32"/>
          <w:szCs w:val="32"/>
        </w:rPr>
        <w:lastRenderedPageBreak/>
        <w:drawing>
          <wp:inline distT="0" distB="0" distL="0" distR="0">
            <wp:extent cx="5274310" cy="3707130"/>
            <wp:effectExtent l="0" t="0" r="254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截图20190711093954.p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0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00E5" w:rsidRDefault="008B3DD9" w:rsidP="004B7EC5">
      <w:pPr>
        <w:jc w:val="center"/>
        <w:rPr>
          <w:rFonts w:ascii="黑体" w:eastAsia="黑体" w:hAnsi="黑体"/>
          <w:sz w:val="32"/>
          <w:szCs w:val="32"/>
        </w:rPr>
      </w:pPr>
      <w:r w:rsidRPr="008B3DD9">
        <w:rPr>
          <w:rFonts w:ascii="黑体" w:eastAsia="黑体" w:hAnsi="黑体" w:hint="eastAsia"/>
          <w:sz w:val="32"/>
          <w:szCs w:val="32"/>
        </w:rPr>
        <w:t>全省“平安校园示范学校”推荐名单</w:t>
      </w:r>
    </w:p>
    <w:p w:rsidR="008B3DD9" w:rsidRDefault="008B3DD9" w:rsidP="004B7EC5">
      <w:pPr>
        <w:jc w:val="center"/>
        <w:rPr>
          <w:rFonts w:ascii="黑体" w:eastAsia="黑体" w:hAnsi="黑体"/>
          <w:sz w:val="32"/>
          <w:szCs w:val="32"/>
        </w:rPr>
      </w:pPr>
    </w:p>
    <w:p w:rsidR="004B7EC5" w:rsidRDefault="004B7EC5" w:rsidP="008B3DD9">
      <w:pPr>
        <w:jc w:val="left"/>
        <w:rPr>
          <w:rFonts w:ascii="黑体" w:eastAsia="黑体" w:hAnsi="黑体"/>
          <w:sz w:val="32"/>
          <w:szCs w:val="32"/>
        </w:rPr>
      </w:pPr>
    </w:p>
    <w:p w:rsidR="008B3DD9" w:rsidRDefault="008B3DD9" w:rsidP="008B3DD9">
      <w:pPr>
        <w:widowControl/>
        <w:spacing w:line="600" w:lineRule="exact"/>
        <w:rPr>
          <w:rFonts w:ascii="楷体_GB2312" w:eastAsia="楷体_GB2312" w:hAnsi="楷体_GB2312" w:cs="楷体_GB2312"/>
          <w:color w:val="333333"/>
          <w:kern w:val="0"/>
          <w:sz w:val="32"/>
          <w:szCs w:val="32"/>
        </w:rPr>
      </w:pPr>
      <w:r>
        <w:rPr>
          <w:rFonts w:ascii="楷体_GB2312" w:eastAsia="楷体_GB2312" w:hAnsi="楷体_GB2312" w:cs="楷体_GB2312" w:hint="eastAsia"/>
          <w:color w:val="333333"/>
          <w:kern w:val="0"/>
          <w:sz w:val="32"/>
          <w:szCs w:val="32"/>
        </w:rPr>
        <w:t>聊城市（11所）：</w:t>
      </w:r>
    </w:p>
    <w:p w:rsidR="008B3DD9" w:rsidRDefault="008B3DD9" w:rsidP="008B3DD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聊城幼儿师范学校  聊城第九中学  临清市第一中学</w:t>
      </w:r>
      <w:bookmarkStart w:id="0" w:name="_GoBack"/>
      <w:bookmarkEnd w:id="0"/>
    </w:p>
    <w:p w:rsidR="008B3DD9" w:rsidRPr="008B3DD9" w:rsidRDefault="008B3DD9" w:rsidP="008B3DD9">
      <w:pPr>
        <w:spacing w:line="600" w:lineRule="exact"/>
        <w:ind w:firstLineChars="200" w:firstLine="640"/>
        <w:rPr>
          <w:rFonts w:ascii="仿宋_GB2312" w:eastAsia="仿宋_GB2312" w:hAnsi="仿宋_GB2312" w:cs="仿宋_GB2312"/>
          <w:b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 xml:space="preserve">冠县第二实验小学  莘县翰林学校  </w:t>
      </w:r>
      <w:r w:rsidRPr="008B3DD9">
        <w:rPr>
          <w:rFonts w:ascii="仿宋_GB2312" w:eastAsia="仿宋_GB2312" w:hAnsi="仿宋_GB2312" w:cs="仿宋_GB2312" w:hint="eastAsia"/>
          <w:b/>
          <w:sz w:val="32"/>
          <w:szCs w:val="32"/>
        </w:rPr>
        <w:t>阳谷县西湖中学</w:t>
      </w:r>
    </w:p>
    <w:p w:rsidR="008B3DD9" w:rsidRDefault="008B3DD9" w:rsidP="008B3DD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东阿县实验中学  聊城高新区天津路小学</w:t>
      </w:r>
    </w:p>
    <w:p w:rsidR="008B3DD9" w:rsidRDefault="008B3DD9" w:rsidP="008B3DD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茌平县</w:t>
      </w:r>
      <w:proofErr w:type="gramStart"/>
      <w:r>
        <w:rPr>
          <w:rFonts w:ascii="仿宋_GB2312" w:eastAsia="仿宋_GB2312" w:hAnsi="仿宋_GB2312" w:cs="仿宋_GB2312" w:hint="eastAsia"/>
          <w:sz w:val="32"/>
          <w:szCs w:val="32"/>
        </w:rPr>
        <w:t>杜郎口</w:t>
      </w:r>
      <w:proofErr w:type="gramEnd"/>
      <w:r>
        <w:rPr>
          <w:rFonts w:ascii="仿宋_GB2312" w:eastAsia="仿宋_GB2312" w:hAnsi="仿宋_GB2312" w:cs="仿宋_GB2312" w:hint="eastAsia"/>
          <w:sz w:val="32"/>
          <w:szCs w:val="32"/>
        </w:rPr>
        <w:t xml:space="preserve">镇中学  高唐县第二实验小学  </w:t>
      </w:r>
    </w:p>
    <w:p w:rsidR="008B3DD9" w:rsidRDefault="008B3DD9" w:rsidP="008B3DD9">
      <w:pPr>
        <w:spacing w:line="600" w:lineRule="exact"/>
        <w:ind w:firstLineChars="200" w:firstLine="640"/>
        <w:rPr>
          <w:rFonts w:ascii="仿宋_GB2312" w:eastAsia="仿宋_GB2312" w:hAnsi="仿宋_GB2312" w:cs="仿宋_GB2312"/>
          <w:sz w:val="32"/>
          <w:szCs w:val="32"/>
        </w:rPr>
      </w:pPr>
      <w:r>
        <w:rPr>
          <w:rFonts w:ascii="仿宋_GB2312" w:eastAsia="仿宋_GB2312" w:hAnsi="仿宋_GB2312" w:cs="仿宋_GB2312" w:hint="eastAsia"/>
          <w:sz w:val="32"/>
          <w:szCs w:val="32"/>
        </w:rPr>
        <w:t>聊城经济技术开发区第二实验小学</w:t>
      </w:r>
    </w:p>
    <w:p w:rsidR="004B7EC5" w:rsidRPr="008B3DD9" w:rsidRDefault="004B7EC5" w:rsidP="004B7EC5">
      <w:pPr>
        <w:jc w:val="center"/>
        <w:rPr>
          <w:rFonts w:ascii="黑体" w:eastAsia="黑体" w:hAnsi="黑体"/>
          <w:sz w:val="32"/>
          <w:szCs w:val="32"/>
        </w:rPr>
      </w:pPr>
    </w:p>
    <w:sectPr w:rsidR="004B7EC5" w:rsidRPr="008B3DD9" w:rsidSect="002210D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77867" w:rsidRDefault="00577867" w:rsidP="008B3DD9">
      <w:r>
        <w:separator/>
      </w:r>
    </w:p>
  </w:endnote>
  <w:endnote w:type="continuationSeparator" w:id="0">
    <w:p w:rsidR="00577867" w:rsidRDefault="00577867" w:rsidP="008B3DD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2010601030101010101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华文仿宋">
    <w:altName w:val="STFangsong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楷体_GB2312">
    <w:altName w:val="楷体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77867" w:rsidRDefault="00577867" w:rsidP="008B3DD9">
      <w:r>
        <w:separator/>
      </w:r>
    </w:p>
  </w:footnote>
  <w:footnote w:type="continuationSeparator" w:id="0">
    <w:p w:rsidR="00577867" w:rsidRDefault="00577867" w:rsidP="008B3DD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819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63A5E"/>
    <w:rsid w:val="002210D8"/>
    <w:rsid w:val="004B7EC5"/>
    <w:rsid w:val="00577867"/>
    <w:rsid w:val="00657318"/>
    <w:rsid w:val="007F3AE0"/>
    <w:rsid w:val="008B3DD9"/>
    <w:rsid w:val="00963A5E"/>
    <w:rsid w:val="009A56E3"/>
    <w:rsid w:val="00C100E5"/>
    <w:rsid w:val="00C741A6"/>
    <w:rsid w:val="00D874F4"/>
    <w:rsid w:val="00DA1B43"/>
    <w:rsid w:val="00EC6B4C"/>
    <w:rsid w:val="00F522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10D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4B7EC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4B7EC5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B3DD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B3DD9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B3DD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B3DD9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4B7EC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4B7EC5"/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B3DD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4"/>
    <w:uiPriority w:val="99"/>
    <w:rsid w:val="008B3DD9"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rsid w:val="008B3DD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rsid w:val="008B3DD9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microsoft.com/office/2007/relationships/stylesWithEffects" Target="stylesWithEffects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9</Pages>
  <Words>262</Words>
  <Characters>1497</Characters>
  <Application>Microsoft Office Word</Application>
  <DocSecurity>0</DocSecurity>
  <Lines>12</Lines>
  <Paragraphs>3</Paragraphs>
  <ScaleCrop>false</ScaleCrop>
  <Company>Home</Company>
  <LinksUpToDate>false</LinksUpToDate>
  <CharactersWithSpaces>1756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lgl</cp:lastModifiedBy>
  <cp:revision>9</cp:revision>
  <cp:lastPrinted>2019-07-11T01:35:00Z</cp:lastPrinted>
  <dcterms:created xsi:type="dcterms:W3CDTF">2019-07-11T00:59:00Z</dcterms:created>
  <dcterms:modified xsi:type="dcterms:W3CDTF">2019-07-17T08:44:00Z</dcterms:modified>
</cp:coreProperties>
</file>