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firstLine="880" w:firstLineChars="200"/>
        <w:jc w:val="center"/>
        <w:textAlignment w:val="auto"/>
        <w:outlineLvl w:val="0"/>
        <w:rPr>
          <w:rFonts w:hint="eastAsia" w:ascii="方正小标宋简体" w:hAnsi="方正小标宋简体" w:eastAsia="方正小标宋简体" w:cs="方正小标宋简体"/>
          <w:b w:val="0"/>
          <w:bCs/>
          <w:color w:val="auto"/>
          <w:sz w:val="44"/>
        </w:rPr>
      </w:pPr>
      <w:bookmarkStart w:id="0" w:name="_GoBack"/>
      <w:bookmarkEnd w:id="0"/>
      <w:r>
        <w:rPr>
          <w:rFonts w:hint="eastAsia" w:ascii="方正小标宋简体" w:hAnsi="方正小标宋简体" w:eastAsia="方正小标宋简体" w:cs="方正小标宋简体"/>
          <w:b w:val="0"/>
          <w:bCs/>
          <w:color w:val="auto"/>
          <w:sz w:val="44"/>
        </w:rPr>
        <w:t>济南大学泉城学院</w:t>
      </w:r>
    </w:p>
    <w:p>
      <w:pPr>
        <w:keepNext w:val="0"/>
        <w:keepLines w:val="0"/>
        <w:pageBreakBefore w:val="0"/>
        <w:widowControl w:val="0"/>
        <w:kinsoku/>
        <w:wordWrap/>
        <w:overflowPunct/>
        <w:topLinePunct w:val="0"/>
        <w:autoSpaceDE/>
        <w:autoSpaceDN/>
        <w:bidi w:val="0"/>
        <w:adjustRightInd/>
        <w:snapToGrid/>
        <w:spacing w:line="760" w:lineRule="exact"/>
        <w:ind w:firstLine="880" w:firstLineChars="200"/>
        <w:jc w:val="center"/>
        <w:textAlignment w:val="auto"/>
        <w:outlineLvl w:val="0"/>
        <w:rPr>
          <w:rFonts w:ascii="Times New Roman" w:hAnsi="Times New Roman"/>
          <w:b w:val="0"/>
          <w:bCs/>
          <w:color w:val="auto"/>
          <w:sz w:val="44"/>
        </w:rPr>
      </w:pPr>
      <w:r>
        <w:rPr>
          <w:rFonts w:hint="eastAsia" w:ascii="方正小标宋简体" w:hAnsi="方正小标宋简体" w:eastAsia="方正小标宋简体" w:cs="方正小标宋简体"/>
          <w:b w:val="0"/>
          <w:bCs/>
          <w:color w:val="auto"/>
          <w:sz w:val="44"/>
          <w:szCs w:val="32"/>
        </w:rPr>
        <w:t>201</w:t>
      </w:r>
      <w:r>
        <w:rPr>
          <w:rFonts w:hint="eastAsia" w:ascii="方正小标宋简体" w:hAnsi="方正小标宋简体" w:eastAsia="方正小标宋简体" w:cs="方正小标宋简体"/>
          <w:b w:val="0"/>
          <w:bCs/>
          <w:color w:val="auto"/>
          <w:sz w:val="44"/>
          <w:szCs w:val="32"/>
          <w:lang w:val="en-US" w:eastAsia="zh-CN"/>
        </w:rPr>
        <w:t>9</w:t>
      </w:r>
      <w:r>
        <w:rPr>
          <w:rFonts w:hint="eastAsia" w:ascii="方正小标宋简体" w:hAnsi="方正小标宋简体" w:eastAsia="方正小标宋简体" w:cs="方正小标宋简体"/>
          <w:b w:val="0"/>
          <w:bCs/>
          <w:color w:val="auto"/>
          <w:sz w:val="44"/>
        </w:rPr>
        <w:t>年专升本招生章程</w:t>
      </w:r>
    </w:p>
    <w:p>
      <w:pPr>
        <w:keepNext w:val="0"/>
        <w:keepLines w:val="0"/>
        <w:pageBreakBefore w:val="0"/>
        <w:widowControl/>
        <w:shd w:val="clear" w:color="auto"/>
        <w:kinsoku/>
        <w:wordWrap/>
        <w:overflowPunct/>
        <w:topLinePunct w:val="0"/>
        <w:autoSpaceDE/>
        <w:autoSpaceDN/>
        <w:bidi w:val="0"/>
        <w:adjustRightInd/>
        <w:snapToGrid/>
        <w:spacing w:line="760" w:lineRule="exact"/>
        <w:ind w:firstLine="640" w:firstLineChars="200"/>
        <w:textAlignment w:val="auto"/>
        <w:rPr>
          <w:rFonts w:ascii="仿宋_GB2312" w:hAnsi="宋体"/>
          <w:color w:val="auto"/>
          <w:kern w:val="0"/>
          <w:sz w:val="32"/>
        </w:rPr>
      </w:pP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了保证济南大学泉城学院2019年专升本招生工作的顺利进行，维护学校和考生合法权益，根据《中华人民共和国教育法》、《中华人民共和国高等教育法》和教育部等相关文件精神，结合济南大学泉城学院招生工作的具体情况，制定本章程。</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hint="eastAsia" w:ascii="黑体" w:hAnsi="黑体" w:eastAsia="黑体" w:cs="黑体"/>
          <w:color w:val="auto"/>
          <w:kern w:val="44"/>
          <w:sz w:val="32"/>
        </w:rPr>
      </w:pPr>
      <w:r>
        <w:rPr>
          <w:rFonts w:hint="eastAsia" w:ascii="黑体" w:hAnsi="黑体" w:eastAsia="黑体" w:cs="黑体"/>
          <w:color w:val="auto"/>
          <w:kern w:val="44"/>
          <w:sz w:val="32"/>
        </w:rPr>
        <w:t>第一章  总则</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第一条</w:t>
      </w:r>
      <w:r>
        <w:rPr>
          <w:rFonts w:hint="eastAsia" w:ascii="仿宋_GB2312" w:hAnsi="宋体" w:eastAsia="仿宋_GB2312" w:cs="宋体"/>
          <w:color w:val="auto"/>
          <w:kern w:val="0"/>
          <w:sz w:val="32"/>
          <w:szCs w:val="32"/>
        </w:rPr>
        <w:t xml:space="preserve">  本章程适用于济南大学泉城学院专升本招生工作。</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第二条</w:t>
      </w:r>
      <w:r>
        <w:rPr>
          <w:rFonts w:hint="eastAsia" w:ascii="仿宋_GB2312" w:hAnsi="宋体" w:eastAsia="仿宋_GB2312" w:cs="宋体"/>
          <w:color w:val="auto"/>
          <w:kern w:val="0"/>
          <w:sz w:val="32"/>
          <w:szCs w:val="32"/>
        </w:rPr>
        <w:t xml:space="preserve">  济南大学泉城学院招生工作贯彻“公平竞争、公正选拔、公开程序，德智体美全面考核、综合评价、择优录取”的原则。</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第三条</w:t>
      </w:r>
      <w:r>
        <w:rPr>
          <w:rFonts w:hint="eastAsia" w:ascii="仿宋_GB2312" w:hAnsi="宋体" w:eastAsia="仿宋_GB2312" w:cs="宋体"/>
          <w:color w:val="auto"/>
          <w:kern w:val="0"/>
          <w:sz w:val="32"/>
          <w:szCs w:val="32"/>
        </w:rPr>
        <w:t xml:space="preserve">  济南大学泉城学院招生工作接受纪检监察部门、新闻媒体、考生及其家长以及社会各界的监督。</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hint="eastAsia" w:ascii="黑体" w:hAnsi="黑体" w:eastAsia="黑体" w:cs="黑体"/>
          <w:color w:val="auto"/>
          <w:kern w:val="44"/>
          <w:sz w:val="32"/>
        </w:rPr>
      </w:pPr>
      <w:r>
        <w:rPr>
          <w:rFonts w:hint="eastAsia" w:ascii="黑体" w:hAnsi="黑体" w:eastAsia="黑体" w:cs="黑体"/>
          <w:color w:val="auto"/>
          <w:kern w:val="44"/>
          <w:sz w:val="32"/>
        </w:rPr>
        <w:t>第二章  学校概况</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第四条</w:t>
      </w:r>
      <w:r>
        <w:rPr>
          <w:rFonts w:hint="eastAsia" w:ascii="仿宋_GB2312" w:hAnsi="宋体" w:eastAsia="仿宋_GB2312" w:cs="宋体"/>
          <w:color w:val="auto"/>
          <w:kern w:val="0"/>
          <w:sz w:val="32"/>
          <w:szCs w:val="32"/>
        </w:rPr>
        <w:t xml:space="preserve">  学校全称：济南大学泉城学院 </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第五条</w:t>
      </w:r>
      <w:r>
        <w:rPr>
          <w:rFonts w:hint="eastAsia" w:ascii="仿宋_GB2312" w:hAnsi="宋体" w:eastAsia="仿宋_GB2312" w:cs="宋体"/>
          <w:color w:val="auto"/>
          <w:kern w:val="0"/>
          <w:sz w:val="32"/>
          <w:szCs w:val="32"/>
        </w:rPr>
        <w:t xml:space="preserve">  学校代码：14002</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第六条</w:t>
      </w:r>
      <w:r>
        <w:rPr>
          <w:rFonts w:hint="eastAsia" w:ascii="仿宋_GB2312" w:hAnsi="宋体" w:eastAsia="仿宋_GB2312" w:cs="宋体"/>
          <w:color w:val="auto"/>
          <w:kern w:val="0"/>
          <w:sz w:val="32"/>
          <w:szCs w:val="32"/>
        </w:rPr>
        <w:t xml:space="preserve">  办学地点：山东省蓬莱市海滨西路34号</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第七条</w:t>
      </w:r>
      <w:r>
        <w:rPr>
          <w:rFonts w:hint="eastAsia" w:ascii="仿宋_GB2312" w:hAnsi="宋体" w:eastAsia="仿宋_GB2312" w:cs="宋体"/>
          <w:color w:val="auto"/>
          <w:kern w:val="0"/>
          <w:sz w:val="32"/>
          <w:szCs w:val="32"/>
        </w:rPr>
        <w:t xml:space="preserve">  学校办学层次及类型：全日制普通本科高等院校 独立学院</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第八条</w:t>
      </w:r>
      <w:r>
        <w:rPr>
          <w:rFonts w:hint="eastAsia" w:ascii="仿宋_GB2312" w:hAnsi="宋体" w:eastAsia="仿宋_GB2312" w:cs="宋体"/>
          <w:color w:val="auto"/>
          <w:kern w:val="0"/>
          <w:sz w:val="32"/>
          <w:szCs w:val="32"/>
        </w:rPr>
        <w:t xml:space="preserve">  创办时间及基本情况：济南大学泉城学院是国家教育部和山东省人民政府正式批准成立，实施本科层次学历教育的综合性高等院校。自2005年建校以来，学校依托济南大学雄厚的办学实力，坚持“以学生为本，以育人为主，以品牌立院”的办学理念，积极培养具有创新精神的高素质应用型人才。</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适应山东半岛蓝色经济区国家发展战略和黄河三角洲高效生态经济区发展规划，于2011年迁址蓬莱。学校位于海滨西路34号，规划占地1816亩，校舍面积17.5万平方米，图书馆藏书46万册，教学仪器设备总价值3900余万元，基础设施完备，教学科研条件优越，是一所环境优美的滨海大学。</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第九条</w:t>
      </w:r>
      <w:r>
        <w:rPr>
          <w:rFonts w:hint="eastAsia" w:ascii="仿宋_GB2312" w:hAnsi="宋体" w:eastAsia="仿宋_GB2312" w:cs="宋体"/>
          <w:color w:val="auto"/>
          <w:kern w:val="0"/>
          <w:sz w:val="32"/>
          <w:szCs w:val="32"/>
        </w:rPr>
        <w:t xml:space="preserve">  专业设置及办学条件：济南大学泉城学院设本科专业3</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个，专科专业</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个，涵盖经济学、管理学、文学、理学、工学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法学</w:t>
      </w:r>
      <w:r>
        <w:rPr>
          <w:rFonts w:hint="eastAsia" w:ascii="仿宋_GB2312" w:hAnsi="宋体" w:eastAsia="仿宋_GB2312" w:cs="宋体"/>
          <w:color w:val="auto"/>
          <w:kern w:val="0"/>
          <w:sz w:val="32"/>
          <w:szCs w:val="32"/>
        </w:rPr>
        <w:t>和艺术学</w:t>
      </w: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个学科门类，现有本、专科在校生8</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00余人，其中本科</w:t>
      </w:r>
      <w:r>
        <w:rPr>
          <w:rFonts w:hint="eastAsia" w:ascii="仿宋_GB2312" w:hAnsi="宋体" w:eastAsia="仿宋_GB2312" w:cs="宋体"/>
          <w:color w:val="auto"/>
          <w:kern w:val="0"/>
          <w:sz w:val="32"/>
          <w:szCs w:val="32"/>
          <w:lang w:val="en-US" w:eastAsia="zh-CN"/>
        </w:rPr>
        <w:t>70</w:t>
      </w:r>
      <w:r>
        <w:rPr>
          <w:rFonts w:hint="eastAsia" w:ascii="仿宋_GB2312" w:hAnsi="宋体" w:eastAsia="仿宋_GB2312" w:cs="宋体"/>
          <w:color w:val="auto"/>
          <w:kern w:val="0"/>
          <w:sz w:val="32"/>
          <w:szCs w:val="32"/>
        </w:rPr>
        <w:t>00余人。师资队伍以济南大学为依托形成了以学科带头人和骨干教师为核心，高级职称教师为主力，优秀中青年教师为支撑的高水平教师队伍。</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学校教风严谨、学风端正，多名</w:t>
      </w:r>
      <w:r>
        <w:rPr>
          <w:rFonts w:hint="eastAsia" w:ascii="仿宋_GB2312" w:hAnsi="宋体" w:eastAsia="仿宋_GB2312" w:cs="宋体"/>
          <w:color w:val="auto"/>
          <w:kern w:val="0"/>
          <w:sz w:val="32"/>
          <w:szCs w:val="32"/>
          <w:lang w:eastAsia="zh-CN"/>
        </w:rPr>
        <w:t>毕业生</w:t>
      </w:r>
      <w:r>
        <w:rPr>
          <w:rFonts w:hint="eastAsia" w:ascii="仿宋_GB2312" w:hAnsi="宋体" w:eastAsia="仿宋_GB2312" w:cs="宋体"/>
          <w:color w:val="auto"/>
          <w:kern w:val="0"/>
          <w:sz w:val="32"/>
          <w:szCs w:val="32"/>
        </w:rPr>
        <w:t>被北京大学、清华大学、浙江大学、复旦大学等国内知名高校录取；学校高度重视实践教学与创新教育，先后建立了工程训练中心和机械设计实验室等</w:t>
      </w:r>
      <w:r>
        <w:rPr>
          <w:rFonts w:hint="eastAsia" w:ascii="仿宋_GB2312" w:hAnsi="宋体" w:eastAsia="仿宋_GB2312" w:cs="宋体"/>
          <w:color w:val="auto"/>
          <w:kern w:val="0"/>
          <w:sz w:val="32"/>
          <w:szCs w:val="32"/>
          <w:lang w:val="en-US" w:eastAsia="zh-CN"/>
        </w:rPr>
        <w:t>66</w:t>
      </w:r>
      <w:r>
        <w:rPr>
          <w:rFonts w:hint="eastAsia" w:ascii="仿宋_GB2312" w:hAnsi="宋体" w:eastAsia="仿宋_GB2312" w:cs="宋体"/>
          <w:color w:val="auto"/>
          <w:kern w:val="0"/>
          <w:sz w:val="32"/>
          <w:szCs w:val="32"/>
        </w:rPr>
        <w:t>个实验室，确保了实验实训教学的正常开展。同时，立足于学校学科特点和专业优势，大力扶持我校科创品牌，形成了层级丰富又各具特色的科创竞赛平台，每年都积极组织学生团队参加全国大学生数学建模竞赛、全国大学生电子电路设计竞赛、挑战杯创业计划大赛、全国大学生机械创新设计大赛、机电产品创新设计竞赛等各类国家级、省级科技创新活动，近年来取得省级以上奖项</w:t>
      </w:r>
      <w:r>
        <w:rPr>
          <w:rFonts w:hint="eastAsia" w:ascii="仿宋_GB2312" w:hAnsi="宋体" w:eastAsia="仿宋_GB2312" w:cs="宋体"/>
          <w:color w:val="auto"/>
          <w:kern w:val="0"/>
          <w:sz w:val="32"/>
          <w:szCs w:val="32"/>
          <w:lang w:val="en-US" w:eastAsia="zh-CN"/>
        </w:rPr>
        <w:t>67</w:t>
      </w:r>
      <w:r>
        <w:rPr>
          <w:rFonts w:hint="eastAsia" w:ascii="仿宋_GB2312" w:hAnsi="宋体" w:eastAsia="仿宋_GB2312" w:cs="宋体"/>
          <w:color w:val="auto"/>
          <w:kern w:val="0"/>
          <w:sz w:val="32"/>
          <w:szCs w:val="32"/>
        </w:rPr>
        <w:t>0余个，体现了学校在培养学生科技创新</w:t>
      </w:r>
      <w:r>
        <w:rPr>
          <w:rFonts w:hint="eastAsia" w:ascii="仿宋_GB2312" w:hAnsi="宋体" w:eastAsia="仿宋_GB2312" w:cs="宋体"/>
          <w:color w:val="auto"/>
          <w:kern w:val="0"/>
          <w:sz w:val="32"/>
          <w:szCs w:val="32"/>
          <w:lang w:eastAsia="zh-CN"/>
        </w:rPr>
        <w:t>能力</w:t>
      </w:r>
      <w:r>
        <w:rPr>
          <w:rFonts w:hint="eastAsia" w:ascii="仿宋_GB2312" w:hAnsi="宋体" w:eastAsia="仿宋_GB2312" w:cs="宋体"/>
          <w:color w:val="auto"/>
          <w:kern w:val="0"/>
          <w:sz w:val="32"/>
          <w:szCs w:val="32"/>
        </w:rPr>
        <w:t>方面的特有优势。</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学校不断拓展国际交流与合作的新渠道，</w:t>
      </w:r>
      <w:r>
        <w:rPr>
          <w:rFonts w:hint="eastAsia" w:ascii="仿宋_GB2312" w:hAnsi="宋体" w:eastAsia="仿宋_GB2312" w:cs="宋体"/>
          <w:color w:val="auto"/>
          <w:kern w:val="0"/>
          <w:sz w:val="32"/>
          <w:szCs w:val="32"/>
          <w:lang w:val="en-US" w:eastAsia="zh-CN"/>
        </w:rPr>
        <w:t>对内实施“产教融合、协同育人、校企合作”培养模式，对外重视国际交流与合作，目前已</w:t>
      </w:r>
      <w:r>
        <w:rPr>
          <w:rFonts w:hint="eastAsia" w:ascii="仿宋_GB2312" w:hAnsi="宋体" w:eastAsia="仿宋_GB2312" w:cs="宋体"/>
          <w:color w:val="auto"/>
          <w:kern w:val="0"/>
          <w:sz w:val="32"/>
          <w:szCs w:val="32"/>
        </w:rPr>
        <w:t>与美国的普雷利维尤农工大学、旧金山州立大学、索诺玛州立大学，韩国的庆南大学、大邱大学，新西兰的尼尔森马尔伯勒理工学院，德国的施马尔卡登应用科技大学，泰国的南邦皇家大学和西班牙的海梅一世大学等多个国家的大学建立了友好往来关系，开展互动交流、互派学生交流学习。</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hint="eastAsia" w:ascii="黑体" w:hAnsi="黑体" w:eastAsia="黑体" w:cs="黑体"/>
          <w:color w:val="auto"/>
          <w:kern w:val="44"/>
          <w:sz w:val="32"/>
        </w:rPr>
      </w:pPr>
      <w:r>
        <w:rPr>
          <w:rFonts w:hint="eastAsia" w:ascii="黑体" w:hAnsi="黑体" w:eastAsia="黑体" w:cs="黑体"/>
          <w:color w:val="auto"/>
          <w:kern w:val="44"/>
          <w:sz w:val="32"/>
        </w:rPr>
        <w:t>第三章  组织机构</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第十条</w:t>
      </w:r>
      <w:r>
        <w:rPr>
          <w:rFonts w:hint="eastAsia" w:ascii="仿宋_GB2312" w:hAnsi="宋体" w:eastAsia="仿宋_GB2312" w:cs="宋体"/>
          <w:color w:val="auto"/>
          <w:kern w:val="0"/>
          <w:sz w:val="32"/>
          <w:szCs w:val="32"/>
        </w:rPr>
        <w:t xml:space="preserve">  济南大学泉城学院成立以学校领导为组长的招生工作领导小组。领导小组负责制定招生政策和招生计划，讨论决定招生工作重大事宜。</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第十一条</w:t>
      </w:r>
      <w:r>
        <w:rPr>
          <w:rFonts w:hint="eastAsia" w:ascii="仿宋_GB2312" w:hAnsi="宋体" w:eastAsia="仿宋_GB2312" w:cs="宋体"/>
          <w:color w:val="auto"/>
          <w:kern w:val="0"/>
          <w:sz w:val="32"/>
          <w:szCs w:val="32"/>
        </w:rPr>
        <w:t xml:space="preserve">  济南大学泉城学院招生办公室是组织和实施招生及其相关工作的常设机构，具体负责济南大学泉城学院普通本、专科招生的日常工作。</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第十二条</w:t>
      </w:r>
      <w:r>
        <w:rPr>
          <w:rFonts w:hint="eastAsia" w:ascii="仿宋_GB2312" w:hAnsi="宋体" w:eastAsia="仿宋_GB2312" w:cs="宋体"/>
          <w:color w:val="auto"/>
          <w:kern w:val="0"/>
          <w:sz w:val="32"/>
          <w:szCs w:val="32"/>
        </w:rPr>
        <w:t xml:space="preserve">  济南大学泉城学院纪检组对招生工作实施监督。</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hint="eastAsia" w:ascii="黑体" w:hAnsi="黑体" w:eastAsia="黑体" w:cs="黑体"/>
          <w:color w:val="auto"/>
          <w:kern w:val="44"/>
          <w:sz w:val="32"/>
        </w:rPr>
      </w:pPr>
      <w:r>
        <w:rPr>
          <w:rFonts w:hint="eastAsia" w:ascii="黑体" w:hAnsi="黑体" w:eastAsia="黑体" w:cs="黑体"/>
          <w:color w:val="auto"/>
          <w:kern w:val="44"/>
          <w:sz w:val="32"/>
        </w:rPr>
        <w:t>第四章  招生</w:t>
      </w:r>
      <w:r>
        <w:rPr>
          <w:rFonts w:hint="eastAsia" w:ascii="黑体" w:hAnsi="黑体" w:eastAsia="黑体" w:cs="黑体"/>
          <w:bCs/>
          <w:color w:val="auto"/>
          <w:kern w:val="44"/>
          <w:sz w:val="32"/>
          <w:szCs w:val="44"/>
        </w:rPr>
        <w:t>对象以及报考条件</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30" w:firstLineChars="196"/>
        <w:textAlignment w:val="auto"/>
        <w:rPr>
          <w:rFonts w:ascii="仿宋_GB2312" w:hAnsi="宋体"/>
          <w:b/>
          <w:color w:val="auto"/>
          <w:kern w:val="0"/>
          <w:sz w:val="32"/>
        </w:rPr>
      </w:pPr>
      <w:r>
        <w:rPr>
          <w:rFonts w:hint="eastAsia" w:ascii="仿宋_GB2312" w:hAnsi="宋体" w:eastAsia="仿宋_GB2312" w:cs="宋体"/>
          <w:b/>
          <w:bCs/>
          <w:color w:val="auto"/>
          <w:kern w:val="0"/>
          <w:sz w:val="32"/>
          <w:szCs w:val="32"/>
        </w:rPr>
        <w:t xml:space="preserve">第十三条  </w:t>
      </w:r>
      <w:r>
        <w:rPr>
          <w:rFonts w:hint="eastAsia" w:ascii="仿宋_GB2312" w:hAnsi="宋体" w:eastAsia="仿宋_GB2312" w:cs="宋体"/>
          <w:color w:val="auto"/>
          <w:kern w:val="0"/>
          <w:sz w:val="32"/>
          <w:szCs w:val="32"/>
        </w:rPr>
        <w:t>济南大学泉城学院2019年专升本各专业均面向山东省招生。</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30" w:firstLineChars="196"/>
        <w:textAlignment w:val="auto"/>
        <w:rPr>
          <w:rFonts w:ascii="仿宋_GB2312" w:hAnsi="宋体" w:eastAsia="仿宋_GB2312" w:cs="宋体"/>
          <w:color w:val="auto"/>
          <w:kern w:val="0"/>
          <w:sz w:val="28"/>
          <w:szCs w:val="28"/>
        </w:rPr>
      </w:pPr>
      <w:r>
        <w:rPr>
          <w:rFonts w:hint="eastAsia" w:ascii="仿宋_GB2312" w:hAnsi="宋体" w:eastAsia="仿宋_GB2312" w:cs="宋体"/>
          <w:b/>
          <w:bCs/>
          <w:color w:val="auto"/>
          <w:kern w:val="0"/>
          <w:sz w:val="32"/>
          <w:szCs w:val="32"/>
        </w:rPr>
        <w:t xml:space="preserve">第十四条  </w:t>
      </w:r>
      <w:r>
        <w:rPr>
          <w:rFonts w:hint="eastAsia" w:ascii="仿宋_GB2312" w:hAnsi="宋体" w:eastAsia="仿宋_GB2312" w:cs="宋体"/>
          <w:b w:val="0"/>
          <w:bCs w:val="0"/>
          <w:color w:val="auto"/>
          <w:kern w:val="0"/>
          <w:sz w:val="32"/>
          <w:szCs w:val="32"/>
        </w:rPr>
        <w:t>报考条件：</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1.遵守《中华人民共和国宪法》及其他法律法规； </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2.专科学习期间无记过及以上纪律处分；或专科学习期间受到记过或留校察看纪律处分，但报考前已解除处分的; </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3.身体健康； </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4.专科阶段必须获得专科毕业证书。</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ascii="Times New Roman" w:hAnsi="Times New Roman"/>
          <w:color w:val="auto"/>
          <w:kern w:val="44"/>
          <w:sz w:val="32"/>
        </w:rPr>
      </w:pPr>
      <w:r>
        <w:rPr>
          <w:rFonts w:hint="eastAsia" w:ascii="黑体" w:hAnsi="黑体" w:eastAsia="黑体" w:cs="黑体"/>
          <w:color w:val="auto"/>
          <w:kern w:val="44"/>
          <w:sz w:val="32"/>
        </w:rPr>
        <w:t>第五章  招生计划</w:t>
      </w:r>
    </w:p>
    <w:p>
      <w:pPr>
        <w:pageBreakBefore w:val="0"/>
        <w:shd w:val="clear"/>
        <w:kinsoku/>
        <w:wordWrap/>
        <w:overflowPunct/>
        <w:topLinePunct w:val="0"/>
        <w:autoSpaceDE/>
        <w:autoSpaceDN/>
        <w:bidi w:val="0"/>
        <w:adjustRightInd/>
        <w:snapToGrid/>
        <w:spacing w:before="157" w:beforeLines="50" w:after="157" w:afterLines="50" w:line="440" w:lineRule="exact"/>
        <w:ind w:firstLine="1280" w:firstLineChars="4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济南大学泉城学院2019年专升本各专业招生计划</w:t>
      </w:r>
    </w:p>
    <w:tbl>
      <w:tblPr>
        <w:tblStyle w:val="10"/>
        <w:tblW w:w="9876" w:type="dxa"/>
        <w:tblInd w:w="-318" w:type="dxa"/>
        <w:tblLayout w:type="fixed"/>
        <w:tblCellMar>
          <w:top w:w="0" w:type="dxa"/>
          <w:left w:w="108" w:type="dxa"/>
          <w:bottom w:w="0" w:type="dxa"/>
          <w:right w:w="108" w:type="dxa"/>
        </w:tblCellMar>
      </w:tblPr>
      <w:tblGrid>
        <w:gridCol w:w="1002"/>
        <w:gridCol w:w="3431"/>
        <w:gridCol w:w="3742"/>
        <w:gridCol w:w="1701"/>
      </w:tblGrid>
      <w:tr>
        <w:tblPrEx>
          <w:tblLayout w:type="fixed"/>
          <w:tblCellMar>
            <w:top w:w="0" w:type="dxa"/>
            <w:left w:w="108" w:type="dxa"/>
            <w:bottom w:w="0" w:type="dxa"/>
            <w:right w:w="108" w:type="dxa"/>
          </w:tblCellMar>
        </w:tblPrEx>
        <w:trPr>
          <w:trHeight w:val="600" w:hRule="atLeast"/>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序号</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学校代码</w:t>
            </w:r>
          </w:p>
        </w:tc>
        <w:tc>
          <w:tcPr>
            <w:tcW w:w="37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招生专业</w:t>
            </w:r>
          </w:p>
        </w:tc>
        <w:tc>
          <w:tcPr>
            <w:tcW w:w="1701" w:type="dxa"/>
            <w:tcBorders>
              <w:top w:val="single" w:color="auto" w:sz="4" w:space="0"/>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招生计划</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电气工程及其自动化</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50</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机械设计制造及其自动化</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100</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市场营销</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100</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国际经济与贸易</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30</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环境设计</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w:t>
            </w:r>
          </w:p>
        </w:tc>
      </w:tr>
      <w:tr>
        <w:tblPrEx>
          <w:tblLayout w:type="fixed"/>
          <w:tblCellMar>
            <w:top w:w="0" w:type="dxa"/>
            <w:left w:w="108" w:type="dxa"/>
            <w:bottom w:w="0" w:type="dxa"/>
            <w:right w:w="108" w:type="dxa"/>
          </w:tblCellMar>
        </w:tblPrEx>
        <w:trPr>
          <w:trHeight w:val="600" w:hRule="atLeast"/>
        </w:trPr>
        <w:tc>
          <w:tcPr>
            <w:tcW w:w="100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nil"/>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视觉传达设计</w:t>
            </w:r>
          </w:p>
        </w:tc>
        <w:tc>
          <w:tcPr>
            <w:tcW w:w="1701" w:type="dxa"/>
            <w:tcBorders>
              <w:top w:val="nil"/>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70</w:t>
            </w:r>
          </w:p>
        </w:tc>
      </w:tr>
      <w:tr>
        <w:tblPrEx>
          <w:tblLayout w:type="fixed"/>
          <w:tblCellMar>
            <w:top w:w="0" w:type="dxa"/>
            <w:left w:w="108" w:type="dxa"/>
            <w:bottom w:w="0" w:type="dxa"/>
            <w:right w:w="108" w:type="dxa"/>
          </w:tblCellMar>
        </w:tblPrEx>
        <w:trPr>
          <w:trHeight w:val="600" w:hRule="atLeast"/>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英语</w:t>
            </w:r>
          </w:p>
        </w:tc>
        <w:tc>
          <w:tcPr>
            <w:tcW w:w="1701" w:type="dxa"/>
            <w:tcBorders>
              <w:top w:val="single" w:color="auto" w:sz="4" w:space="0"/>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60</w:t>
            </w:r>
          </w:p>
        </w:tc>
      </w:tr>
      <w:tr>
        <w:tblPrEx>
          <w:tblLayout w:type="fixed"/>
          <w:tblCellMar>
            <w:top w:w="0" w:type="dxa"/>
            <w:left w:w="108" w:type="dxa"/>
            <w:bottom w:w="0" w:type="dxa"/>
            <w:right w:w="108" w:type="dxa"/>
          </w:tblCellMar>
        </w:tblPrEx>
        <w:trPr>
          <w:trHeight w:val="600" w:hRule="atLeast"/>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8</w:t>
            </w:r>
          </w:p>
        </w:tc>
        <w:tc>
          <w:tcPr>
            <w:tcW w:w="3431" w:type="dxa"/>
            <w:tcBorders>
              <w:top w:val="single" w:color="auto" w:sz="4" w:space="0"/>
              <w:left w:val="nil"/>
              <w:bottom w:val="single" w:color="auto" w:sz="4" w:space="0"/>
              <w:right w:val="single" w:color="auto" w:sz="4" w:space="0"/>
            </w:tcBorders>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14002</w:t>
            </w:r>
          </w:p>
        </w:tc>
        <w:tc>
          <w:tcPr>
            <w:tcW w:w="37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汉语言文学</w:t>
            </w:r>
          </w:p>
        </w:tc>
        <w:tc>
          <w:tcPr>
            <w:tcW w:w="1701" w:type="dxa"/>
            <w:tcBorders>
              <w:top w:val="single" w:color="auto" w:sz="4" w:space="0"/>
              <w:left w:val="nil"/>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w:t>
            </w:r>
          </w:p>
        </w:tc>
      </w:tr>
      <w:tr>
        <w:tblPrEx>
          <w:tblLayout w:type="fixed"/>
          <w:tblCellMar>
            <w:top w:w="0" w:type="dxa"/>
            <w:left w:w="108" w:type="dxa"/>
            <w:bottom w:w="0" w:type="dxa"/>
            <w:right w:w="108" w:type="dxa"/>
          </w:tblCellMar>
        </w:tblPrEx>
        <w:trPr>
          <w:trHeight w:val="600" w:hRule="atLeast"/>
        </w:trPr>
        <w:tc>
          <w:tcPr>
            <w:tcW w:w="98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shd w:val="clear"/>
              <w:kinsoku/>
              <w:wordWrap/>
              <w:overflowPunct/>
              <w:topLinePunct w:val="0"/>
              <w:autoSpaceDE/>
              <w:autoSpaceDN/>
              <w:bidi w:val="0"/>
              <w:adjustRightInd/>
              <w:snapToGrid/>
              <w:spacing w:before="157" w:beforeLines="50" w:after="157" w:afterLines="50" w:line="440" w:lineRule="exact"/>
              <w:jc w:val="center"/>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合计：450</w:t>
            </w:r>
          </w:p>
        </w:tc>
      </w:tr>
    </w:tbl>
    <w:p>
      <w:pPr>
        <w:pageBreakBefore w:val="0"/>
        <w:widowControl/>
        <w:shd w:val="clear" w:color="auto"/>
        <w:kinsoku/>
        <w:wordWrap/>
        <w:overflowPunct/>
        <w:topLinePunct w:val="0"/>
        <w:autoSpaceDE/>
        <w:autoSpaceDN/>
        <w:bidi w:val="0"/>
        <w:adjustRightInd/>
        <w:snapToGrid/>
        <w:spacing w:before="157" w:beforeLines="50" w:after="157" w:afterLines="50" w:line="440" w:lineRule="exact"/>
        <w:textAlignment w:val="auto"/>
        <w:rPr>
          <w:rFonts w:ascii="黑体" w:hAnsi="黑体" w:eastAsia="黑体" w:cs="宋体"/>
          <w:bCs/>
          <w:color w:val="auto"/>
          <w:kern w:val="0"/>
          <w:sz w:val="32"/>
          <w:szCs w:val="32"/>
        </w:rPr>
      </w:pP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hint="eastAsia" w:ascii="黑体" w:hAnsi="黑体" w:eastAsia="黑体" w:cs="黑体"/>
          <w:color w:val="auto"/>
          <w:kern w:val="44"/>
          <w:sz w:val="32"/>
        </w:rPr>
      </w:pPr>
      <w:r>
        <w:rPr>
          <w:rFonts w:hint="eastAsia" w:ascii="黑体" w:hAnsi="黑体" w:eastAsia="黑体" w:cs="黑体"/>
          <w:color w:val="auto"/>
          <w:kern w:val="44"/>
          <w:sz w:val="32"/>
        </w:rPr>
        <w:t>第六章  录取</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第十五条</w:t>
      </w:r>
      <w:r>
        <w:rPr>
          <w:rFonts w:hint="eastAsia" w:ascii="仿宋_GB2312" w:hAnsi="宋体" w:eastAsia="仿宋_GB2312" w:cs="宋体"/>
          <w:color w:val="auto"/>
          <w:kern w:val="0"/>
          <w:sz w:val="32"/>
          <w:szCs w:val="32"/>
        </w:rPr>
        <w:t xml:space="preserve">  济南大学泉城学院招生计划通过山东省招生主管部门、学校招生简章、学校网站等多种渠道向社会及考生公布。</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第十六条</w:t>
      </w:r>
      <w:r>
        <w:rPr>
          <w:rFonts w:hint="eastAsia" w:ascii="仿宋_GB2312" w:hAnsi="宋体" w:eastAsia="仿宋_GB2312" w:cs="宋体"/>
          <w:color w:val="auto"/>
          <w:kern w:val="0"/>
          <w:sz w:val="32"/>
          <w:szCs w:val="32"/>
        </w:rPr>
        <w:t xml:space="preserve">  按教育部</w:t>
      </w:r>
      <w:r>
        <w:rPr>
          <w:rFonts w:hint="eastAsia" w:ascii="仿宋_GB2312" w:hAnsi="宋体" w:eastAsia="仿宋_GB2312" w:cs="宋体"/>
          <w:color w:val="auto"/>
          <w:kern w:val="0"/>
          <w:sz w:val="32"/>
          <w:szCs w:val="32"/>
          <w:lang w:eastAsia="zh-CN"/>
        </w:rPr>
        <w:t>及省教育厅相关文件</w:t>
      </w:r>
      <w:r>
        <w:rPr>
          <w:rFonts w:hint="eastAsia" w:ascii="仿宋_GB2312" w:hAnsi="宋体" w:eastAsia="仿宋_GB2312" w:cs="宋体"/>
          <w:color w:val="auto"/>
          <w:kern w:val="0"/>
          <w:sz w:val="32"/>
          <w:szCs w:val="32"/>
        </w:rPr>
        <w:t>要求，实行学校负责，招办监督体制，按考生德、智、体三方面公平、公正、择优录取。</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免试生和退役士兵考生录取办法按照山东省教育厅及省招生主管部门有关规定执行。</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第十七条</w:t>
      </w:r>
      <w:r>
        <w:rPr>
          <w:rFonts w:hint="eastAsia" w:ascii="仿宋_GB2312" w:hAnsi="宋体" w:eastAsia="仿宋_GB2312" w:cs="宋体"/>
          <w:color w:val="auto"/>
          <w:kern w:val="0"/>
          <w:sz w:val="32"/>
          <w:szCs w:val="32"/>
        </w:rPr>
        <w:t xml:space="preserve">  外语语种要求：学校只设英语教学，小语种考生填报，如被录取，公共外语课程须改学英语。</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第十八条</w:t>
      </w:r>
      <w:r>
        <w:rPr>
          <w:rFonts w:hint="eastAsia" w:ascii="仿宋_GB2312" w:hAnsi="宋体" w:eastAsia="仿宋_GB2312" w:cs="宋体"/>
          <w:color w:val="auto"/>
          <w:kern w:val="0"/>
          <w:sz w:val="32"/>
          <w:szCs w:val="32"/>
        </w:rPr>
        <w:t xml:space="preserve">  男女比例：报考各专业对男女比例均无限制。</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olor w:val="auto"/>
          <w:sz w:val="32"/>
          <w:szCs w:val="32"/>
        </w:rPr>
      </w:pPr>
      <w:r>
        <w:rPr>
          <w:rFonts w:hint="eastAsia" w:ascii="仿宋_GB2312" w:hAnsi="宋体" w:eastAsia="仿宋_GB2312" w:cs="宋体"/>
          <w:b/>
          <w:bCs/>
          <w:color w:val="auto"/>
          <w:kern w:val="0"/>
          <w:sz w:val="32"/>
          <w:szCs w:val="32"/>
        </w:rPr>
        <w:t>第十九条</w:t>
      </w:r>
      <w:r>
        <w:rPr>
          <w:rFonts w:hint="eastAsia" w:ascii="仿宋_GB2312" w:hAnsi="宋体" w:eastAsia="仿宋_GB2312" w:cs="宋体"/>
          <w:color w:val="auto"/>
          <w:kern w:val="0"/>
          <w:sz w:val="32"/>
          <w:szCs w:val="32"/>
        </w:rPr>
        <w:t xml:space="preserve">  对考生体检身体健康要求：执行《普通高等学校招生体检工作指导意见》文件规定。</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 xml:space="preserve">第二十条  </w:t>
      </w:r>
      <w:r>
        <w:rPr>
          <w:rFonts w:hint="eastAsia" w:ascii="仿宋_GB2312" w:hAnsi="宋体" w:eastAsia="仿宋_GB2312" w:cs="宋体"/>
          <w:color w:val="auto"/>
          <w:kern w:val="0"/>
          <w:sz w:val="32"/>
          <w:szCs w:val="32"/>
        </w:rPr>
        <w:t>建立过程性考核与专升本考试成绩相结合的多元录取机制，依据考生专升本考试成绩，参考过程性考核结果择优录取。专科阶段在校学习期间有下列情况之一的，将被认定过程性考核不合格：</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1.因触犯国家法律法规，受到过司法机关刑事处罚或治安管理处罚的；</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2.因考试作弊或其他违反学校规章制度的行为，受到过学校记过以上处分的；或受到学校警告、严重警告处分尚未解除的；</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3.有4门及以上课程（含必修课和规定学分内的应修选修课，下同）初次考试不及格的；或有1门及以上课程初次考试不及格，经一次补考仍有不及格课程的。</w:t>
      </w:r>
    </w:p>
    <w:p>
      <w:pPr>
        <w:keepNext/>
        <w:keepLines/>
        <w:pageBreakBefore w:val="0"/>
        <w:shd w:val="clear"/>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outlineLvl w:val="0"/>
        <w:rPr>
          <w:rFonts w:ascii="Times New Roman" w:hAnsi="Times New Roman"/>
          <w:color w:val="auto"/>
          <w:kern w:val="44"/>
          <w:sz w:val="32"/>
        </w:rPr>
      </w:pPr>
      <w:r>
        <w:rPr>
          <w:rFonts w:hint="eastAsia" w:ascii="黑体" w:hAnsi="黑体" w:eastAsia="黑体" w:cs="黑体"/>
          <w:color w:val="auto"/>
          <w:kern w:val="44"/>
          <w:sz w:val="32"/>
        </w:rPr>
        <w:t>第七章  其他</w:t>
      </w:r>
    </w:p>
    <w:p>
      <w:pPr>
        <w:pageBreakBefore w:val="0"/>
        <w:shd w:val="clear"/>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bCs/>
          <w:color w:val="auto"/>
          <w:kern w:val="0"/>
          <w:sz w:val="32"/>
          <w:szCs w:val="32"/>
          <w:lang w:eastAsia="zh-CN"/>
        </w:rPr>
      </w:pPr>
      <w:r>
        <w:rPr>
          <w:rFonts w:hint="eastAsia" w:ascii="仿宋_GB2312" w:hAnsi="宋体" w:eastAsia="仿宋_GB2312" w:cs="宋体"/>
          <w:b/>
          <w:bCs/>
          <w:color w:val="auto"/>
          <w:kern w:val="0"/>
          <w:sz w:val="32"/>
          <w:szCs w:val="32"/>
        </w:rPr>
        <w:t xml:space="preserve">第二十一条  </w:t>
      </w:r>
      <w:r>
        <w:rPr>
          <w:rFonts w:hint="eastAsia" w:ascii="仿宋_GB2312" w:hAnsi="宋体" w:eastAsia="仿宋_GB2312" w:cs="宋体"/>
          <w:bCs/>
          <w:color w:val="auto"/>
          <w:kern w:val="0"/>
          <w:sz w:val="32"/>
          <w:szCs w:val="32"/>
        </w:rPr>
        <w:t>收费标准</w:t>
      </w:r>
      <w:r>
        <w:rPr>
          <w:rFonts w:hint="eastAsia" w:ascii="仿宋_GB2312" w:hAnsi="宋体" w:eastAsia="仿宋_GB2312" w:cs="宋体"/>
          <w:bCs/>
          <w:color w:val="auto"/>
          <w:kern w:val="0"/>
          <w:sz w:val="32"/>
          <w:szCs w:val="32"/>
          <w:lang w:eastAsia="zh-CN"/>
        </w:rPr>
        <w:t>：</w:t>
      </w:r>
    </w:p>
    <w:p>
      <w:pPr>
        <w:pageBreakBefore w:val="0"/>
        <w:shd w:val="clear"/>
        <w:tabs>
          <w:tab w:val="left" w:pos="2775"/>
        </w:tabs>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lang w:val="en-US" w:eastAsia="zh-CN"/>
        </w:rPr>
        <w:t>1.</w:t>
      </w:r>
      <w:r>
        <w:rPr>
          <w:rFonts w:hint="eastAsia" w:ascii="仿宋_GB2312" w:hAnsi="宋体" w:eastAsia="仿宋_GB2312" w:cs="宋体"/>
          <w:bCs/>
          <w:color w:val="auto"/>
          <w:kern w:val="0"/>
          <w:sz w:val="32"/>
          <w:szCs w:val="32"/>
        </w:rPr>
        <w:t>根据山东省有关规定，专升本新生学费标准为：机械设计制造及其自动化专业、电气工程及其自动化专业、英语专业每人每年13000元，视觉传达设计专业、环境设计专业每人每年15000，市场营销专业、国际经济与贸易专业、汉语言文学专业每人每年12000元。学费标准如有变动，届时按山东省新的收费标准执行。</w:t>
      </w:r>
    </w:p>
    <w:p>
      <w:pPr>
        <w:keepNext w:val="0"/>
        <w:keepLines w:val="0"/>
        <w:pageBreakBefore w:val="0"/>
        <w:widowControl w:val="0"/>
        <w:shd w:val="clear"/>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宿舍标准：四人间，每生每年1200元；六人间，每生每年1000元；八人间，每生每年800元。</w:t>
      </w:r>
    </w:p>
    <w:p>
      <w:pPr>
        <w:pageBreakBefore w:val="0"/>
        <w:shd w:val="clear"/>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b/>
          <w:bCs/>
          <w:color w:val="auto"/>
          <w:kern w:val="0"/>
          <w:sz w:val="32"/>
          <w:szCs w:val="32"/>
        </w:rPr>
        <w:t>第二十二条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val="0"/>
          <w:bCs w:val="0"/>
          <w:color w:val="auto"/>
          <w:kern w:val="0"/>
          <w:sz w:val="32"/>
          <w:szCs w:val="32"/>
          <w:lang w:val="en-US" w:eastAsia="zh-CN"/>
        </w:rPr>
        <w:t>被录取的专升本学生需持录取通知书、准考证、身份证和专科毕业证书等，按规定时间到我校报到，办理入学手续。报到时不能提供专科毕业证书的，不得报到入学，学校将取消其入学资格。</w:t>
      </w:r>
    </w:p>
    <w:p>
      <w:pPr>
        <w:pageBreakBefore w:val="0"/>
        <w:shd w:val="clear"/>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bCs/>
          <w:color w:val="auto"/>
          <w:kern w:val="0"/>
          <w:sz w:val="32"/>
          <w:szCs w:val="32"/>
        </w:rPr>
      </w:pPr>
      <w:r>
        <w:rPr>
          <w:rFonts w:hint="eastAsia" w:ascii="仿宋_GB2312" w:hAnsi="宋体" w:eastAsia="仿宋_GB2312" w:cs="宋体"/>
          <w:b/>
          <w:bCs/>
          <w:color w:val="auto"/>
          <w:kern w:val="0"/>
          <w:sz w:val="32"/>
          <w:szCs w:val="32"/>
        </w:rPr>
        <w:t>第二十</w:t>
      </w:r>
      <w:r>
        <w:rPr>
          <w:rFonts w:hint="eastAsia" w:ascii="仿宋_GB2312" w:hAnsi="宋体" w:eastAsia="仿宋_GB2312" w:cs="宋体"/>
          <w:b/>
          <w:bCs/>
          <w:color w:val="auto"/>
          <w:kern w:val="0"/>
          <w:sz w:val="32"/>
          <w:szCs w:val="32"/>
          <w:lang w:val="en-US" w:eastAsia="zh-CN"/>
        </w:rPr>
        <w:t>三</w:t>
      </w:r>
      <w:r>
        <w:rPr>
          <w:rFonts w:hint="eastAsia" w:ascii="仿宋_GB2312" w:hAnsi="宋体" w:eastAsia="仿宋_GB2312" w:cs="宋体"/>
          <w:b/>
          <w:bCs/>
          <w:color w:val="auto"/>
          <w:kern w:val="0"/>
          <w:sz w:val="32"/>
          <w:szCs w:val="32"/>
        </w:rPr>
        <w:t xml:space="preserve">条  </w:t>
      </w:r>
      <w:r>
        <w:rPr>
          <w:rFonts w:hint="eastAsia" w:ascii="仿宋_GB2312" w:hAnsi="宋体" w:eastAsia="仿宋_GB2312" w:cs="宋体"/>
          <w:bCs/>
          <w:color w:val="auto"/>
          <w:kern w:val="0"/>
          <w:sz w:val="32"/>
          <w:szCs w:val="32"/>
        </w:rPr>
        <w:t>在学生报到后3个月内，按照有关规定对学生进行复查，复查合格者予以注册，取得学籍。复查不合格者，不予学籍注册，由学校负责清退并</w:t>
      </w:r>
      <w:r>
        <w:rPr>
          <w:rFonts w:hint="eastAsia" w:ascii="仿宋_GB2312" w:hAnsi="宋体" w:eastAsia="仿宋_GB2312" w:cs="宋体"/>
          <w:bCs/>
          <w:color w:val="auto"/>
          <w:kern w:val="0"/>
          <w:sz w:val="32"/>
          <w:szCs w:val="32"/>
          <w:lang w:val="en-US" w:eastAsia="zh-CN"/>
        </w:rPr>
        <w:t>做好</w:t>
      </w:r>
      <w:r>
        <w:rPr>
          <w:rFonts w:hint="eastAsia" w:ascii="仿宋_GB2312" w:hAnsi="宋体" w:eastAsia="仿宋_GB2312" w:cs="宋体"/>
          <w:bCs/>
          <w:color w:val="auto"/>
          <w:kern w:val="0"/>
          <w:sz w:val="32"/>
          <w:szCs w:val="32"/>
        </w:rPr>
        <w:t>善后事宜。学生在校学习期间，学籍管理按照《普通高等学校学生管理规定》执行。</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w:t>
      </w:r>
      <w:r>
        <w:rPr>
          <w:rFonts w:hint="eastAsia" w:ascii="仿宋_GB2312" w:hAnsi="宋体" w:eastAsia="仿宋_GB2312" w:cs="宋体"/>
          <w:b/>
          <w:bCs/>
          <w:color w:val="auto"/>
          <w:kern w:val="0"/>
          <w:sz w:val="32"/>
          <w:szCs w:val="32"/>
          <w:lang w:val="en-US" w:eastAsia="zh-CN"/>
        </w:rPr>
        <w:t>四</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专升本学生的修业年限一般为</w:t>
      </w: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至</w:t>
      </w:r>
      <w:r>
        <w:rPr>
          <w:rFonts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rPr>
        <w:t>年。学生按教学计划修完规定课程，成绩合格，由学校颁发普通高等教育本科毕业证书。专升本学生毕业证书的内容须填写“在本校专科起点××专业本科学习”，学习时间按进入本科阶段学习的实际时间填写。符合学士学位授予条件的授予相应学位。</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w:t>
      </w:r>
      <w:r>
        <w:rPr>
          <w:rFonts w:hint="eastAsia" w:ascii="仿宋_GB2312" w:hAnsi="宋体" w:eastAsia="仿宋_GB2312" w:cs="宋体"/>
          <w:b/>
          <w:bCs/>
          <w:color w:val="auto"/>
          <w:kern w:val="0"/>
          <w:sz w:val="32"/>
          <w:szCs w:val="32"/>
          <w:lang w:val="en-US" w:eastAsia="zh-CN"/>
        </w:rPr>
        <w:t>五</w:t>
      </w:r>
      <w:r>
        <w:rPr>
          <w:rFonts w:hint="eastAsia" w:ascii="仿宋_GB2312" w:hAnsi="宋体" w:eastAsia="仿宋_GB2312" w:cs="宋体"/>
          <w:b/>
          <w:bCs/>
          <w:color w:val="auto"/>
          <w:kern w:val="0"/>
          <w:sz w:val="32"/>
          <w:szCs w:val="32"/>
        </w:rPr>
        <w:t xml:space="preserve">条  </w:t>
      </w:r>
      <w:r>
        <w:rPr>
          <w:rFonts w:hint="eastAsia" w:ascii="仿宋_GB2312" w:hAnsi="宋体" w:eastAsia="仿宋_GB2312" w:cs="宋体"/>
          <w:color w:val="auto"/>
          <w:kern w:val="0"/>
          <w:sz w:val="32"/>
          <w:szCs w:val="32"/>
        </w:rPr>
        <w:t>学校通过建立以国家励志奖学金、山东省省政府励志奖学金、国家助学贷款、国家助学金、特殊困难补助、勤工俭学等互为补充的学生资助体系帮扶经济困难的学生顺利完成学业。</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第二十六条</w:t>
      </w:r>
      <w:r>
        <w:rPr>
          <w:rFonts w:hint="eastAsia" w:ascii="仿宋_GB2312" w:hAnsi="宋体" w:eastAsia="仿宋_GB2312" w:cs="宋体"/>
          <w:color w:val="auto"/>
          <w:kern w:val="0"/>
          <w:sz w:val="32"/>
          <w:szCs w:val="32"/>
        </w:rPr>
        <w:t xml:space="preserve">  退学学费规定：按照山东省教育厅等七部门鲁教财字</w:t>
      </w:r>
      <w:r>
        <w:rPr>
          <w:rFonts w:hint="eastAsia" w:ascii="仿宋_GB2312" w:hAnsi="Calibri"/>
          <w:color w:val="auto"/>
          <w:sz w:val="32"/>
        </w:rPr>
        <w:t>〔</w:t>
      </w:r>
      <w:r>
        <w:rPr>
          <w:rFonts w:ascii="仿宋_GB2312" w:hAnsi="Calibri"/>
          <w:color w:val="auto"/>
          <w:sz w:val="32"/>
        </w:rPr>
        <w:t>2010</w:t>
      </w:r>
      <w:r>
        <w:rPr>
          <w:rFonts w:hint="eastAsia" w:ascii="仿宋_GB2312" w:hAnsi="Calibri"/>
          <w:color w:val="auto"/>
          <w:sz w:val="32"/>
        </w:rPr>
        <w:t>〕</w:t>
      </w:r>
      <w:r>
        <w:rPr>
          <w:rFonts w:hint="eastAsia" w:ascii="仿宋_GB2312" w:hAnsi="宋体" w:eastAsia="仿宋_GB2312" w:cs="宋体"/>
          <w:color w:val="auto"/>
          <w:kern w:val="0"/>
          <w:sz w:val="32"/>
          <w:szCs w:val="32"/>
        </w:rPr>
        <w:t>27号文件有关退费规定执行。</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第二十七条</w:t>
      </w:r>
      <w:r>
        <w:rPr>
          <w:rFonts w:hint="eastAsia" w:ascii="仿宋_GB2312" w:hAnsi="宋体" w:eastAsia="仿宋_GB2312" w:cs="宋体"/>
          <w:color w:val="auto"/>
          <w:kern w:val="0"/>
          <w:sz w:val="32"/>
          <w:szCs w:val="32"/>
        </w:rPr>
        <w:t xml:space="preserve">  学校不委托任何机构和个人办理招生相关事宜。对以济南大学泉城学院名义进行非法招生宣传等活动的机构或个人，学校保留依法追究其责任的权利。</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第二十八条</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学校不以任何名义举办专升本辅导班，不编印专升本有关考试资料。</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w:t>
      </w:r>
      <w:r>
        <w:rPr>
          <w:rFonts w:hint="eastAsia" w:ascii="仿宋_GB2312" w:hAnsi="宋体" w:eastAsia="仿宋_GB2312" w:cs="宋体"/>
          <w:b/>
          <w:bCs/>
          <w:color w:val="auto"/>
          <w:kern w:val="0"/>
          <w:sz w:val="32"/>
          <w:szCs w:val="32"/>
          <w:lang w:eastAsia="zh-CN"/>
        </w:rPr>
        <w:t>九</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本章程若有与上级有关政策不一致之处，以国家和上级有关政策为准。未尽事宜，按上级有关规定执行。</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val="en-US" w:eastAsia="zh-CN"/>
        </w:rPr>
        <w:t>三十</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xml:space="preserve">  本章程由济南大学泉城学院负责解释。</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3"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第三十一条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
          <w:bCs/>
          <w:color w:val="auto"/>
          <w:kern w:val="0"/>
          <w:sz w:val="32"/>
          <w:szCs w:val="32"/>
        </w:rPr>
        <w:t>联系方式：</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咨询电话：0535-5770026、5770027、5770028、5770029</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学校网址：http://www.ujnpl.com/</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招生信息网网址: http://zs.ujnpl.com/</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通讯地址：山东省蓬莱市海滨西路34号</w:t>
      </w:r>
    </w:p>
    <w:p>
      <w:pPr>
        <w:pageBreakBefore w:val="0"/>
        <w:widowControl/>
        <w:shd w:val="clear" w:color="auto"/>
        <w:kinsoku/>
        <w:wordWrap/>
        <w:overflowPunct/>
        <w:topLinePunct w:val="0"/>
        <w:autoSpaceDE/>
        <w:autoSpaceDN/>
        <w:bidi w:val="0"/>
        <w:adjustRightInd/>
        <w:snapToGrid/>
        <w:spacing w:before="157" w:beforeLines="50" w:after="157" w:afterLines="50" w:line="440"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邮编：265600</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6BD7"/>
    <w:rsid w:val="0000145F"/>
    <w:rsid w:val="00005703"/>
    <w:rsid w:val="00035C8D"/>
    <w:rsid w:val="000379BA"/>
    <w:rsid w:val="00061787"/>
    <w:rsid w:val="0007105E"/>
    <w:rsid w:val="000A20A7"/>
    <w:rsid w:val="000A247F"/>
    <w:rsid w:val="000A2B4B"/>
    <w:rsid w:val="000C4C98"/>
    <w:rsid w:val="00105DB5"/>
    <w:rsid w:val="00106CAB"/>
    <w:rsid w:val="001423B7"/>
    <w:rsid w:val="00150CBB"/>
    <w:rsid w:val="00153E7C"/>
    <w:rsid w:val="00171BD6"/>
    <w:rsid w:val="001C2F49"/>
    <w:rsid w:val="001C6C93"/>
    <w:rsid w:val="002024B3"/>
    <w:rsid w:val="0020789B"/>
    <w:rsid w:val="00222C8C"/>
    <w:rsid w:val="00250D50"/>
    <w:rsid w:val="00261A8C"/>
    <w:rsid w:val="002A1EC1"/>
    <w:rsid w:val="002A5751"/>
    <w:rsid w:val="002B248F"/>
    <w:rsid w:val="002B2A6B"/>
    <w:rsid w:val="002C4FB9"/>
    <w:rsid w:val="002E14C9"/>
    <w:rsid w:val="002E70AB"/>
    <w:rsid w:val="003028F8"/>
    <w:rsid w:val="00303809"/>
    <w:rsid w:val="0032253E"/>
    <w:rsid w:val="0032447B"/>
    <w:rsid w:val="00333374"/>
    <w:rsid w:val="00341773"/>
    <w:rsid w:val="00346096"/>
    <w:rsid w:val="00352012"/>
    <w:rsid w:val="00352978"/>
    <w:rsid w:val="00355512"/>
    <w:rsid w:val="003746FD"/>
    <w:rsid w:val="0038038F"/>
    <w:rsid w:val="0038176D"/>
    <w:rsid w:val="00393FAB"/>
    <w:rsid w:val="00394A58"/>
    <w:rsid w:val="003B0B64"/>
    <w:rsid w:val="003D3805"/>
    <w:rsid w:val="003D4A9D"/>
    <w:rsid w:val="003F0C32"/>
    <w:rsid w:val="00401A41"/>
    <w:rsid w:val="00424521"/>
    <w:rsid w:val="00427395"/>
    <w:rsid w:val="00454696"/>
    <w:rsid w:val="00460C51"/>
    <w:rsid w:val="00467FD5"/>
    <w:rsid w:val="004764AF"/>
    <w:rsid w:val="004918DA"/>
    <w:rsid w:val="004A16A5"/>
    <w:rsid w:val="004A7D72"/>
    <w:rsid w:val="004D143D"/>
    <w:rsid w:val="004D14EA"/>
    <w:rsid w:val="004E1399"/>
    <w:rsid w:val="004F175B"/>
    <w:rsid w:val="00504DD7"/>
    <w:rsid w:val="00510AF5"/>
    <w:rsid w:val="005168A1"/>
    <w:rsid w:val="00522EEF"/>
    <w:rsid w:val="005333AA"/>
    <w:rsid w:val="005508CD"/>
    <w:rsid w:val="0057351E"/>
    <w:rsid w:val="005A31DC"/>
    <w:rsid w:val="005A5EFB"/>
    <w:rsid w:val="005A6ACC"/>
    <w:rsid w:val="005B40C6"/>
    <w:rsid w:val="005C77B6"/>
    <w:rsid w:val="005D366B"/>
    <w:rsid w:val="005E19EB"/>
    <w:rsid w:val="005E23DC"/>
    <w:rsid w:val="0061010F"/>
    <w:rsid w:val="00626100"/>
    <w:rsid w:val="00631A6C"/>
    <w:rsid w:val="00661E6C"/>
    <w:rsid w:val="00680E42"/>
    <w:rsid w:val="00680EEF"/>
    <w:rsid w:val="006863AE"/>
    <w:rsid w:val="006B666F"/>
    <w:rsid w:val="006C106D"/>
    <w:rsid w:val="006E068E"/>
    <w:rsid w:val="006E70B9"/>
    <w:rsid w:val="006F2A2E"/>
    <w:rsid w:val="00722108"/>
    <w:rsid w:val="00735524"/>
    <w:rsid w:val="00742E05"/>
    <w:rsid w:val="00766D7D"/>
    <w:rsid w:val="00772862"/>
    <w:rsid w:val="00774B21"/>
    <w:rsid w:val="00775E6C"/>
    <w:rsid w:val="007779F9"/>
    <w:rsid w:val="0078001A"/>
    <w:rsid w:val="007A72C9"/>
    <w:rsid w:val="007B2509"/>
    <w:rsid w:val="007B742E"/>
    <w:rsid w:val="007C6BD7"/>
    <w:rsid w:val="007C7154"/>
    <w:rsid w:val="007D7EDE"/>
    <w:rsid w:val="00806334"/>
    <w:rsid w:val="00813413"/>
    <w:rsid w:val="00817DDF"/>
    <w:rsid w:val="00821B66"/>
    <w:rsid w:val="00832C7E"/>
    <w:rsid w:val="00835E09"/>
    <w:rsid w:val="00846F04"/>
    <w:rsid w:val="00882E02"/>
    <w:rsid w:val="00894A98"/>
    <w:rsid w:val="00896A6E"/>
    <w:rsid w:val="008D3854"/>
    <w:rsid w:val="008E6E7B"/>
    <w:rsid w:val="00900506"/>
    <w:rsid w:val="009045F7"/>
    <w:rsid w:val="00916D65"/>
    <w:rsid w:val="00942C41"/>
    <w:rsid w:val="009458B2"/>
    <w:rsid w:val="009550AF"/>
    <w:rsid w:val="00971E39"/>
    <w:rsid w:val="00984362"/>
    <w:rsid w:val="009B55AE"/>
    <w:rsid w:val="009C33DA"/>
    <w:rsid w:val="009C4A50"/>
    <w:rsid w:val="009C590B"/>
    <w:rsid w:val="009C705E"/>
    <w:rsid w:val="009D34A5"/>
    <w:rsid w:val="009D5782"/>
    <w:rsid w:val="009D6600"/>
    <w:rsid w:val="009D6FB6"/>
    <w:rsid w:val="009E1B91"/>
    <w:rsid w:val="009E6143"/>
    <w:rsid w:val="009E62D5"/>
    <w:rsid w:val="009E72A8"/>
    <w:rsid w:val="009F17A1"/>
    <w:rsid w:val="00A00516"/>
    <w:rsid w:val="00A060D3"/>
    <w:rsid w:val="00A068B5"/>
    <w:rsid w:val="00A362E4"/>
    <w:rsid w:val="00A4138A"/>
    <w:rsid w:val="00A51E98"/>
    <w:rsid w:val="00A70AAA"/>
    <w:rsid w:val="00AA3F1F"/>
    <w:rsid w:val="00AB15EB"/>
    <w:rsid w:val="00AD17D7"/>
    <w:rsid w:val="00AE6DD5"/>
    <w:rsid w:val="00AF757E"/>
    <w:rsid w:val="00B12503"/>
    <w:rsid w:val="00B242E5"/>
    <w:rsid w:val="00B422F2"/>
    <w:rsid w:val="00B46F37"/>
    <w:rsid w:val="00B60599"/>
    <w:rsid w:val="00B7732E"/>
    <w:rsid w:val="00B82294"/>
    <w:rsid w:val="00B86603"/>
    <w:rsid w:val="00B963D9"/>
    <w:rsid w:val="00BA39AC"/>
    <w:rsid w:val="00BD3BA0"/>
    <w:rsid w:val="00BD7FCD"/>
    <w:rsid w:val="00BE779E"/>
    <w:rsid w:val="00BE7C10"/>
    <w:rsid w:val="00BF71F5"/>
    <w:rsid w:val="00BF7767"/>
    <w:rsid w:val="00C01462"/>
    <w:rsid w:val="00C06D99"/>
    <w:rsid w:val="00C16C68"/>
    <w:rsid w:val="00C210EA"/>
    <w:rsid w:val="00C340B2"/>
    <w:rsid w:val="00C36AB1"/>
    <w:rsid w:val="00C418D5"/>
    <w:rsid w:val="00C518F0"/>
    <w:rsid w:val="00C6524C"/>
    <w:rsid w:val="00C869CA"/>
    <w:rsid w:val="00C961B3"/>
    <w:rsid w:val="00C963B7"/>
    <w:rsid w:val="00CA1757"/>
    <w:rsid w:val="00CA2635"/>
    <w:rsid w:val="00CB47F9"/>
    <w:rsid w:val="00CB771E"/>
    <w:rsid w:val="00CC2BDA"/>
    <w:rsid w:val="00CD48EC"/>
    <w:rsid w:val="00CD5860"/>
    <w:rsid w:val="00CE33E0"/>
    <w:rsid w:val="00CF0B79"/>
    <w:rsid w:val="00CF545C"/>
    <w:rsid w:val="00CF64C9"/>
    <w:rsid w:val="00D044B4"/>
    <w:rsid w:val="00D05103"/>
    <w:rsid w:val="00D07DAF"/>
    <w:rsid w:val="00D345A7"/>
    <w:rsid w:val="00D35E3D"/>
    <w:rsid w:val="00D45F89"/>
    <w:rsid w:val="00D831D0"/>
    <w:rsid w:val="00D9134E"/>
    <w:rsid w:val="00D942A5"/>
    <w:rsid w:val="00D95848"/>
    <w:rsid w:val="00DA1B67"/>
    <w:rsid w:val="00DB0C55"/>
    <w:rsid w:val="00DC13D6"/>
    <w:rsid w:val="00DC217C"/>
    <w:rsid w:val="00DC7032"/>
    <w:rsid w:val="00DD464A"/>
    <w:rsid w:val="00DD70C9"/>
    <w:rsid w:val="00DE799D"/>
    <w:rsid w:val="00DF435E"/>
    <w:rsid w:val="00DF7718"/>
    <w:rsid w:val="00E0426A"/>
    <w:rsid w:val="00E06911"/>
    <w:rsid w:val="00E1503D"/>
    <w:rsid w:val="00E24D19"/>
    <w:rsid w:val="00E42E93"/>
    <w:rsid w:val="00E450DE"/>
    <w:rsid w:val="00E50001"/>
    <w:rsid w:val="00E86D76"/>
    <w:rsid w:val="00E92D34"/>
    <w:rsid w:val="00EA5356"/>
    <w:rsid w:val="00EA6436"/>
    <w:rsid w:val="00EB040B"/>
    <w:rsid w:val="00F1554C"/>
    <w:rsid w:val="00F2225E"/>
    <w:rsid w:val="00F23251"/>
    <w:rsid w:val="00F5015E"/>
    <w:rsid w:val="00F606C3"/>
    <w:rsid w:val="00F63F79"/>
    <w:rsid w:val="00F779AA"/>
    <w:rsid w:val="00F806D8"/>
    <w:rsid w:val="00FA2580"/>
    <w:rsid w:val="00FA6901"/>
    <w:rsid w:val="00FC4136"/>
    <w:rsid w:val="00FE37E7"/>
    <w:rsid w:val="00FE6482"/>
    <w:rsid w:val="032C6D85"/>
    <w:rsid w:val="03FC2CB2"/>
    <w:rsid w:val="04322A8C"/>
    <w:rsid w:val="04E74098"/>
    <w:rsid w:val="06AA71FC"/>
    <w:rsid w:val="07AD5E83"/>
    <w:rsid w:val="0ABB4345"/>
    <w:rsid w:val="0B2C4D69"/>
    <w:rsid w:val="0CB846E8"/>
    <w:rsid w:val="0CDB7C86"/>
    <w:rsid w:val="0D1756D6"/>
    <w:rsid w:val="0F6564BF"/>
    <w:rsid w:val="107E4035"/>
    <w:rsid w:val="12861781"/>
    <w:rsid w:val="14E46EE2"/>
    <w:rsid w:val="15BE120E"/>
    <w:rsid w:val="15C14047"/>
    <w:rsid w:val="17901FA0"/>
    <w:rsid w:val="18ED19A3"/>
    <w:rsid w:val="1A982D42"/>
    <w:rsid w:val="1C197E29"/>
    <w:rsid w:val="1C844A99"/>
    <w:rsid w:val="1D5F0406"/>
    <w:rsid w:val="22131FDD"/>
    <w:rsid w:val="22A24A9D"/>
    <w:rsid w:val="22AE4E63"/>
    <w:rsid w:val="235443A1"/>
    <w:rsid w:val="24AC5839"/>
    <w:rsid w:val="25DF1A9E"/>
    <w:rsid w:val="26FE650E"/>
    <w:rsid w:val="29006F34"/>
    <w:rsid w:val="29A86915"/>
    <w:rsid w:val="2E984B00"/>
    <w:rsid w:val="31A31B75"/>
    <w:rsid w:val="31FA3E28"/>
    <w:rsid w:val="35F2574C"/>
    <w:rsid w:val="38E35BD8"/>
    <w:rsid w:val="38ED657A"/>
    <w:rsid w:val="390D708D"/>
    <w:rsid w:val="3A175228"/>
    <w:rsid w:val="3C342E6D"/>
    <w:rsid w:val="3CE66579"/>
    <w:rsid w:val="3E4D31CF"/>
    <w:rsid w:val="3E5F4474"/>
    <w:rsid w:val="3F240253"/>
    <w:rsid w:val="3F9D08AA"/>
    <w:rsid w:val="3FFD7AE8"/>
    <w:rsid w:val="41E01535"/>
    <w:rsid w:val="43E2516D"/>
    <w:rsid w:val="459B57C3"/>
    <w:rsid w:val="45AD312F"/>
    <w:rsid w:val="485A2B9F"/>
    <w:rsid w:val="4CD77FCB"/>
    <w:rsid w:val="4D7B66C8"/>
    <w:rsid w:val="509C19D7"/>
    <w:rsid w:val="52C65BBD"/>
    <w:rsid w:val="5426720F"/>
    <w:rsid w:val="54EE6574"/>
    <w:rsid w:val="558F4406"/>
    <w:rsid w:val="559332BB"/>
    <w:rsid w:val="56DC2F5A"/>
    <w:rsid w:val="59367C48"/>
    <w:rsid w:val="59533C5A"/>
    <w:rsid w:val="5BDB6B9E"/>
    <w:rsid w:val="5CB13D38"/>
    <w:rsid w:val="5CB631B2"/>
    <w:rsid w:val="5CB74AEA"/>
    <w:rsid w:val="5CD836E8"/>
    <w:rsid w:val="5D437E8D"/>
    <w:rsid w:val="5E2D6F3A"/>
    <w:rsid w:val="5E7A04F0"/>
    <w:rsid w:val="5FE44AF7"/>
    <w:rsid w:val="60021F8F"/>
    <w:rsid w:val="60EA1DAF"/>
    <w:rsid w:val="62B41711"/>
    <w:rsid w:val="64934C8A"/>
    <w:rsid w:val="656E29F6"/>
    <w:rsid w:val="67F71C29"/>
    <w:rsid w:val="6B5865EB"/>
    <w:rsid w:val="6BDF6458"/>
    <w:rsid w:val="6C310196"/>
    <w:rsid w:val="6C5F00C7"/>
    <w:rsid w:val="6CA51F03"/>
    <w:rsid w:val="6CDB69ED"/>
    <w:rsid w:val="6EDF54E2"/>
    <w:rsid w:val="7111358D"/>
    <w:rsid w:val="715D4299"/>
    <w:rsid w:val="72FD7D89"/>
    <w:rsid w:val="74FB1058"/>
    <w:rsid w:val="755E3B9C"/>
    <w:rsid w:val="79F93C95"/>
    <w:rsid w:val="7AB1756B"/>
    <w:rsid w:val="7BFB4974"/>
    <w:rsid w:val="7C940367"/>
    <w:rsid w:val="7FDD353B"/>
    <w:rsid w:val="7FEE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b/>
      <w:bCs/>
      <w:kern w:val="0"/>
      <w:sz w:val="36"/>
      <w:szCs w:val="36"/>
      <w:lang w:val="zh-CN"/>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6"/>
    <w:unhideWhenUsed/>
    <w:qFormat/>
    <w:uiPriority w:val="99"/>
    <w:rPr>
      <w:rFonts w:ascii="宋体" w:eastAsia="宋体"/>
      <w:kern w:val="0"/>
      <w:sz w:val="18"/>
      <w:szCs w:val="18"/>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customStyle="1" w:styleId="11">
    <w:name w:val="标题 2 Char"/>
    <w:basedOn w:val="8"/>
    <w:link w:val="2"/>
    <w:uiPriority w:val="9"/>
    <w:rPr>
      <w:rFonts w:ascii="宋体" w:hAnsi="宋体" w:eastAsia="宋体"/>
      <w:b/>
      <w:bCs/>
      <w:sz w:val="36"/>
      <w:szCs w:val="36"/>
      <w:lang w:val="zh-CN"/>
    </w:rPr>
  </w:style>
  <w:style w:type="character" w:customStyle="1" w:styleId="12">
    <w:name w:val="页脚 Char"/>
    <w:link w:val="5"/>
    <w:qFormat/>
    <w:uiPriority w:val="99"/>
    <w:rPr>
      <w:sz w:val="18"/>
      <w:szCs w:val="18"/>
    </w:rPr>
  </w:style>
  <w:style w:type="character" w:customStyle="1" w:styleId="13">
    <w:name w:val="批注框文本 Char"/>
    <w:link w:val="4"/>
    <w:qFormat/>
    <w:uiPriority w:val="99"/>
    <w:rPr>
      <w:kern w:val="2"/>
      <w:sz w:val="18"/>
      <w:szCs w:val="18"/>
    </w:rPr>
  </w:style>
  <w:style w:type="character" w:customStyle="1" w:styleId="14">
    <w:name w:val="页眉 Char"/>
    <w:link w:val="6"/>
    <w:qFormat/>
    <w:uiPriority w:val="99"/>
    <w:rPr>
      <w:sz w:val="18"/>
      <w:szCs w:val="18"/>
    </w:rPr>
  </w:style>
  <w:style w:type="character" w:customStyle="1" w:styleId="15">
    <w:name w:val="apple-converted-space"/>
    <w:basedOn w:val="8"/>
    <w:qFormat/>
    <w:uiPriority w:val="0"/>
  </w:style>
  <w:style w:type="character" w:customStyle="1" w:styleId="16">
    <w:name w:val="文档结构图 Char"/>
    <w:link w:val="3"/>
    <w:uiPriority w:val="99"/>
    <w:rPr>
      <w:rFonts w:ascii="宋体" w:eastAsia="宋体"/>
      <w:sz w:val="18"/>
      <w:szCs w:val="18"/>
    </w:rPr>
  </w:style>
  <w:style w:type="character" w:customStyle="1" w:styleId="17">
    <w:name w:val="文档结构图 Char1"/>
    <w:basedOn w:val="8"/>
    <w:semiHidden/>
    <w:qFormat/>
    <w:uiPriority w:val="99"/>
    <w:rPr>
      <w:rFonts w:ascii="宋体" w:eastAsia="宋体"/>
      <w:kern w:val="2"/>
      <w:sz w:val="18"/>
      <w:szCs w:val="18"/>
    </w:rPr>
  </w:style>
  <w:style w:type="character" w:customStyle="1" w:styleId="18">
    <w:name w:val="批注框文本 Char1"/>
    <w:basedOn w:val="8"/>
    <w:semiHidden/>
    <w:qFormat/>
    <w:uiPriority w:val="99"/>
    <w:rPr>
      <w:kern w:val="2"/>
      <w:sz w:val="18"/>
      <w:szCs w:val="18"/>
    </w:rPr>
  </w:style>
  <w:style w:type="character" w:customStyle="1" w:styleId="19">
    <w:name w:val="页眉 Char1"/>
    <w:basedOn w:val="8"/>
    <w:semiHidden/>
    <w:qFormat/>
    <w:uiPriority w:val="99"/>
    <w:rPr>
      <w:kern w:val="2"/>
      <w:sz w:val="18"/>
      <w:szCs w:val="18"/>
    </w:rPr>
  </w:style>
  <w:style w:type="character" w:customStyle="1" w:styleId="20">
    <w:name w:val="页脚 Char1"/>
    <w:basedOn w:val="8"/>
    <w:semiHidden/>
    <w:qFormat/>
    <w:uiPriority w:val="99"/>
    <w:rPr>
      <w:kern w:val="2"/>
      <w:sz w:val="18"/>
      <w:szCs w:val="18"/>
    </w:rPr>
  </w:style>
  <w:style w:type="paragraph" w:customStyle="1" w:styleId="21">
    <w:name w:val="_Style 3"/>
    <w:basedOn w:val="1"/>
    <w:qFormat/>
    <w:uiPriority w:val="0"/>
    <w:pPr>
      <w:widowControl/>
      <w:spacing w:after="160" w:line="240" w:lineRule="exact"/>
      <w:jc w:val="left"/>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1AA2D-79C6-4887-8AE6-690AFA67EA7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380</Words>
  <Characters>2169</Characters>
  <Lines>18</Lines>
  <Paragraphs>5</Paragraphs>
  <TotalTime>90</TotalTime>
  <ScaleCrop>false</ScaleCrop>
  <LinksUpToDate>false</LinksUpToDate>
  <CharactersWithSpaces>2544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2019-01-02T03:00:00Z</dcterms:created>
  <dc:creator>裴东升</dc:creator>
  <cp:lastModifiedBy>千佛山人</cp:lastModifiedBy>
  <cp:lastPrinted>2019-01-03T02:35:00Z</cp:lastPrinted>
  <dcterms:modified xsi:type="dcterms:W3CDTF">2019-01-07T10:38:23Z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