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outlineLvl w:val="0"/>
        <w:rPr>
          <w:rFonts w:asciiTheme="majorEastAsia" w:hAnsiTheme="majorEastAsia" w:eastAsiaTheme="majorEastAsia"/>
          <w:sz w:val="44"/>
          <w:szCs w:val="44"/>
        </w:rPr>
      </w:pPr>
      <w:r>
        <w:rPr>
          <w:rFonts w:hint="eastAsia" w:asciiTheme="majorEastAsia" w:hAnsiTheme="majorEastAsia" w:eastAsiaTheme="majorEastAsia"/>
          <w:b/>
          <w:sz w:val="44"/>
          <w:szCs w:val="44"/>
        </w:rPr>
        <w:t>泰山医学院</w:t>
      </w:r>
      <w:r>
        <w:rPr>
          <w:rFonts w:hint="eastAsia" w:asciiTheme="majorEastAsia" w:hAnsiTheme="majorEastAsia" w:eastAsiaTheme="majorEastAsia"/>
          <w:b/>
          <w:bCs/>
          <w:sz w:val="44"/>
          <w:szCs w:val="44"/>
        </w:rPr>
        <w:t>2019</w:t>
      </w:r>
      <w:r>
        <w:rPr>
          <w:rFonts w:hint="eastAsia" w:asciiTheme="majorEastAsia" w:hAnsiTheme="majorEastAsia" w:eastAsiaTheme="majorEastAsia"/>
          <w:b/>
          <w:sz w:val="44"/>
          <w:szCs w:val="44"/>
        </w:rPr>
        <w:t>年普通高等教育</w:t>
      </w:r>
    </w:p>
    <w:p>
      <w:pPr>
        <w:spacing w:line="560" w:lineRule="exact"/>
        <w:ind w:firstLine="883" w:firstLineChars="200"/>
        <w:jc w:val="center"/>
        <w:outlineLvl w:val="0"/>
        <w:rPr>
          <w:rFonts w:asciiTheme="majorEastAsia" w:hAnsiTheme="majorEastAsia" w:eastAsiaTheme="majorEastAsia"/>
          <w:sz w:val="44"/>
          <w:szCs w:val="44"/>
        </w:rPr>
      </w:pPr>
      <w:r>
        <w:rPr>
          <w:rFonts w:hint="eastAsia" w:asciiTheme="majorEastAsia" w:hAnsiTheme="majorEastAsia" w:eastAsiaTheme="majorEastAsia"/>
          <w:b/>
          <w:sz w:val="44"/>
          <w:szCs w:val="44"/>
        </w:rPr>
        <w:t>专科升本科招生章程</w:t>
      </w:r>
    </w:p>
    <w:p>
      <w:pPr>
        <w:spacing w:line="480" w:lineRule="exact"/>
        <w:ind w:firstLine="640" w:firstLineChars="200"/>
        <w:jc w:val="left"/>
        <w:rPr>
          <w:rFonts w:ascii="仿宋" w:hAnsi="仿宋" w:eastAsia="仿宋"/>
          <w:sz w:val="32"/>
          <w:szCs w:val="32"/>
        </w:rPr>
      </w:pPr>
      <w:r>
        <w:rPr>
          <w:rFonts w:hint="eastAsia" w:ascii="Times New Roman" w:hAnsi="Times New Roman" w:eastAsia="仿宋"/>
          <w:sz w:val="32"/>
          <w:szCs w:val="32"/>
        </w:rPr>
        <w:t> </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根据山东省教育厅普通高等教育专科升本科（以下简称“专升本”）招生工作文件精神，结合我校2019年招生实际情况制定《泰山医学院2019年普通高等教育专科升本科招生章程》。我校2019年招生工作严格按照教育部和山东省招生考试委员会招生工作的各项规定执行。</w:t>
      </w:r>
    </w:p>
    <w:p>
      <w:pPr>
        <w:keepNext/>
        <w:keepLines/>
        <w:spacing w:line="480" w:lineRule="exact"/>
        <w:ind w:firstLine="643" w:firstLineChars="200"/>
        <w:jc w:val="left"/>
        <w:outlineLvl w:val="0"/>
        <w:rPr>
          <w:rFonts w:ascii="仿宋" w:hAnsi="仿宋" w:eastAsia="仿宋"/>
          <w:b/>
          <w:kern w:val="44"/>
          <w:sz w:val="32"/>
          <w:szCs w:val="32"/>
        </w:rPr>
      </w:pPr>
      <w:r>
        <w:rPr>
          <w:rFonts w:hint="eastAsia" w:ascii="仿宋" w:hAnsi="仿宋" w:eastAsia="仿宋"/>
          <w:b/>
          <w:kern w:val="44"/>
          <w:sz w:val="32"/>
          <w:szCs w:val="32"/>
        </w:rPr>
        <w:t>一、基本情况</w:t>
      </w:r>
      <w:bookmarkStart w:id="0" w:name="_GoBack"/>
      <w:bookmarkEnd w:id="0"/>
    </w:p>
    <w:p>
      <w:pPr>
        <w:keepNext/>
        <w:keepLines/>
        <w:spacing w:line="480" w:lineRule="exact"/>
        <w:ind w:firstLine="640" w:firstLineChars="200"/>
        <w:jc w:val="left"/>
        <w:outlineLvl w:val="0"/>
        <w:rPr>
          <w:rFonts w:ascii="仿宋" w:hAnsi="仿宋" w:eastAsia="仿宋"/>
          <w:kern w:val="44"/>
          <w:sz w:val="32"/>
          <w:szCs w:val="32"/>
        </w:rPr>
      </w:pPr>
      <w:r>
        <w:rPr>
          <w:rFonts w:hint="eastAsia" w:ascii="仿宋" w:hAnsi="仿宋" w:eastAsia="仿宋" w:cs="宋体"/>
          <w:kern w:val="0"/>
          <w:sz w:val="32"/>
          <w:szCs w:val="32"/>
        </w:rPr>
        <w:t>（一）学校全称：泰山医学院</w:t>
      </w:r>
      <w:r>
        <w:rPr>
          <w:rFonts w:hint="eastAsia" w:eastAsia="仿宋" w:cs="宋体" w:asciiTheme="minorEastAsia" w:hAnsiTheme="minorEastAsia"/>
          <w:kern w:val="0"/>
          <w:sz w:val="32"/>
          <w:szCs w:val="32"/>
        </w:rPr>
        <w:t> </w:t>
      </w:r>
      <w:r>
        <w:rPr>
          <w:rFonts w:hint="eastAsia" w:ascii="仿宋" w:hAnsi="仿宋" w:eastAsia="仿宋" w:cs="宋体"/>
          <w:kern w:val="0"/>
          <w:sz w:val="32"/>
          <w:szCs w:val="32"/>
        </w:rPr>
        <w:t xml:space="preserve"> 学校代码：10439</w:t>
      </w:r>
    </w:p>
    <w:p>
      <w:pPr>
        <w:keepNext/>
        <w:keepLines/>
        <w:spacing w:line="480" w:lineRule="exact"/>
        <w:ind w:left="638" w:leftChars="304"/>
        <w:jc w:val="left"/>
        <w:outlineLvl w:val="0"/>
        <w:rPr>
          <w:rFonts w:hint="eastAsia" w:ascii="仿宋" w:hAnsi="仿宋" w:eastAsia="仿宋" w:cs="宋体"/>
          <w:kern w:val="0"/>
          <w:sz w:val="32"/>
          <w:szCs w:val="32"/>
        </w:rPr>
      </w:pPr>
      <w:r>
        <w:rPr>
          <w:rFonts w:hint="eastAsia" w:ascii="仿宋" w:hAnsi="仿宋" w:eastAsia="仿宋" w:cs="宋体"/>
          <w:kern w:val="0"/>
          <w:sz w:val="32"/>
          <w:szCs w:val="32"/>
        </w:rPr>
        <w:t>（二）学校校址：山东省泰安市长城路619号（校本部）；山东省泰安市迎胜东路2号（天外村校区）</w:t>
      </w:r>
    </w:p>
    <w:p>
      <w:pPr>
        <w:keepNext/>
        <w:keepLines/>
        <w:spacing w:line="480" w:lineRule="exact"/>
        <w:ind w:left="638" w:leftChars="304"/>
        <w:jc w:val="left"/>
        <w:outlineLvl w:val="0"/>
        <w:rPr>
          <w:rFonts w:ascii="仿宋" w:hAnsi="仿宋" w:eastAsia="仿宋"/>
          <w:kern w:val="44"/>
          <w:sz w:val="32"/>
          <w:szCs w:val="32"/>
        </w:rPr>
      </w:pPr>
      <w:r>
        <w:rPr>
          <w:rFonts w:hint="eastAsia" w:ascii="仿宋" w:hAnsi="仿宋" w:eastAsia="仿宋" w:cs="宋体"/>
          <w:kern w:val="0"/>
          <w:sz w:val="32"/>
          <w:szCs w:val="32"/>
        </w:rPr>
        <w:t>（三）办学类型：公办普通高等学校</w:t>
      </w:r>
    </w:p>
    <w:p>
      <w:pPr>
        <w:keepNext/>
        <w:keepLines/>
        <w:spacing w:line="480" w:lineRule="exact"/>
        <w:ind w:left="638" w:leftChars="304"/>
        <w:jc w:val="left"/>
        <w:outlineLvl w:val="0"/>
        <w:rPr>
          <w:rFonts w:ascii="仿宋" w:hAnsi="仿宋" w:eastAsia="仿宋"/>
          <w:kern w:val="44"/>
          <w:sz w:val="32"/>
          <w:szCs w:val="32"/>
        </w:rPr>
      </w:pPr>
      <w:r>
        <w:rPr>
          <w:rFonts w:hint="eastAsia" w:ascii="仿宋" w:hAnsi="仿宋" w:eastAsia="仿宋" w:cs="宋体"/>
          <w:kern w:val="0"/>
          <w:sz w:val="32"/>
          <w:szCs w:val="32"/>
        </w:rPr>
        <w:t>（四）学习形式：普通高等学校全日制</w:t>
      </w:r>
    </w:p>
    <w:p>
      <w:pPr>
        <w:keepNext/>
        <w:keepLines/>
        <w:spacing w:line="480" w:lineRule="exact"/>
        <w:ind w:left="638" w:leftChars="304"/>
        <w:jc w:val="left"/>
        <w:outlineLvl w:val="0"/>
        <w:rPr>
          <w:rFonts w:ascii="仿宋" w:hAnsi="仿宋" w:eastAsia="仿宋"/>
          <w:kern w:val="44"/>
          <w:sz w:val="32"/>
          <w:szCs w:val="32"/>
        </w:rPr>
      </w:pPr>
      <w:r>
        <w:rPr>
          <w:rFonts w:hint="eastAsia" w:ascii="仿宋" w:hAnsi="仿宋" w:eastAsia="仿宋" w:cs="宋体"/>
          <w:kern w:val="0"/>
          <w:sz w:val="32"/>
          <w:szCs w:val="32"/>
        </w:rPr>
        <w:t>（五）学校概况：</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泰山医学院前身为山东医学院楼德分院，办学历史可追溯到1891年创办的华美医院医校。学校现在是国家教育部、卫生部第一批卓越医生教育培养计划改革试点高校，国家教育部、卫生和计划生育委员会确定的第一批临床医学硕士专业学位研究生培养模式改革试点高校。2013年，学校成功入选山东省应用型人才培养特色名校立项建设单位。学校现占地3000余亩，校舍建筑面积82万平方米，固定资产14.58亿元，教学科研设备总值3.15亿元，馆藏纸质图书208万册。有全日制在校本专科学生22000余人，全日制硕士研究生800余人，留学生600余人。学校校本部教职工1500余人，其中专任教师1100余人，享受国务院政府特殊津贴专家17人，山东省有突出贡献的中青年专家6人，全国优秀教师7人，山东省教学名师8人，山东省泰山学者特聘教授4人，泰山学者海外特聘专家3人，泰山学者青年专家2人，山东省高等学校重点实验室首席专家4人，泰安市拔尖人才3人，2级教授13人。学校现有44个本科专业，其中其中国家级特色专业4个，省级特色专业8个，省级高水平应用型建设专业（群）5个，涵盖20个专业，省级卓越工程师教育培养计划试点专业3个。；建设有43门省级精品课程、2门省级双语教学示范课程、2个山东省省级实验教学示范中心。有7个省级重点学科，5个重点实验室；有5个一级学科硕士授权点，41个学术型硕士学位授权点，23个专业型硕士学位授权点。有直属附属医院1所，非直属附属医院18所，其他各类实习见习教学基地250余家。</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目前，山东省政府正在整合泰山医学院与山东省医学科学院等资源，组建新的医科大学。</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（六）办学定位：</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总体目标定位：坚持“立德树人，育才为民”的办学理念，秉承“登攀”精神，努力建设国内知名、特色鲜明的以医学为主体的教学应用型高水平大学。</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办学类型定位：教学应用型大学。</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办学层次定位：学校的主要教育形式是全日制学历教育，以本科生和研究生教育为主，积极发展留学生教育、继续教育和中外合作教育。</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学科专业定位：以医学为主体，以医工结合为特色，构建医工、医药、医理、医管等交叉融合、相互支撑、协同发展的学科体系和专业格局。</w:t>
      </w:r>
    </w:p>
    <w:p>
      <w:pPr>
        <w:keepNext/>
        <w:keepLines/>
        <w:spacing w:line="480" w:lineRule="exact"/>
        <w:ind w:firstLine="643" w:firstLineChars="200"/>
        <w:jc w:val="left"/>
        <w:outlineLvl w:val="0"/>
        <w:rPr>
          <w:rFonts w:hint="eastAsia" w:ascii="仿宋" w:hAnsi="仿宋" w:eastAsia="仿宋" w:cs="宋体"/>
          <w:b/>
          <w:bCs/>
          <w:kern w:val="0"/>
          <w:sz w:val="32"/>
          <w:szCs w:val="32"/>
        </w:rPr>
      </w:pPr>
      <w:r>
        <w:rPr>
          <w:rFonts w:hint="eastAsia" w:ascii="仿宋" w:hAnsi="仿宋" w:eastAsia="仿宋" w:cs="宋体"/>
          <w:b/>
          <w:bCs/>
          <w:kern w:val="0"/>
          <w:sz w:val="32"/>
          <w:szCs w:val="32"/>
        </w:rPr>
        <w:t>新的医科大学正式成立后，学校将以国家战略和区域需求为导向，立足山东、辐射全国、面向世界，创新发展、提高质量;以医学为主，医学与理学、工学等医学相关学科交叉融合、协调发展；以本科教育为主体，大力发展硕士、博士研究生教育；以培养具有较高职业素养、实践能力、国际视野和创新精神的高水平医药卫生人才为核心使命，建成国内一流、国际上有重要影响的，有明显优势和特色的应用研究型大学。</w:t>
      </w:r>
    </w:p>
    <w:p>
      <w:pPr>
        <w:keepNext/>
        <w:keepLines/>
        <w:spacing w:line="480" w:lineRule="exact"/>
        <w:ind w:firstLine="643" w:firstLineChars="200"/>
        <w:jc w:val="left"/>
        <w:outlineLvl w:val="0"/>
        <w:rPr>
          <w:rFonts w:hint="eastAsia" w:ascii="仿宋" w:hAnsi="仿宋" w:eastAsia="仿宋" w:cs="宋体"/>
          <w:b/>
          <w:bCs/>
          <w:kern w:val="0"/>
          <w:sz w:val="32"/>
          <w:szCs w:val="32"/>
        </w:rPr>
      </w:pPr>
      <w:r>
        <w:rPr>
          <w:rFonts w:hint="eastAsia" w:ascii="仿宋" w:hAnsi="仿宋" w:eastAsia="仿宋" w:cs="宋体"/>
          <w:b/>
          <w:bCs/>
          <w:kern w:val="0"/>
          <w:sz w:val="32"/>
          <w:szCs w:val="32"/>
          <w:lang w:eastAsia="zh-CN"/>
        </w:rPr>
        <w:t>二、</w:t>
      </w:r>
      <w:r>
        <w:rPr>
          <w:rFonts w:hint="eastAsia" w:ascii="仿宋" w:hAnsi="仿宋" w:eastAsia="仿宋" w:cs="宋体"/>
          <w:b/>
          <w:bCs/>
          <w:kern w:val="0"/>
          <w:sz w:val="32"/>
          <w:szCs w:val="32"/>
        </w:rPr>
        <w:t>招生组织机构及职责</w:t>
      </w:r>
    </w:p>
    <w:p>
      <w:pPr>
        <w:keepNext/>
        <w:keepLines/>
        <w:spacing w:line="480" w:lineRule="exact"/>
        <w:ind w:firstLine="640" w:firstLineChars="200"/>
        <w:jc w:val="left"/>
        <w:outlineLvl w:val="0"/>
        <w:rPr>
          <w:rFonts w:hint="eastAsia" w:ascii="仿宋" w:hAnsi="仿宋" w:eastAsia="仿宋" w:cs="宋体"/>
          <w:b w:val="0"/>
          <w:bCs w:val="0"/>
          <w:kern w:val="0"/>
          <w:sz w:val="32"/>
          <w:szCs w:val="32"/>
        </w:rPr>
      </w:pPr>
      <w:r>
        <w:rPr>
          <w:rFonts w:hint="eastAsia" w:ascii="仿宋" w:hAnsi="仿宋" w:eastAsia="仿宋" w:cs="宋体"/>
          <w:b w:val="0"/>
          <w:bCs w:val="0"/>
          <w:kern w:val="0"/>
          <w:sz w:val="32"/>
          <w:szCs w:val="32"/>
        </w:rPr>
        <w:t>1.学校成立由校长、分管副校长、纪委书记和有关部门负责人组成的招生工作领导小组，全面负责招生工作，集体研究决定招生工作中的重大事宜。</w:t>
      </w:r>
    </w:p>
    <w:p>
      <w:pPr>
        <w:keepNext/>
        <w:keepLines/>
        <w:spacing w:line="480" w:lineRule="exact"/>
        <w:ind w:firstLine="640" w:firstLineChars="200"/>
        <w:jc w:val="left"/>
        <w:outlineLvl w:val="0"/>
        <w:rPr>
          <w:rFonts w:hint="eastAsia" w:ascii="仿宋" w:hAnsi="仿宋" w:eastAsia="仿宋" w:cs="宋体"/>
          <w:b w:val="0"/>
          <w:bCs w:val="0"/>
          <w:kern w:val="0"/>
          <w:sz w:val="32"/>
          <w:szCs w:val="32"/>
        </w:rPr>
      </w:pPr>
      <w:r>
        <w:rPr>
          <w:rFonts w:hint="eastAsia" w:ascii="仿宋" w:hAnsi="仿宋" w:eastAsia="仿宋" w:cs="宋体"/>
          <w:b w:val="0"/>
          <w:bCs w:val="0"/>
          <w:kern w:val="0"/>
          <w:sz w:val="32"/>
          <w:szCs w:val="32"/>
        </w:rPr>
        <w:t>2.招生办公室为学校招生常设机构，在学校招生工作领导小组的领导下，贯彻执行国家招生政策和规章，具体负责学校招生工作的组织实施。</w:t>
      </w:r>
    </w:p>
    <w:p>
      <w:pPr>
        <w:keepNext/>
        <w:keepLines/>
        <w:spacing w:line="480" w:lineRule="exact"/>
        <w:ind w:firstLine="640" w:firstLineChars="200"/>
        <w:jc w:val="left"/>
        <w:outlineLvl w:val="0"/>
        <w:rPr>
          <w:rFonts w:hint="eastAsia" w:ascii="仿宋" w:hAnsi="仿宋" w:eastAsia="仿宋" w:cs="宋体"/>
          <w:b w:val="0"/>
          <w:bCs w:val="0"/>
          <w:kern w:val="0"/>
          <w:sz w:val="32"/>
          <w:szCs w:val="32"/>
        </w:rPr>
      </w:pPr>
      <w:r>
        <w:rPr>
          <w:rFonts w:hint="eastAsia" w:ascii="仿宋" w:hAnsi="仿宋" w:eastAsia="仿宋" w:cs="宋体"/>
          <w:b w:val="0"/>
          <w:bCs w:val="0"/>
          <w:kern w:val="0"/>
          <w:sz w:val="32"/>
          <w:szCs w:val="32"/>
        </w:rPr>
        <w:t>3.学校纪检监察部门为招生监督机构，对招生工作实施监督，受理举报或投诉。</w:t>
      </w:r>
    </w:p>
    <w:p>
      <w:pPr>
        <w:keepNext/>
        <w:keepLines/>
        <w:spacing w:line="480" w:lineRule="exact"/>
        <w:ind w:firstLine="643" w:firstLineChars="200"/>
        <w:jc w:val="left"/>
        <w:outlineLvl w:val="0"/>
        <w:rPr>
          <w:rFonts w:ascii="仿宋" w:hAnsi="仿宋" w:eastAsia="仿宋" w:cs="宋体"/>
          <w:b/>
          <w:bCs/>
          <w:kern w:val="0"/>
          <w:sz w:val="32"/>
          <w:szCs w:val="32"/>
        </w:rPr>
      </w:pPr>
      <w:r>
        <w:rPr>
          <w:rFonts w:hint="eastAsia" w:ascii="仿宋" w:hAnsi="仿宋" w:eastAsia="仿宋"/>
          <w:b/>
          <w:kern w:val="44"/>
          <w:sz w:val="32"/>
          <w:szCs w:val="32"/>
          <w:lang w:eastAsia="zh-CN"/>
        </w:rPr>
        <w:t>三</w:t>
      </w:r>
      <w:r>
        <w:rPr>
          <w:rFonts w:hint="eastAsia" w:ascii="仿宋" w:hAnsi="仿宋" w:eastAsia="仿宋"/>
          <w:b/>
          <w:kern w:val="44"/>
          <w:sz w:val="32"/>
          <w:szCs w:val="32"/>
        </w:rPr>
        <w:t>、专升本具体要求</w:t>
      </w:r>
    </w:p>
    <w:p>
      <w:pPr>
        <w:keepNext/>
        <w:keepLines/>
        <w:spacing w:line="480" w:lineRule="exact"/>
        <w:ind w:firstLine="640" w:firstLineChars="200"/>
        <w:jc w:val="left"/>
        <w:outlineLvl w:val="0"/>
        <w:rPr>
          <w:rFonts w:ascii="仿宋" w:hAnsi="仿宋" w:eastAsia="仿宋" w:cs="宋体"/>
          <w:b/>
          <w:bCs/>
          <w:kern w:val="0"/>
          <w:sz w:val="32"/>
          <w:szCs w:val="32"/>
        </w:rPr>
      </w:pPr>
      <w:r>
        <w:rPr>
          <w:rFonts w:hint="eastAsia" w:ascii="仿宋" w:hAnsi="仿宋" w:eastAsia="仿宋"/>
          <w:kern w:val="0"/>
          <w:sz w:val="32"/>
          <w:szCs w:val="32"/>
        </w:rPr>
        <w:t>（一）报考条件</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1.遵守《中华人民共和国宪法》及其他法律法规；</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2.专科学习期间无记过及以上纪律处分；或专科学习期间受到记过或留校察看纪律处分，但报考前已解除处分的;</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3.身体健康；</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4.专科阶段必须获得专科毕业证书。</w:t>
      </w:r>
    </w:p>
    <w:p>
      <w:pPr>
        <w:widowControl/>
        <w:spacing w:line="480" w:lineRule="exact"/>
        <w:ind w:firstLine="640" w:firstLineChars="200"/>
        <w:jc w:val="left"/>
        <w:rPr>
          <w:rFonts w:ascii="仿宋" w:hAnsi="仿宋" w:eastAsia="仿宋" w:cs="宋体"/>
          <w:kern w:val="0"/>
          <w:sz w:val="32"/>
          <w:szCs w:val="32"/>
        </w:rPr>
      </w:pPr>
      <w:r>
        <w:rPr>
          <w:rFonts w:ascii="仿宋" w:hAnsi="仿宋" w:eastAsia="仿宋"/>
          <w:sz w:val="32"/>
          <w:szCs w:val="32"/>
        </w:rPr>
        <w:t>5</w:t>
      </w:r>
      <w:r>
        <w:rPr>
          <w:rFonts w:hint="eastAsia" w:ascii="仿宋" w:hAnsi="仿宋" w:eastAsia="仿宋"/>
          <w:sz w:val="32"/>
          <w:szCs w:val="32"/>
        </w:rPr>
        <w:t>.</w:t>
      </w:r>
      <w:r>
        <w:rPr>
          <w:rFonts w:hint="eastAsia" w:ascii="仿宋" w:hAnsi="仿宋" w:eastAsia="仿宋" w:cs="宋体"/>
          <w:kern w:val="0"/>
          <w:sz w:val="32"/>
          <w:szCs w:val="32"/>
        </w:rPr>
        <w:t>报考医学类专业专升本的考生，其专科阶段学习专业须为医学类或医学类相关专业；将来需要参加医师</w:t>
      </w:r>
      <w:r>
        <w:rPr>
          <w:rFonts w:hint="eastAsia" w:ascii="仿宋" w:hAnsi="仿宋" w:eastAsia="仿宋"/>
          <w:sz w:val="32"/>
          <w:szCs w:val="32"/>
        </w:rPr>
        <w:t>、护士</w:t>
      </w:r>
      <w:r>
        <w:rPr>
          <w:rFonts w:hint="eastAsia" w:ascii="仿宋" w:hAnsi="仿宋" w:eastAsia="仿宋" w:cs="宋体"/>
          <w:kern w:val="0"/>
          <w:sz w:val="32"/>
          <w:szCs w:val="32"/>
        </w:rPr>
        <w:t>资格考试的考生，其专科阶段学习专业等条件须符合资格考试相关规定。其他专业招生不受考生所学专业的限制。</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（二）报名范围</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1.我省普通本专科院校（含高职院校）应届普通高等教育专科（高职）毕业生；</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2.具有普通高等教育专科（高职）毕业学历，且具有山东省辖区户籍的退役士兵（含2019年普通高等教育专科（高职）毕业的退役士兵）。</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（三）招生专业和招生计划</w:t>
      </w:r>
    </w:p>
    <w:tbl>
      <w:tblPr>
        <w:tblStyle w:val="15"/>
        <w:tblW w:w="6477" w:type="dxa"/>
        <w:jc w:val="center"/>
        <w:tblInd w:w="0" w:type="dxa"/>
        <w:tblLayout w:type="fixed"/>
        <w:tblCellMar>
          <w:top w:w="0" w:type="dxa"/>
          <w:left w:w="108" w:type="dxa"/>
          <w:bottom w:w="0" w:type="dxa"/>
          <w:right w:w="108" w:type="dxa"/>
        </w:tblCellMar>
      </w:tblPr>
      <w:tblGrid>
        <w:gridCol w:w="1118"/>
        <w:gridCol w:w="2898"/>
        <w:gridCol w:w="2461"/>
      </w:tblGrid>
      <w:tr>
        <w:tblPrEx>
          <w:tblLayout w:type="fixed"/>
          <w:tblCellMar>
            <w:top w:w="0" w:type="dxa"/>
            <w:left w:w="108" w:type="dxa"/>
            <w:bottom w:w="0" w:type="dxa"/>
            <w:right w:w="108" w:type="dxa"/>
          </w:tblCellMar>
        </w:tblPrEx>
        <w:trPr>
          <w:trHeight w:val="285"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b/>
                <w:kern w:val="0"/>
                <w:sz w:val="32"/>
                <w:szCs w:val="32"/>
              </w:rPr>
            </w:pPr>
            <w:r>
              <w:rPr>
                <w:rFonts w:hint="eastAsia" w:ascii="仿宋" w:hAnsi="仿宋" w:eastAsia="仿宋"/>
                <w:b/>
                <w:kern w:val="0"/>
                <w:sz w:val="32"/>
                <w:szCs w:val="32"/>
              </w:rPr>
              <w:t>序号</w:t>
            </w:r>
          </w:p>
        </w:tc>
        <w:tc>
          <w:tcPr>
            <w:tcW w:w="2898"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b/>
                <w:kern w:val="0"/>
                <w:sz w:val="32"/>
                <w:szCs w:val="32"/>
              </w:rPr>
            </w:pPr>
            <w:r>
              <w:rPr>
                <w:rFonts w:hint="eastAsia" w:ascii="仿宋" w:hAnsi="仿宋" w:eastAsia="仿宋"/>
                <w:b/>
                <w:kern w:val="0"/>
                <w:sz w:val="32"/>
                <w:szCs w:val="32"/>
              </w:rPr>
              <w:t>招生专业</w:t>
            </w:r>
          </w:p>
        </w:tc>
        <w:tc>
          <w:tcPr>
            <w:tcW w:w="2461"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b/>
                <w:kern w:val="0"/>
                <w:sz w:val="32"/>
                <w:szCs w:val="32"/>
              </w:rPr>
            </w:pPr>
            <w:r>
              <w:rPr>
                <w:rFonts w:hint="eastAsia" w:ascii="仿宋" w:hAnsi="仿宋" w:eastAsia="仿宋"/>
                <w:b/>
                <w:kern w:val="0"/>
                <w:sz w:val="32"/>
                <w:szCs w:val="32"/>
              </w:rPr>
              <w:t>招生计划（人）</w:t>
            </w:r>
          </w:p>
        </w:tc>
      </w:tr>
      <w:tr>
        <w:tblPrEx>
          <w:tblLayout w:type="fixed"/>
          <w:tblCellMar>
            <w:top w:w="0" w:type="dxa"/>
            <w:left w:w="108" w:type="dxa"/>
            <w:bottom w:w="0" w:type="dxa"/>
            <w:right w:w="108" w:type="dxa"/>
          </w:tblCellMar>
        </w:tblPrEx>
        <w:trPr>
          <w:trHeight w:val="285"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1</w:t>
            </w:r>
          </w:p>
        </w:tc>
        <w:tc>
          <w:tcPr>
            <w:tcW w:w="2898"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kern w:val="0"/>
                <w:sz w:val="32"/>
                <w:szCs w:val="32"/>
              </w:rPr>
              <w:t>护理学</w:t>
            </w:r>
          </w:p>
        </w:tc>
        <w:tc>
          <w:tcPr>
            <w:tcW w:w="2461"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cs="宋体"/>
                <w:kern w:val="0"/>
                <w:sz w:val="32"/>
                <w:szCs w:val="32"/>
              </w:rPr>
              <w:t>70</w:t>
            </w:r>
          </w:p>
        </w:tc>
      </w:tr>
      <w:tr>
        <w:tblPrEx>
          <w:tblLayout w:type="fixed"/>
          <w:tblCellMar>
            <w:top w:w="0" w:type="dxa"/>
            <w:left w:w="108" w:type="dxa"/>
            <w:bottom w:w="0" w:type="dxa"/>
            <w:right w:w="108" w:type="dxa"/>
          </w:tblCellMar>
        </w:tblPrEx>
        <w:trPr>
          <w:trHeight w:val="285"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2</w:t>
            </w:r>
          </w:p>
        </w:tc>
        <w:tc>
          <w:tcPr>
            <w:tcW w:w="2898"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kern w:val="0"/>
                <w:sz w:val="32"/>
                <w:szCs w:val="32"/>
              </w:rPr>
              <w:t>康复治疗学</w:t>
            </w:r>
          </w:p>
        </w:tc>
        <w:tc>
          <w:tcPr>
            <w:tcW w:w="2461"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cs="宋体"/>
                <w:kern w:val="0"/>
                <w:sz w:val="32"/>
                <w:szCs w:val="32"/>
              </w:rPr>
              <w:t>50</w:t>
            </w:r>
          </w:p>
        </w:tc>
      </w:tr>
      <w:tr>
        <w:tblPrEx>
          <w:tblLayout w:type="fixed"/>
          <w:tblCellMar>
            <w:top w:w="0" w:type="dxa"/>
            <w:left w:w="108" w:type="dxa"/>
            <w:bottom w:w="0" w:type="dxa"/>
            <w:right w:w="108" w:type="dxa"/>
          </w:tblCellMar>
        </w:tblPrEx>
        <w:trPr>
          <w:trHeight w:val="285"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3</w:t>
            </w:r>
          </w:p>
        </w:tc>
        <w:tc>
          <w:tcPr>
            <w:tcW w:w="2898"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kern w:val="0"/>
                <w:sz w:val="32"/>
                <w:szCs w:val="32"/>
              </w:rPr>
              <w:t>旅游管理</w:t>
            </w:r>
          </w:p>
        </w:tc>
        <w:tc>
          <w:tcPr>
            <w:tcW w:w="2461"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50</w:t>
            </w:r>
          </w:p>
        </w:tc>
      </w:tr>
      <w:tr>
        <w:tblPrEx>
          <w:tblLayout w:type="fixed"/>
          <w:tblCellMar>
            <w:top w:w="0" w:type="dxa"/>
            <w:left w:w="108" w:type="dxa"/>
            <w:bottom w:w="0" w:type="dxa"/>
            <w:right w:w="108" w:type="dxa"/>
          </w:tblCellMar>
        </w:tblPrEx>
        <w:trPr>
          <w:trHeight w:val="285" w:hRule="atLeast"/>
          <w:jc w:val="center"/>
        </w:trPr>
        <w:tc>
          <w:tcPr>
            <w:tcW w:w="1118"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4</w:t>
            </w:r>
          </w:p>
        </w:tc>
        <w:tc>
          <w:tcPr>
            <w:tcW w:w="2898"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kern w:val="0"/>
                <w:sz w:val="32"/>
                <w:szCs w:val="32"/>
              </w:rPr>
              <w:t>医学检验技术</w:t>
            </w:r>
          </w:p>
        </w:tc>
        <w:tc>
          <w:tcPr>
            <w:tcW w:w="246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50</w:t>
            </w:r>
          </w:p>
        </w:tc>
      </w:tr>
      <w:tr>
        <w:tblPrEx>
          <w:tblLayout w:type="fixed"/>
          <w:tblCellMar>
            <w:top w:w="0" w:type="dxa"/>
            <w:left w:w="108" w:type="dxa"/>
            <w:bottom w:w="0" w:type="dxa"/>
            <w:right w:w="108" w:type="dxa"/>
          </w:tblCellMar>
        </w:tblPrEx>
        <w:trPr>
          <w:trHeight w:val="285" w:hRule="atLeast"/>
          <w:jc w:val="center"/>
        </w:trPr>
        <w:tc>
          <w:tcPr>
            <w:tcW w:w="1118"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5</w:t>
            </w:r>
          </w:p>
        </w:tc>
        <w:tc>
          <w:tcPr>
            <w:tcW w:w="2898"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kern w:val="0"/>
                <w:sz w:val="32"/>
                <w:szCs w:val="32"/>
              </w:rPr>
              <w:t>医学影像技术</w:t>
            </w:r>
          </w:p>
        </w:tc>
        <w:tc>
          <w:tcPr>
            <w:tcW w:w="246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50</w:t>
            </w:r>
          </w:p>
        </w:tc>
      </w:tr>
      <w:tr>
        <w:tblPrEx>
          <w:tblLayout w:type="fixed"/>
          <w:tblCellMar>
            <w:top w:w="0" w:type="dxa"/>
            <w:left w:w="108" w:type="dxa"/>
            <w:bottom w:w="0" w:type="dxa"/>
            <w:right w:w="108" w:type="dxa"/>
          </w:tblCellMar>
        </w:tblPrEx>
        <w:trPr>
          <w:trHeight w:val="285" w:hRule="atLeast"/>
          <w:jc w:val="center"/>
        </w:trPr>
        <w:tc>
          <w:tcPr>
            <w:tcW w:w="1118"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6</w:t>
            </w:r>
          </w:p>
        </w:tc>
        <w:tc>
          <w:tcPr>
            <w:tcW w:w="2898"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hint="eastAsia" w:ascii="仿宋" w:hAnsi="仿宋" w:eastAsia="仿宋"/>
                <w:kern w:val="0"/>
                <w:sz w:val="32"/>
                <w:szCs w:val="32"/>
              </w:rPr>
              <w:t>计算机科学与技术</w:t>
            </w:r>
          </w:p>
        </w:tc>
        <w:tc>
          <w:tcPr>
            <w:tcW w:w="246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kern w:val="0"/>
                <w:sz w:val="32"/>
                <w:szCs w:val="32"/>
              </w:rPr>
            </w:pPr>
            <w:r>
              <w:rPr>
                <w:rFonts w:ascii="仿宋" w:hAnsi="仿宋" w:eastAsia="仿宋"/>
                <w:kern w:val="0"/>
                <w:sz w:val="32"/>
                <w:szCs w:val="32"/>
              </w:rPr>
              <w:t>50</w:t>
            </w:r>
          </w:p>
        </w:tc>
      </w:tr>
      <w:tr>
        <w:tblPrEx>
          <w:tblLayout w:type="fixed"/>
          <w:tblCellMar>
            <w:top w:w="0" w:type="dxa"/>
            <w:left w:w="108" w:type="dxa"/>
            <w:bottom w:w="0" w:type="dxa"/>
            <w:right w:w="108" w:type="dxa"/>
          </w:tblCellMar>
        </w:tblPrEx>
        <w:trPr>
          <w:trHeight w:val="285" w:hRule="atLeast"/>
          <w:jc w:val="center"/>
        </w:trPr>
        <w:tc>
          <w:tcPr>
            <w:tcW w:w="1118"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7</w:t>
            </w:r>
          </w:p>
        </w:tc>
        <w:tc>
          <w:tcPr>
            <w:tcW w:w="2898"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市场营销</w:t>
            </w:r>
          </w:p>
        </w:tc>
        <w:tc>
          <w:tcPr>
            <w:tcW w:w="246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50</w:t>
            </w:r>
          </w:p>
        </w:tc>
      </w:tr>
      <w:tr>
        <w:tblPrEx>
          <w:tblLayout w:type="fixed"/>
          <w:tblCellMar>
            <w:top w:w="0" w:type="dxa"/>
            <w:left w:w="108" w:type="dxa"/>
            <w:bottom w:w="0" w:type="dxa"/>
            <w:right w:w="108" w:type="dxa"/>
          </w:tblCellMar>
        </w:tblPrEx>
        <w:trPr>
          <w:trHeight w:val="285" w:hRule="atLeast"/>
          <w:jc w:val="center"/>
        </w:trPr>
        <w:tc>
          <w:tcPr>
            <w:tcW w:w="1118"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8</w:t>
            </w:r>
          </w:p>
        </w:tc>
        <w:tc>
          <w:tcPr>
            <w:tcW w:w="2898"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英语</w:t>
            </w:r>
          </w:p>
        </w:tc>
        <w:tc>
          <w:tcPr>
            <w:tcW w:w="246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30</w:t>
            </w:r>
          </w:p>
        </w:tc>
      </w:tr>
      <w:tr>
        <w:tblPrEx>
          <w:tblLayout w:type="fixed"/>
          <w:tblCellMar>
            <w:top w:w="0" w:type="dxa"/>
            <w:left w:w="108" w:type="dxa"/>
            <w:bottom w:w="0" w:type="dxa"/>
            <w:right w:w="108" w:type="dxa"/>
          </w:tblCellMar>
        </w:tblPrEx>
        <w:trPr>
          <w:trHeight w:val="285" w:hRule="atLeast"/>
          <w:jc w:val="center"/>
        </w:trPr>
        <w:tc>
          <w:tcPr>
            <w:tcW w:w="4016" w:type="dxa"/>
            <w:gridSpan w:val="2"/>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b/>
                <w:kern w:val="0"/>
                <w:sz w:val="32"/>
                <w:szCs w:val="32"/>
              </w:rPr>
            </w:pPr>
            <w:r>
              <w:rPr>
                <w:rFonts w:hint="eastAsia" w:ascii="仿宋" w:hAnsi="仿宋" w:eastAsia="仿宋"/>
                <w:b/>
                <w:kern w:val="0"/>
                <w:sz w:val="32"/>
                <w:szCs w:val="32"/>
              </w:rPr>
              <w:t>总</w:t>
            </w:r>
            <w:r>
              <w:rPr>
                <w:rFonts w:ascii="仿宋" w:hAnsi="仿宋" w:eastAsia="仿宋"/>
                <w:b/>
                <w:kern w:val="0"/>
                <w:sz w:val="32"/>
                <w:szCs w:val="32"/>
              </w:rPr>
              <w:t xml:space="preserve">     </w:t>
            </w:r>
            <w:r>
              <w:rPr>
                <w:rFonts w:hint="eastAsia" w:ascii="仿宋" w:hAnsi="仿宋" w:eastAsia="仿宋"/>
                <w:b/>
                <w:kern w:val="0"/>
                <w:sz w:val="32"/>
                <w:szCs w:val="32"/>
              </w:rPr>
              <w:t>计</w:t>
            </w:r>
          </w:p>
        </w:tc>
        <w:tc>
          <w:tcPr>
            <w:tcW w:w="246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b/>
                <w:kern w:val="0"/>
                <w:sz w:val="32"/>
                <w:szCs w:val="32"/>
              </w:rPr>
            </w:pPr>
            <w:r>
              <w:rPr>
                <w:rFonts w:ascii="仿宋" w:hAnsi="仿宋" w:eastAsia="仿宋"/>
                <w:b/>
                <w:kern w:val="0"/>
                <w:sz w:val="32"/>
                <w:szCs w:val="32"/>
              </w:rPr>
              <w:t>400</w:t>
            </w:r>
          </w:p>
        </w:tc>
      </w:tr>
    </w:tbl>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（四）考试科目</w:t>
      </w:r>
    </w:p>
    <w:p>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考试科目为3门，其中</w:t>
      </w:r>
      <w:r>
        <w:rPr>
          <w:rFonts w:ascii="仿宋" w:hAnsi="仿宋" w:eastAsia="仿宋"/>
          <w:sz w:val="32"/>
          <w:szCs w:val="32"/>
        </w:rPr>
        <w:t>2</w:t>
      </w:r>
      <w:r>
        <w:rPr>
          <w:rFonts w:hint="eastAsia" w:ascii="仿宋" w:hAnsi="仿宋" w:eastAsia="仿宋"/>
          <w:sz w:val="32"/>
          <w:szCs w:val="32"/>
        </w:rPr>
        <w:t>门公共课，1门专业综合课。具体请参照《山东省教育厅关于做好2019年普通高等教育专科升本科招生工作的通知》（鲁教学字[2018]29号）及其附件2。</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考试时间：</w:t>
      </w:r>
      <w:r>
        <w:rPr>
          <w:rFonts w:hint="eastAsia" w:ascii="仿宋" w:hAnsi="仿宋" w:eastAsia="仿宋" w:cs="仿宋"/>
          <w:sz w:val="32"/>
          <w:szCs w:val="32"/>
        </w:rPr>
        <w:t>2019</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（五）招生录取</w:t>
      </w:r>
    </w:p>
    <w:p>
      <w:pPr>
        <w:widowControl/>
        <w:spacing w:line="48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.录取规则</w:t>
      </w:r>
    </w:p>
    <w:p>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根据《山东省教育厅关于做好</w:t>
      </w:r>
      <w:r>
        <w:rPr>
          <w:rFonts w:hint="eastAsia" w:ascii="仿宋" w:hAnsi="仿宋" w:eastAsia="仿宋" w:cs="仿宋"/>
          <w:sz w:val="32"/>
          <w:szCs w:val="32"/>
        </w:rPr>
        <w:t>2019</w:t>
      </w:r>
      <w:r>
        <w:rPr>
          <w:rFonts w:hint="eastAsia" w:ascii="仿宋" w:hAnsi="仿宋" w:eastAsia="仿宋"/>
          <w:sz w:val="32"/>
          <w:szCs w:val="32"/>
        </w:rPr>
        <w:t>年普通高等教育专科升本科招生工作的通知》（鲁教学字〔</w:t>
      </w:r>
      <w:r>
        <w:rPr>
          <w:rFonts w:hint="eastAsia" w:ascii="仿宋" w:hAnsi="仿宋" w:eastAsia="仿宋" w:cs="仿宋"/>
          <w:sz w:val="32"/>
          <w:szCs w:val="32"/>
        </w:rPr>
        <w:t>2018〕29</w:t>
      </w:r>
      <w:r>
        <w:rPr>
          <w:rFonts w:hint="eastAsia" w:ascii="仿宋" w:hAnsi="仿宋" w:eastAsia="仿宋"/>
          <w:sz w:val="32"/>
          <w:szCs w:val="32"/>
        </w:rPr>
        <w:t>号），继续实施过程性考核与专升本考试成绩相结合的多元录取机制。</w:t>
      </w:r>
    </w:p>
    <w:p>
      <w:pPr>
        <w:widowControl/>
        <w:numPr>
          <w:ilvl w:val="0"/>
          <w:numId w:val="1"/>
        </w:numPr>
        <w:spacing w:line="480" w:lineRule="exact"/>
        <w:ind w:firstLine="640" w:firstLineChars="200"/>
        <w:jc w:val="left"/>
        <w:rPr>
          <w:rFonts w:hint="eastAsia" w:ascii="仿宋" w:hAnsi="仿宋" w:eastAsia="仿宋"/>
          <w:sz w:val="32"/>
          <w:szCs w:val="32"/>
        </w:rPr>
      </w:pPr>
      <w:r>
        <w:rPr>
          <w:rFonts w:hint="eastAsia" w:ascii="仿宋" w:hAnsi="仿宋" w:eastAsia="仿宋"/>
          <w:sz w:val="32"/>
          <w:szCs w:val="32"/>
        </w:rPr>
        <w:t>依据考生专升本考试成绩，结合过程性考核结果择优录取。过程性考核结果由考生专科毕业所在学校提供，</w:t>
      </w:r>
      <w:r>
        <w:rPr>
          <w:rFonts w:hint="eastAsia" w:ascii="仿宋" w:hAnsi="仿宋" w:eastAsia="仿宋"/>
          <w:b/>
          <w:sz w:val="32"/>
          <w:szCs w:val="32"/>
          <w:u w:val="single"/>
        </w:rPr>
        <w:t>考核不合格者，我校将不予录取。</w:t>
      </w:r>
      <w:r>
        <w:rPr>
          <w:rFonts w:hint="eastAsia" w:ascii="仿宋" w:hAnsi="仿宋" w:eastAsia="仿宋"/>
          <w:sz w:val="32"/>
          <w:szCs w:val="32"/>
        </w:rPr>
        <w:t>考生过程性考核合格，同时成绩达到省教育招生考试院公布的专业最低录取分数线者，我校将根据其报考类别和志愿分专业从高分到低分依次录取。</w:t>
      </w:r>
    </w:p>
    <w:p>
      <w:pPr>
        <w:widowControl/>
        <w:numPr>
          <w:ilvl w:val="-1"/>
          <w:numId w:val="0"/>
        </w:numPr>
        <w:spacing w:line="480" w:lineRule="exact"/>
        <w:ind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免试生和退役士兵考生录取办法按照山东省教育厅及省招生主管部门有关规定执行。</w:t>
      </w:r>
    </w:p>
    <w:p>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）身体健康要求：按照教育部、卫生部、中国残疾人联合会印发的《普通高等学校招生体检工作指导意见》（教学［</w:t>
      </w:r>
      <w:r>
        <w:rPr>
          <w:rFonts w:ascii="仿宋" w:hAnsi="仿宋" w:eastAsia="仿宋"/>
          <w:sz w:val="32"/>
          <w:szCs w:val="32"/>
        </w:rPr>
        <w:t>2003</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号）及有关补充规定执行。</w:t>
      </w:r>
    </w:p>
    <w:p>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）退役士兵录取按照有关文件规定执行。</w:t>
      </w:r>
    </w:p>
    <w:p>
      <w:pPr>
        <w:spacing w:line="48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.过程性考核的主要内容</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）思想品德情况：包括专科学习期间遵守国家法律法规、校纪校规、社会公德的情况，参加学校或班级组织的思想教育活动、政治学习和社会公益活动的情况及其他体现学生思想品德的情况等；</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）学习情况：包括按专科学习期间必修课和规定学分内应修选修课的学习情况等（含初次考试成绩情况和补考成绩情况）；</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）参加社会实践活动、全国及全省职业院校技能大赛和获得技能证书的情况等；</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）身体健康状况；</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）其他体现学生特长和全面发展方面的情况。</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在校学习期间有下列情况之一的，将被认定过程性考核不合格：</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）因触犯国家法律法规，受到过司法机关刑事处罚或治安管理处罚的；</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）因考试作弊或其他违反学校规章制度的行为，受到过学校记过以上处分的；或受到学校警告、严重警告处分尚未解除的；</w:t>
      </w:r>
    </w:p>
    <w:p>
      <w:pPr>
        <w:widowControl/>
        <w:spacing w:line="48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cs="宋体"/>
          <w:kern w:val="0"/>
          <w:sz w:val="32"/>
          <w:szCs w:val="32"/>
        </w:rPr>
        <w:t>有4门及以上课程（含必修课和规定学分内的应修选修课，下同）初次考试不及格的；或有1门及以上课程初次考试不及格，经一次补考仍有不及格课程的。</w:t>
      </w:r>
    </w:p>
    <w:p>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（六）相关政策</w:t>
      </w:r>
    </w:p>
    <w:p>
      <w:pPr>
        <w:spacing w:line="48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被录取的学生持录取通知书、准考证、身份证、专科毕业证书及本人档案等相关材料按规定时间到学校报到，办理入学手续。报到时不能提供普通专科毕业证书的，不得报到入学，学校将取消其入学资格。学校在学生报到后</w:t>
      </w:r>
      <w:r>
        <w:rPr>
          <w:rFonts w:ascii="仿宋" w:hAnsi="仿宋" w:eastAsia="仿宋"/>
          <w:sz w:val="32"/>
          <w:szCs w:val="32"/>
        </w:rPr>
        <w:t>3</w:t>
      </w:r>
      <w:r>
        <w:rPr>
          <w:rFonts w:hint="eastAsia" w:ascii="仿宋" w:hAnsi="仿宋" w:eastAsia="仿宋"/>
          <w:sz w:val="32"/>
          <w:szCs w:val="32"/>
        </w:rPr>
        <w:t>个月内，按照有关规定对学生进行体检和资格复查，复查合格者予以注册，取得学籍，不合格者将取消入学资格予以清退。</w:t>
      </w:r>
    </w:p>
    <w:p>
      <w:pPr>
        <w:spacing w:line="48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.被录取的学生按照省财政厅、省物价局规定的收费标准向学校交纳有关费用。退费按照《山东省人民政府办公厅关于印发山东省高等学校收费管理办法的通知》（鲁政办字</w:t>
      </w:r>
      <w:r>
        <w:rPr>
          <w:rFonts w:hint="eastAsia" w:ascii="仿宋" w:hAnsi="仿宋" w:eastAsia="仿宋"/>
          <w:sz w:val="32"/>
          <w:szCs w:val="32"/>
          <w:lang w:val="en-US" w:eastAsia="zh-CN"/>
        </w:rPr>
        <w:t>[</w:t>
      </w:r>
      <w:r>
        <w:rPr>
          <w:rFonts w:ascii="仿宋" w:hAnsi="仿宋" w:eastAsia="仿宋"/>
          <w:sz w:val="32"/>
          <w:szCs w:val="32"/>
        </w:rPr>
        <w:t>2018</w:t>
      </w:r>
      <w:r>
        <w:rPr>
          <w:rFonts w:hint="eastAsia" w:ascii="仿宋" w:hAnsi="仿宋" w:eastAsia="仿宋"/>
          <w:sz w:val="32"/>
          <w:szCs w:val="32"/>
          <w:lang w:val="en-US" w:eastAsia="zh-CN"/>
        </w:rPr>
        <w:t>]</w:t>
      </w:r>
      <w:r>
        <w:rPr>
          <w:rFonts w:ascii="仿宋" w:hAnsi="仿宋" w:eastAsia="仿宋"/>
          <w:sz w:val="32"/>
          <w:szCs w:val="32"/>
        </w:rPr>
        <w:t>98号）有关规定执行。</w:t>
      </w:r>
    </w:p>
    <w:p>
      <w:pPr>
        <w:keepNext/>
        <w:keepLines/>
        <w:spacing w:line="480" w:lineRule="exact"/>
        <w:ind w:firstLine="643" w:firstLineChars="200"/>
        <w:jc w:val="left"/>
        <w:outlineLvl w:val="0"/>
        <w:rPr>
          <w:rFonts w:ascii="仿宋" w:hAnsi="仿宋" w:eastAsia="仿宋"/>
          <w:b/>
          <w:kern w:val="44"/>
          <w:sz w:val="32"/>
          <w:szCs w:val="32"/>
        </w:rPr>
      </w:pPr>
      <w:r>
        <w:rPr>
          <w:rFonts w:hint="eastAsia" w:ascii="仿宋" w:hAnsi="仿宋" w:eastAsia="仿宋"/>
          <w:b/>
          <w:kern w:val="44"/>
          <w:sz w:val="32"/>
          <w:szCs w:val="32"/>
        </w:rPr>
        <w:t>三、毕业证书及学位</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专升本学生的修业年限一般为</w:t>
      </w:r>
      <w:r>
        <w:rPr>
          <w:rFonts w:ascii="仿宋" w:hAnsi="仿宋" w:eastAsia="仿宋"/>
          <w:sz w:val="32"/>
          <w:szCs w:val="32"/>
        </w:rPr>
        <w:t>2</w:t>
      </w:r>
      <w:r>
        <w:rPr>
          <w:rFonts w:hint="eastAsia" w:ascii="仿宋" w:hAnsi="仿宋" w:eastAsia="仿宋"/>
          <w:sz w:val="32"/>
          <w:szCs w:val="32"/>
        </w:rPr>
        <w:t>至</w:t>
      </w:r>
      <w:r>
        <w:rPr>
          <w:rFonts w:ascii="仿宋" w:hAnsi="仿宋" w:eastAsia="仿宋"/>
          <w:sz w:val="32"/>
          <w:szCs w:val="32"/>
        </w:rPr>
        <w:t>4</w:t>
      </w:r>
      <w:r>
        <w:rPr>
          <w:rFonts w:hint="eastAsia" w:ascii="仿宋" w:hAnsi="仿宋" w:eastAsia="仿宋"/>
          <w:sz w:val="32"/>
          <w:szCs w:val="32"/>
        </w:rPr>
        <w:t>年。学生按教学计划修完规定课程，成绩合格，由本校颁发普通高等教育本科毕业证书。专升本学生毕业证书的内容须填写“在本校专科起点××专业本科学习”，学习时间按进入本科阶段学习的实际时间填写。符合学士学位授予条件的授予相应学位。</w:t>
      </w:r>
    </w:p>
    <w:p>
      <w:pPr>
        <w:keepNext/>
        <w:keepLines/>
        <w:spacing w:line="480" w:lineRule="exact"/>
        <w:ind w:firstLine="643" w:firstLineChars="200"/>
        <w:jc w:val="left"/>
        <w:outlineLvl w:val="0"/>
        <w:rPr>
          <w:rFonts w:ascii="仿宋" w:hAnsi="仿宋" w:eastAsia="仿宋"/>
          <w:b/>
          <w:kern w:val="44"/>
          <w:sz w:val="32"/>
          <w:szCs w:val="32"/>
        </w:rPr>
      </w:pPr>
      <w:r>
        <w:rPr>
          <w:rFonts w:hint="eastAsia" w:ascii="仿宋" w:hAnsi="仿宋" w:eastAsia="仿宋"/>
          <w:b/>
          <w:kern w:val="44"/>
          <w:sz w:val="32"/>
          <w:szCs w:val="32"/>
        </w:rPr>
        <w:t>四、联系方式</w:t>
      </w:r>
    </w:p>
    <w:p>
      <w:pPr>
        <w:keepNext/>
        <w:keepLines/>
        <w:spacing w:line="480" w:lineRule="exact"/>
        <w:ind w:firstLine="640" w:firstLineChars="200"/>
        <w:jc w:val="left"/>
        <w:outlineLvl w:val="0"/>
        <w:rPr>
          <w:rFonts w:ascii="仿宋" w:hAnsi="仿宋" w:eastAsia="仿宋"/>
          <w:b/>
          <w:kern w:val="44"/>
          <w:sz w:val="32"/>
          <w:szCs w:val="32"/>
        </w:rPr>
      </w:pPr>
      <w:r>
        <w:rPr>
          <w:rFonts w:hint="eastAsia" w:ascii="仿宋" w:hAnsi="仿宋" w:eastAsia="仿宋"/>
          <w:sz w:val="32"/>
          <w:szCs w:val="32"/>
        </w:rPr>
        <w:t>学校地址：山东省泰安市长城路</w:t>
      </w:r>
      <w:r>
        <w:rPr>
          <w:rFonts w:ascii="仿宋" w:hAnsi="仿宋" w:eastAsia="仿宋"/>
          <w:sz w:val="32"/>
          <w:szCs w:val="32"/>
        </w:rPr>
        <w:t>619</w:t>
      </w:r>
      <w:r>
        <w:rPr>
          <w:rFonts w:hint="eastAsia" w:ascii="仿宋" w:hAnsi="仿宋" w:eastAsia="仿宋"/>
          <w:sz w:val="32"/>
          <w:szCs w:val="32"/>
        </w:rPr>
        <w:t>号</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邮政编码：</w:t>
      </w:r>
      <w:r>
        <w:rPr>
          <w:rFonts w:ascii="仿宋" w:hAnsi="仿宋" w:eastAsia="仿宋"/>
          <w:sz w:val="32"/>
          <w:szCs w:val="32"/>
        </w:rPr>
        <w:t>271016</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联系部门：泰山医学院招生办公室</w:t>
      </w:r>
    </w:p>
    <w:p>
      <w:pPr>
        <w:pStyle w:val="22"/>
        <w:ind w:firstLine="640" w:firstLineChars="200"/>
        <w:rPr>
          <w:rFonts w:ascii="仿宋" w:hAnsi="仿宋" w:eastAsia="仿宋"/>
          <w:sz w:val="32"/>
          <w:szCs w:val="32"/>
        </w:rPr>
      </w:pPr>
      <w:r>
        <w:rPr>
          <w:rFonts w:hint="eastAsia" w:ascii="仿宋" w:hAnsi="仿宋" w:eastAsia="仿宋" w:cs="Times New Roman"/>
          <w:color w:val="auto"/>
          <w:kern w:val="2"/>
          <w:sz w:val="32"/>
          <w:szCs w:val="32"/>
        </w:rPr>
        <w:t>招生咨询电话：</w:t>
      </w:r>
      <w:r>
        <w:rPr>
          <w:rFonts w:ascii="仿宋" w:hAnsi="仿宋" w:eastAsia="仿宋"/>
          <w:sz w:val="32"/>
          <w:szCs w:val="32"/>
        </w:rPr>
        <w:t xml:space="preserve"> 0538-6231722 6231707 6229809 6229801</w:t>
      </w:r>
      <w:r>
        <w:rPr>
          <w:rFonts w:hint="eastAsia" w:ascii="仿宋" w:hAnsi="仿宋" w:eastAsia="仿宋"/>
          <w:sz w:val="32"/>
          <w:szCs w:val="32"/>
        </w:rPr>
        <w:t>（</w:t>
      </w:r>
      <w:r>
        <w:rPr>
          <w:rFonts w:ascii="仿宋" w:hAnsi="仿宋" w:eastAsia="仿宋"/>
          <w:sz w:val="32"/>
          <w:szCs w:val="32"/>
        </w:rPr>
        <w:t>fax</w:t>
      </w:r>
      <w:r>
        <w:rPr>
          <w:rFonts w:hint="eastAsia" w:ascii="仿宋" w:hAnsi="仿宋" w:eastAsia="仿宋"/>
          <w:sz w:val="32"/>
          <w:szCs w:val="32"/>
        </w:rPr>
        <w:t>）</w:t>
      </w:r>
      <w:r>
        <w:rPr>
          <w:rFonts w:hint="eastAsia" w:ascii="仿宋" w:hAnsi="仿宋" w:eastAsia="仿宋" w:cs="Times New Roman"/>
          <w:kern w:val="2"/>
          <w:sz w:val="32"/>
          <w:szCs w:val="32"/>
        </w:rPr>
        <w:t>，邮箱</w:t>
      </w:r>
      <w:r>
        <w:rPr>
          <w:rFonts w:hint="eastAsia" w:ascii="仿宋" w:hAnsi="仿宋" w:eastAsia="仿宋" w:cs="宋体"/>
          <w:sz w:val="32"/>
          <w:szCs w:val="32"/>
        </w:rPr>
        <w:t>：</w:t>
      </w:r>
      <w:r>
        <w:fldChar w:fldCharType="begin"/>
      </w:r>
      <w:r>
        <w:instrText xml:space="preserve"> HYPERLINK "mailto:jwc@tsmc.edu.cn" </w:instrText>
      </w:r>
      <w:r>
        <w:fldChar w:fldCharType="separate"/>
      </w:r>
      <w:r>
        <w:rPr>
          <w:rStyle w:val="13"/>
          <w:rFonts w:hint="eastAsia" w:ascii="仿宋" w:hAnsi="仿宋" w:eastAsia="仿宋" w:cs="宋体"/>
          <w:sz w:val="32"/>
          <w:szCs w:val="32"/>
        </w:rPr>
        <w:t>jwc@tsmc.edu.cn</w:t>
      </w:r>
      <w:r>
        <w:rPr>
          <w:rStyle w:val="13"/>
          <w:rFonts w:hint="eastAsia" w:ascii="仿宋" w:hAnsi="仿宋" w:eastAsia="仿宋" w:cs="宋体"/>
          <w:sz w:val="32"/>
          <w:szCs w:val="32"/>
        </w:rPr>
        <w:fldChar w:fldCharType="end"/>
      </w:r>
    </w:p>
    <w:p>
      <w:pPr>
        <w:spacing w:line="48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学校网址：</w:t>
      </w:r>
      <w:r>
        <w:fldChar w:fldCharType="begin"/>
      </w:r>
      <w:r>
        <w:instrText xml:space="preserve"> HYPERLINK "http://www.tsmc.edu.cn" </w:instrText>
      </w:r>
      <w:r>
        <w:fldChar w:fldCharType="separate"/>
      </w:r>
      <w:r>
        <w:rPr>
          <w:rStyle w:val="13"/>
          <w:rFonts w:hint="eastAsia" w:ascii="仿宋" w:hAnsi="仿宋" w:eastAsia="仿宋" w:cs="宋体"/>
          <w:kern w:val="0"/>
          <w:sz w:val="32"/>
          <w:szCs w:val="32"/>
        </w:rPr>
        <w:t>http://www.tsmc.edu.cn</w:t>
      </w:r>
      <w:r>
        <w:rPr>
          <w:rStyle w:val="13"/>
          <w:rFonts w:hint="eastAsia" w:ascii="仿宋" w:hAnsi="仿宋" w:eastAsia="仿宋" w:cs="宋体"/>
          <w:kern w:val="0"/>
          <w:sz w:val="32"/>
          <w:szCs w:val="32"/>
        </w:rPr>
        <w:fldChar w:fldCharType="end"/>
      </w:r>
    </w:p>
    <w:p>
      <w:pPr>
        <w:spacing w:line="48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招生信息网网址：http://enrollment.tsmc.edu.cn/</w:t>
      </w:r>
    </w:p>
    <w:p>
      <w:pPr>
        <w:keepNext/>
        <w:keepLines/>
        <w:spacing w:line="480" w:lineRule="exact"/>
        <w:ind w:firstLine="643" w:firstLineChars="200"/>
        <w:jc w:val="left"/>
        <w:outlineLvl w:val="0"/>
        <w:rPr>
          <w:rFonts w:ascii="仿宋" w:hAnsi="仿宋" w:eastAsia="仿宋"/>
          <w:b/>
          <w:kern w:val="44"/>
          <w:sz w:val="32"/>
          <w:szCs w:val="32"/>
        </w:rPr>
      </w:pPr>
      <w:r>
        <w:rPr>
          <w:rFonts w:hint="eastAsia" w:ascii="仿宋" w:hAnsi="仿宋" w:eastAsia="仿宋"/>
          <w:b/>
          <w:kern w:val="44"/>
          <w:sz w:val="32"/>
          <w:szCs w:val="32"/>
        </w:rPr>
        <w:t>五、其他事项</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（一）专升本相关事宜详见省教育招生考试院网站：</w:t>
      </w:r>
      <w:r>
        <w:rPr>
          <w:rFonts w:ascii="仿宋" w:hAnsi="仿宋" w:eastAsia="仿宋"/>
          <w:sz w:val="32"/>
          <w:szCs w:val="32"/>
        </w:rPr>
        <w:t>http://www.sdzs.gov.cn/</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（二）泰山医学院不举办专升本考前辅导班，不编印相关考试资料。</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（三）泰山医学院不委托任何机构和个人办理招生相关事宜，对以泰山医学院名义进行非法招生活动的机构或个人，学校保留依法追究其责任的权利。</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（四）本章程若有与上级有关政策不一致之处，以上级政策为准。未尽事宜，按上级有关规定执行。</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（五）本章程由泰山医学院负责解释。</w:t>
      </w:r>
    </w:p>
    <w:p>
      <w:pPr>
        <w:spacing w:line="480" w:lineRule="exact"/>
        <w:ind w:firstLine="200"/>
        <w:jc w:val="left"/>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E7688"/>
    <w:multiLevelType w:val="singleLevel"/>
    <w:tmpl w:val="554E76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03"/>
    <w:rsid w:val="00003622"/>
    <w:rsid w:val="000143FA"/>
    <w:rsid w:val="000329DE"/>
    <w:rsid w:val="000338D2"/>
    <w:rsid w:val="00047B02"/>
    <w:rsid w:val="0005733B"/>
    <w:rsid w:val="0007792B"/>
    <w:rsid w:val="000931C6"/>
    <w:rsid w:val="00094310"/>
    <w:rsid w:val="000B0722"/>
    <w:rsid w:val="000B1BB3"/>
    <w:rsid w:val="000C7C86"/>
    <w:rsid w:val="000D0D7B"/>
    <w:rsid w:val="000D411C"/>
    <w:rsid w:val="000E3BB2"/>
    <w:rsid w:val="00114361"/>
    <w:rsid w:val="00151A96"/>
    <w:rsid w:val="0016692C"/>
    <w:rsid w:val="00170D3A"/>
    <w:rsid w:val="001850B8"/>
    <w:rsid w:val="00185610"/>
    <w:rsid w:val="00190F03"/>
    <w:rsid w:val="00192A02"/>
    <w:rsid w:val="00194573"/>
    <w:rsid w:val="001972DC"/>
    <w:rsid w:val="001B6BEE"/>
    <w:rsid w:val="001C3E83"/>
    <w:rsid w:val="001D1EA9"/>
    <w:rsid w:val="001D599D"/>
    <w:rsid w:val="001F0E8C"/>
    <w:rsid w:val="001F7D2E"/>
    <w:rsid w:val="00223FCE"/>
    <w:rsid w:val="00235107"/>
    <w:rsid w:val="00253C64"/>
    <w:rsid w:val="00254C27"/>
    <w:rsid w:val="002672E3"/>
    <w:rsid w:val="00267E15"/>
    <w:rsid w:val="00275F58"/>
    <w:rsid w:val="00276AF8"/>
    <w:rsid w:val="00281226"/>
    <w:rsid w:val="002854A5"/>
    <w:rsid w:val="00286D42"/>
    <w:rsid w:val="00291499"/>
    <w:rsid w:val="00292A12"/>
    <w:rsid w:val="002A2F99"/>
    <w:rsid w:val="002B1FE6"/>
    <w:rsid w:val="002C5593"/>
    <w:rsid w:val="002C6ADF"/>
    <w:rsid w:val="002D140F"/>
    <w:rsid w:val="002E353E"/>
    <w:rsid w:val="002E5D71"/>
    <w:rsid w:val="0030055E"/>
    <w:rsid w:val="003011E1"/>
    <w:rsid w:val="00313117"/>
    <w:rsid w:val="00313373"/>
    <w:rsid w:val="00322780"/>
    <w:rsid w:val="00340450"/>
    <w:rsid w:val="003417FC"/>
    <w:rsid w:val="00363851"/>
    <w:rsid w:val="003662A9"/>
    <w:rsid w:val="00367FA4"/>
    <w:rsid w:val="00392AD3"/>
    <w:rsid w:val="003A0EC8"/>
    <w:rsid w:val="003B2227"/>
    <w:rsid w:val="003D2811"/>
    <w:rsid w:val="003E7DF0"/>
    <w:rsid w:val="003F085E"/>
    <w:rsid w:val="00401EA0"/>
    <w:rsid w:val="0040488B"/>
    <w:rsid w:val="0040521D"/>
    <w:rsid w:val="00405FEC"/>
    <w:rsid w:val="00426D58"/>
    <w:rsid w:val="004279CA"/>
    <w:rsid w:val="00427A62"/>
    <w:rsid w:val="00431E77"/>
    <w:rsid w:val="0043442F"/>
    <w:rsid w:val="00434C74"/>
    <w:rsid w:val="00441956"/>
    <w:rsid w:val="00441DF6"/>
    <w:rsid w:val="00450D85"/>
    <w:rsid w:val="00452CEF"/>
    <w:rsid w:val="00476150"/>
    <w:rsid w:val="0047669E"/>
    <w:rsid w:val="00476AB9"/>
    <w:rsid w:val="004775D1"/>
    <w:rsid w:val="00480278"/>
    <w:rsid w:val="004810B5"/>
    <w:rsid w:val="0049425E"/>
    <w:rsid w:val="004A32EA"/>
    <w:rsid w:val="004E0625"/>
    <w:rsid w:val="004E56F0"/>
    <w:rsid w:val="005118BB"/>
    <w:rsid w:val="005146CD"/>
    <w:rsid w:val="0052726C"/>
    <w:rsid w:val="005308F7"/>
    <w:rsid w:val="005345C9"/>
    <w:rsid w:val="00535737"/>
    <w:rsid w:val="005457DE"/>
    <w:rsid w:val="005548FD"/>
    <w:rsid w:val="0056132D"/>
    <w:rsid w:val="00561BE1"/>
    <w:rsid w:val="00563A48"/>
    <w:rsid w:val="00566077"/>
    <w:rsid w:val="0058244A"/>
    <w:rsid w:val="0058371C"/>
    <w:rsid w:val="005915DC"/>
    <w:rsid w:val="00595596"/>
    <w:rsid w:val="005B5B36"/>
    <w:rsid w:val="005C20A1"/>
    <w:rsid w:val="005D4DB0"/>
    <w:rsid w:val="005D5696"/>
    <w:rsid w:val="005D5906"/>
    <w:rsid w:val="005D6F18"/>
    <w:rsid w:val="005D7244"/>
    <w:rsid w:val="005E363C"/>
    <w:rsid w:val="005E75F9"/>
    <w:rsid w:val="005F1BDF"/>
    <w:rsid w:val="005F29C1"/>
    <w:rsid w:val="005F5A61"/>
    <w:rsid w:val="005F63CD"/>
    <w:rsid w:val="00600021"/>
    <w:rsid w:val="0061057A"/>
    <w:rsid w:val="00610EEB"/>
    <w:rsid w:val="006123A2"/>
    <w:rsid w:val="00621409"/>
    <w:rsid w:val="00622704"/>
    <w:rsid w:val="00631A21"/>
    <w:rsid w:val="00644EC3"/>
    <w:rsid w:val="00644FB6"/>
    <w:rsid w:val="00656633"/>
    <w:rsid w:val="006618BF"/>
    <w:rsid w:val="00663C03"/>
    <w:rsid w:val="00674CAB"/>
    <w:rsid w:val="00676D1C"/>
    <w:rsid w:val="006913D2"/>
    <w:rsid w:val="006B4E88"/>
    <w:rsid w:val="006D4D95"/>
    <w:rsid w:val="006E10D5"/>
    <w:rsid w:val="00707EF7"/>
    <w:rsid w:val="007342B2"/>
    <w:rsid w:val="00751EBE"/>
    <w:rsid w:val="00764BD6"/>
    <w:rsid w:val="00764EBF"/>
    <w:rsid w:val="00774A82"/>
    <w:rsid w:val="007A25FF"/>
    <w:rsid w:val="007B2E2C"/>
    <w:rsid w:val="007F7810"/>
    <w:rsid w:val="00803BFE"/>
    <w:rsid w:val="00806EF7"/>
    <w:rsid w:val="00820BA8"/>
    <w:rsid w:val="0082709F"/>
    <w:rsid w:val="00837E7D"/>
    <w:rsid w:val="0084266E"/>
    <w:rsid w:val="00873C01"/>
    <w:rsid w:val="0088040C"/>
    <w:rsid w:val="00884061"/>
    <w:rsid w:val="008B5DCB"/>
    <w:rsid w:val="008C29F1"/>
    <w:rsid w:val="008D31C8"/>
    <w:rsid w:val="008D3DD8"/>
    <w:rsid w:val="008E405F"/>
    <w:rsid w:val="0090498B"/>
    <w:rsid w:val="00910A7A"/>
    <w:rsid w:val="00920196"/>
    <w:rsid w:val="0093708B"/>
    <w:rsid w:val="00941E5B"/>
    <w:rsid w:val="00944870"/>
    <w:rsid w:val="00976C16"/>
    <w:rsid w:val="00984A0D"/>
    <w:rsid w:val="009869CF"/>
    <w:rsid w:val="00986E2C"/>
    <w:rsid w:val="00987ED0"/>
    <w:rsid w:val="00991C0A"/>
    <w:rsid w:val="00994A68"/>
    <w:rsid w:val="0099654C"/>
    <w:rsid w:val="009A0944"/>
    <w:rsid w:val="009A7D5B"/>
    <w:rsid w:val="009B251B"/>
    <w:rsid w:val="009B505A"/>
    <w:rsid w:val="009C2A60"/>
    <w:rsid w:val="009C6E1F"/>
    <w:rsid w:val="009C7281"/>
    <w:rsid w:val="009D023A"/>
    <w:rsid w:val="009D2784"/>
    <w:rsid w:val="009E14AC"/>
    <w:rsid w:val="009E1B62"/>
    <w:rsid w:val="009E2832"/>
    <w:rsid w:val="009E38F4"/>
    <w:rsid w:val="00A047E5"/>
    <w:rsid w:val="00A2260D"/>
    <w:rsid w:val="00A25D28"/>
    <w:rsid w:val="00A313E4"/>
    <w:rsid w:val="00A4144F"/>
    <w:rsid w:val="00A4722D"/>
    <w:rsid w:val="00A5190D"/>
    <w:rsid w:val="00A656B4"/>
    <w:rsid w:val="00A66EA2"/>
    <w:rsid w:val="00A707A5"/>
    <w:rsid w:val="00A82821"/>
    <w:rsid w:val="00A90E33"/>
    <w:rsid w:val="00AA1E35"/>
    <w:rsid w:val="00AB747D"/>
    <w:rsid w:val="00AC0ACB"/>
    <w:rsid w:val="00AD0424"/>
    <w:rsid w:val="00AF5F09"/>
    <w:rsid w:val="00B04DB6"/>
    <w:rsid w:val="00B05064"/>
    <w:rsid w:val="00B13118"/>
    <w:rsid w:val="00B13C6F"/>
    <w:rsid w:val="00B16CEE"/>
    <w:rsid w:val="00B21897"/>
    <w:rsid w:val="00B37430"/>
    <w:rsid w:val="00B55FEA"/>
    <w:rsid w:val="00B819E1"/>
    <w:rsid w:val="00B81AEC"/>
    <w:rsid w:val="00B850CB"/>
    <w:rsid w:val="00B91D6F"/>
    <w:rsid w:val="00BC129C"/>
    <w:rsid w:val="00BD2328"/>
    <w:rsid w:val="00BD400A"/>
    <w:rsid w:val="00BD6338"/>
    <w:rsid w:val="00BD75A9"/>
    <w:rsid w:val="00BE0D34"/>
    <w:rsid w:val="00BF127F"/>
    <w:rsid w:val="00C0481D"/>
    <w:rsid w:val="00C11863"/>
    <w:rsid w:val="00C12B00"/>
    <w:rsid w:val="00C137E7"/>
    <w:rsid w:val="00C2528F"/>
    <w:rsid w:val="00C30375"/>
    <w:rsid w:val="00C43FD1"/>
    <w:rsid w:val="00C657EB"/>
    <w:rsid w:val="00C67A64"/>
    <w:rsid w:val="00C866D2"/>
    <w:rsid w:val="00C879E2"/>
    <w:rsid w:val="00C93501"/>
    <w:rsid w:val="00CA4393"/>
    <w:rsid w:val="00CB17FA"/>
    <w:rsid w:val="00CC05CE"/>
    <w:rsid w:val="00CE06D1"/>
    <w:rsid w:val="00CE08F7"/>
    <w:rsid w:val="00CE4B5D"/>
    <w:rsid w:val="00CE52DD"/>
    <w:rsid w:val="00CE59FA"/>
    <w:rsid w:val="00D00B87"/>
    <w:rsid w:val="00D13483"/>
    <w:rsid w:val="00D16D00"/>
    <w:rsid w:val="00D22C63"/>
    <w:rsid w:val="00D25CEE"/>
    <w:rsid w:val="00D33626"/>
    <w:rsid w:val="00D44D12"/>
    <w:rsid w:val="00D470A8"/>
    <w:rsid w:val="00D6147B"/>
    <w:rsid w:val="00D7056C"/>
    <w:rsid w:val="00D72A17"/>
    <w:rsid w:val="00D76DDA"/>
    <w:rsid w:val="00D91886"/>
    <w:rsid w:val="00DA6A86"/>
    <w:rsid w:val="00DB2C16"/>
    <w:rsid w:val="00DC713E"/>
    <w:rsid w:val="00DD6818"/>
    <w:rsid w:val="00DF1E40"/>
    <w:rsid w:val="00E36359"/>
    <w:rsid w:val="00E42279"/>
    <w:rsid w:val="00E47218"/>
    <w:rsid w:val="00E55418"/>
    <w:rsid w:val="00E6103A"/>
    <w:rsid w:val="00E65FC1"/>
    <w:rsid w:val="00E77702"/>
    <w:rsid w:val="00E86E33"/>
    <w:rsid w:val="00E943D0"/>
    <w:rsid w:val="00EA6918"/>
    <w:rsid w:val="00EB736B"/>
    <w:rsid w:val="00EC6DA7"/>
    <w:rsid w:val="00EC6DBF"/>
    <w:rsid w:val="00ED3419"/>
    <w:rsid w:val="00ED5B02"/>
    <w:rsid w:val="00EE18B5"/>
    <w:rsid w:val="00EE37DD"/>
    <w:rsid w:val="00F0510E"/>
    <w:rsid w:val="00F26E68"/>
    <w:rsid w:val="00F30E06"/>
    <w:rsid w:val="00F642FD"/>
    <w:rsid w:val="00F64EE7"/>
    <w:rsid w:val="00F65052"/>
    <w:rsid w:val="00F66F94"/>
    <w:rsid w:val="00F957A7"/>
    <w:rsid w:val="00F9597C"/>
    <w:rsid w:val="00FA140F"/>
    <w:rsid w:val="00FA7677"/>
    <w:rsid w:val="00FB2A12"/>
    <w:rsid w:val="00FB7483"/>
    <w:rsid w:val="00FC097F"/>
    <w:rsid w:val="00FD24C4"/>
    <w:rsid w:val="00FD70A7"/>
    <w:rsid w:val="00FE170E"/>
    <w:rsid w:val="00FF1E88"/>
    <w:rsid w:val="00FF7DD2"/>
    <w:rsid w:val="1DD016F9"/>
    <w:rsid w:val="28BB3BA1"/>
    <w:rsid w:val="2E993D4C"/>
    <w:rsid w:val="45DA111E"/>
    <w:rsid w:val="4E8933AF"/>
    <w:rsid w:val="4FDD07F6"/>
    <w:rsid w:val="53C703B0"/>
    <w:rsid w:val="563F3E8D"/>
    <w:rsid w:val="564923CD"/>
    <w:rsid w:val="59751451"/>
    <w:rsid w:val="5CF773E0"/>
    <w:rsid w:val="5DEC28A5"/>
    <w:rsid w:val="69983D4A"/>
    <w:rsid w:val="71251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6"/>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semiHidden/>
    <w:unhideWhenUsed/>
    <w:qFormat/>
    <w:uiPriority w:val="99"/>
    <w:rPr>
      <w:b/>
      <w:bCs/>
    </w:rPr>
  </w:style>
  <w:style w:type="paragraph" w:styleId="4">
    <w:name w:val="annotation text"/>
    <w:basedOn w:val="1"/>
    <w:link w:val="23"/>
    <w:semiHidden/>
    <w:unhideWhenUsed/>
    <w:qFormat/>
    <w:uiPriority w:val="99"/>
    <w:pPr>
      <w:jc w:val="left"/>
    </w:pPr>
  </w:style>
  <w:style w:type="paragraph" w:styleId="5">
    <w:name w:val="Balloon Text"/>
    <w:basedOn w:val="1"/>
    <w:link w:val="18"/>
    <w:semiHidden/>
    <w:qFormat/>
    <w:uiPriority w:val="0"/>
    <w:rPr>
      <w:rFonts w:ascii="Times New Roman" w:hAnsi="Times New Roman" w:eastAsia="宋体"/>
      <w:sz w:val="18"/>
      <w:szCs w:val="18"/>
    </w:rPr>
  </w:style>
  <w:style w:type="paragraph" w:styleId="6">
    <w:name w:val="footer"/>
    <w:basedOn w:val="1"/>
    <w:link w:val="20"/>
    <w:uiPriority w:val="99"/>
    <w:pPr>
      <w:tabs>
        <w:tab w:val="center" w:pos="4153"/>
        <w:tab w:val="right" w:pos="8306"/>
      </w:tabs>
      <w:snapToGrid w:val="0"/>
      <w:jc w:val="left"/>
    </w:pPr>
    <w:rPr>
      <w:rFonts w:ascii="Times New Roman" w:hAnsi="Times New Roman" w:eastAsia="宋体"/>
      <w:sz w:val="18"/>
      <w:szCs w:val="18"/>
    </w:rPr>
  </w:style>
  <w:style w:type="paragraph" w:styleId="7">
    <w:name w:val="header"/>
    <w:basedOn w:val="1"/>
    <w:link w:val="19"/>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page number"/>
    <w:basedOn w:val="9"/>
    <w:uiPriority w:val="0"/>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character" w:styleId="14">
    <w:name w:val="annotation reference"/>
    <w:basedOn w:val="9"/>
    <w:semiHidden/>
    <w:unhideWhenUsed/>
    <w:qFormat/>
    <w:uiPriority w:val="99"/>
    <w:rPr>
      <w:sz w:val="21"/>
      <w:szCs w:val="21"/>
    </w:rPr>
  </w:style>
  <w:style w:type="character" w:customStyle="1" w:styleId="16">
    <w:name w:val="标题 2 字符"/>
    <w:basedOn w:val="9"/>
    <w:link w:val="2"/>
    <w:qFormat/>
    <w:uiPriority w:val="0"/>
    <w:rPr>
      <w:rFonts w:ascii="宋体" w:hAnsi="宋体" w:eastAsia="宋体" w:cs="宋体"/>
      <w:b/>
      <w:bCs/>
      <w:sz w:val="36"/>
      <w:szCs w:val="36"/>
    </w:rPr>
  </w:style>
  <w:style w:type="character" w:customStyle="1" w:styleId="17">
    <w:name w:val="style2"/>
    <w:basedOn w:val="9"/>
    <w:uiPriority w:val="0"/>
  </w:style>
  <w:style w:type="character" w:customStyle="1" w:styleId="18">
    <w:name w:val="批注框文本 字符"/>
    <w:basedOn w:val="9"/>
    <w:link w:val="5"/>
    <w:semiHidden/>
    <w:uiPriority w:val="0"/>
    <w:rPr>
      <w:rFonts w:ascii="Times New Roman" w:hAnsi="Times New Roman" w:eastAsia="宋体"/>
      <w:kern w:val="2"/>
      <w:sz w:val="18"/>
      <w:szCs w:val="18"/>
    </w:rPr>
  </w:style>
  <w:style w:type="character" w:customStyle="1" w:styleId="19">
    <w:name w:val="页眉 字符"/>
    <w:basedOn w:val="9"/>
    <w:link w:val="7"/>
    <w:qFormat/>
    <w:uiPriority w:val="0"/>
    <w:rPr>
      <w:rFonts w:ascii="Times New Roman" w:hAnsi="Times New Roman" w:eastAsia="宋体"/>
      <w:kern w:val="2"/>
      <w:sz w:val="18"/>
      <w:szCs w:val="18"/>
    </w:rPr>
  </w:style>
  <w:style w:type="character" w:customStyle="1" w:styleId="20">
    <w:name w:val="页脚 字符"/>
    <w:basedOn w:val="9"/>
    <w:link w:val="6"/>
    <w:qFormat/>
    <w:uiPriority w:val="99"/>
    <w:rPr>
      <w:rFonts w:ascii="Times New Roman" w:hAnsi="Times New Roman" w:eastAsia="宋体"/>
      <w:kern w:val="2"/>
      <w:sz w:val="18"/>
      <w:szCs w:val="18"/>
    </w:rPr>
  </w:style>
  <w:style w:type="paragraph" w:customStyle="1" w:styleId="21">
    <w:name w:val="_Style 3"/>
    <w:basedOn w:val="1"/>
    <w:qFormat/>
    <w:uiPriority w:val="0"/>
    <w:pPr>
      <w:widowControl/>
      <w:spacing w:after="160" w:line="240" w:lineRule="exact"/>
      <w:jc w:val="left"/>
    </w:pPr>
    <w:rPr>
      <w:rFonts w:ascii="Times New Roman" w:hAnsi="Times New Roman" w:eastAsia="宋体"/>
      <w:szCs w:val="24"/>
    </w:rPr>
  </w:style>
  <w:style w:type="paragraph" w:customStyle="1" w:styleId="22">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23">
    <w:name w:val="批注文字 字符"/>
    <w:basedOn w:val="9"/>
    <w:link w:val="4"/>
    <w:semiHidden/>
    <w:qFormat/>
    <w:uiPriority w:val="99"/>
    <w:rPr>
      <w:kern w:val="2"/>
      <w:sz w:val="21"/>
      <w:szCs w:val="22"/>
    </w:rPr>
  </w:style>
  <w:style w:type="character" w:customStyle="1" w:styleId="24">
    <w:name w:val="批注主题 字符"/>
    <w:basedOn w:val="23"/>
    <w:link w:val="3"/>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88276-DC83-46E9-8FA3-926020AB1513}">
  <ds:schemaRefs/>
</ds:datastoreItem>
</file>

<file path=customXml/itemProps3.xml><?xml version="1.0" encoding="utf-8"?>
<ds:datastoreItem xmlns:ds="http://schemas.openxmlformats.org/officeDocument/2006/customXml" ds:itemID="{0DCA94D0-5EA9-4867-BC2C-AA162F6C03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538</Words>
  <Characters>3070</Characters>
  <Lines>25</Lines>
  <Paragraphs>7</Paragraphs>
  <TotalTime>65</TotalTime>
  <ScaleCrop>false</ScaleCrop>
  <LinksUpToDate>false</LinksUpToDate>
  <CharactersWithSpaces>3601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2018-12-30T08:11:00Z</dcterms:created>
  <dc:creator>裴东升</dc:creator>
  <cp:lastModifiedBy>千佛山人</cp:lastModifiedBy>
  <dcterms:modified xsi:type="dcterms:W3CDTF">2019-01-07T10:28:09Z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