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C97" w:rsidRDefault="00EE1C97" w:rsidP="00EE1C97">
      <w:pPr>
        <w:rPr>
          <w:rStyle w:val="a7"/>
          <w:rFonts w:ascii="黑体" w:eastAsia="黑体" w:hAnsi="黑体" w:cs="黑体"/>
          <w:i w:val="0"/>
          <w:sz w:val="32"/>
          <w:szCs w:val="32"/>
          <w:shd w:val="clear" w:color="auto" w:fill="FFFFFF"/>
        </w:rPr>
      </w:pPr>
      <w:r>
        <w:rPr>
          <w:rStyle w:val="a7"/>
          <w:rFonts w:ascii="黑体" w:eastAsia="黑体" w:hAnsi="黑体" w:cs="黑体" w:hint="eastAsia"/>
          <w:i w:val="0"/>
          <w:sz w:val="32"/>
          <w:szCs w:val="32"/>
          <w:shd w:val="clear" w:color="auto" w:fill="FFFFFF"/>
        </w:rPr>
        <w:t>附件2</w:t>
      </w:r>
    </w:p>
    <w:tbl>
      <w:tblPr>
        <w:tblW w:w="14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0"/>
        <w:gridCol w:w="1026"/>
        <w:gridCol w:w="1134"/>
        <w:gridCol w:w="4111"/>
        <w:gridCol w:w="1694"/>
        <w:gridCol w:w="1125"/>
        <w:gridCol w:w="3360"/>
        <w:gridCol w:w="780"/>
        <w:gridCol w:w="1065"/>
      </w:tblGrid>
      <w:tr w:rsidR="00EE1C97" w:rsidTr="00A857ED">
        <w:trPr>
          <w:trHeight w:val="810"/>
          <w:jc w:val="center"/>
        </w:trPr>
        <w:tc>
          <w:tcPr>
            <w:tcW w:w="14805" w:type="dxa"/>
            <w:gridSpan w:val="9"/>
            <w:tcBorders>
              <w:top w:val="nil"/>
              <w:left w:val="nil"/>
              <w:right w:val="nil"/>
            </w:tcBorders>
            <w:tcMar>
              <w:top w:w="15" w:type="dxa"/>
              <w:left w:w="15" w:type="dxa"/>
              <w:right w:w="15" w:type="dxa"/>
            </w:tcMar>
            <w:vAlign w:val="center"/>
          </w:tcPr>
          <w:p w:rsidR="00EE1C97" w:rsidRDefault="00EE1C97" w:rsidP="00A857ED">
            <w:pPr>
              <w:widowControl/>
              <w:jc w:val="center"/>
              <w:textAlignment w:val="center"/>
              <w:rPr>
                <w:rFonts w:ascii="方正小标宋简体" w:eastAsia="方正小标宋简体" w:hint="eastAsia"/>
                <w:color w:val="000000"/>
                <w:sz w:val="36"/>
                <w:szCs w:val="36"/>
              </w:rPr>
            </w:pPr>
            <w:r>
              <w:rPr>
                <w:rFonts w:ascii="方正小标宋简体" w:eastAsia="方正小标宋简体" w:hint="eastAsia"/>
                <w:color w:val="000000"/>
                <w:kern w:val="0"/>
                <w:sz w:val="44"/>
                <w:szCs w:val="44"/>
                <w:lang w:bidi="ar"/>
              </w:rPr>
              <w:t>山东省中等职业学校主动公开基本目录</w:t>
            </w:r>
          </w:p>
        </w:tc>
      </w:tr>
      <w:tr w:rsidR="00EE1C97" w:rsidTr="00A857ED">
        <w:trPr>
          <w:trHeight w:val="360"/>
          <w:jc w:val="center"/>
        </w:trPr>
        <w:tc>
          <w:tcPr>
            <w:tcW w:w="510" w:type="dxa"/>
            <w:vMerge w:val="restart"/>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序号</w:t>
            </w:r>
          </w:p>
        </w:tc>
        <w:tc>
          <w:tcPr>
            <w:tcW w:w="2160" w:type="dxa"/>
            <w:gridSpan w:val="2"/>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公开事项</w:t>
            </w:r>
          </w:p>
        </w:tc>
        <w:tc>
          <w:tcPr>
            <w:tcW w:w="4111" w:type="dxa"/>
            <w:vMerge w:val="restart"/>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公开内容</w:t>
            </w:r>
            <w:r>
              <w:rPr>
                <w:rFonts w:ascii="黑体" w:eastAsia="黑体" w:hAnsi="黑体" w:hint="eastAsia"/>
                <w:color w:val="000000"/>
                <w:kern w:val="0"/>
                <w:sz w:val="22"/>
                <w:lang w:bidi="ar"/>
              </w:rPr>
              <w:br/>
              <w:t>（要素）</w:t>
            </w:r>
          </w:p>
        </w:tc>
        <w:tc>
          <w:tcPr>
            <w:tcW w:w="1694" w:type="dxa"/>
            <w:vMerge w:val="restart"/>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公开</w:t>
            </w:r>
            <w:r>
              <w:rPr>
                <w:rFonts w:ascii="黑体" w:eastAsia="黑体" w:hAnsi="黑体" w:hint="eastAsia"/>
                <w:color w:val="000000"/>
                <w:kern w:val="0"/>
                <w:sz w:val="22"/>
                <w:lang w:bidi="ar"/>
              </w:rPr>
              <w:br/>
              <w:t>时限</w:t>
            </w:r>
          </w:p>
        </w:tc>
        <w:tc>
          <w:tcPr>
            <w:tcW w:w="1125" w:type="dxa"/>
            <w:vMerge w:val="restart"/>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公开</w:t>
            </w:r>
            <w:r>
              <w:rPr>
                <w:rFonts w:ascii="黑体" w:eastAsia="黑体" w:hAnsi="黑体" w:hint="eastAsia"/>
                <w:color w:val="000000"/>
                <w:kern w:val="0"/>
                <w:sz w:val="22"/>
                <w:lang w:bidi="ar"/>
              </w:rPr>
              <w:br/>
              <w:t>主体</w:t>
            </w:r>
          </w:p>
        </w:tc>
        <w:tc>
          <w:tcPr>
            <w:tcW w:w="3360" w:type="dxa"/>
            <w:vMerge w:val="restart"/>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公开渠道和载体</w:t>
            </w:r>
          </w:p>
        </w:tc>
        <w:tc>
          <w:tcPr>
            <w:tcW w:w="1845" w:type="dxa"/>
            <w:gridSpan w:val="2"/>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公开对象</w:t>
            </w:r>
          </w:p>
        </w:tc>
      </w:tr>
      <w:tr w:rsidR="00EE1C97" w:rsidTr="00A857ED">
        <w:trPr>
          <w:trHeight w:val="615"/>
          <w:jc w:val="center"/>
        </w:trPr>
        <w:tc>
          <w:tcPr>
            <w:tcW w:w="510" w:type="dxa"/>
            <w:vMerge/>
            <w:tcMar>
              <w:top w:w="15" w:type="dxa"/>
              <w:left w:w="15" w:type="dxa"/>
              <w:right w:w="15" w:type="dxa"/>
            </w:tcMar>
            <w:vAlign w:val="center"/>
          </w:tcPr>
          <w:p w:rsidR="00EE1C97" w:rsidRDefault="00EE1C97" w:rsidP="00A857ED">
            <w:pPr>
              <w:jc w:val="center"/>
              <w:rPr>
                <w:rFonts w:ascii="黑体" w:eastAsia="黑体" w:hAnsi="黑体" w:hint="eastAsia"/>
                <w:color w:val="000000"/>
                <w:sz w:val="22"/>
              </w:rPr>
            </w:pPr>
          </w:p>
        </w:tc>
        <w:tc>
          <w:tcPr>
            <w:tcW w:w="1026" w:type="dxa"/>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一级事项</w:t>
            </w:r>
          </w:p>
        </w:tc>
        <w:tc>
          <w:tcPr>
            <w:tcW w:w="1134" w:type="dxa"/>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二级事项</w:t>
            </w:r>
          </w:p>
        </w:tc>
        <w:tc>
          <w:tcPr>
            <w:tcW w:w="4111" w:type="dxa"/>
            <w:vMerge/>
            <w:tcMar>
              <w:top w:w="15" w:type="dxa"/>
              <w:left w:w="15" w:type="dxa"/>
              <w:right w:w="15" w:type="dxa"/>
            </w:tcMar>
            <w:vAlign w:val="center"/>
          </w:tcPr>
          <w:p w:rsidR="00EE1C97" w:rsidRDefault="00EE1C97" w:rsidP="00A857ED">
            <w:pPr>
              <w:jc w:val="center"/>
              <w:rPr>
                <w:rFonts w:ascii="黑体" w:eastAsia="黑体" w:hAnsi="黑体" w:hint="eastAsia"/>
                <w:color w:val="000000"/>
                <w:sz w:val="22"/>
              </w:rPr>
            </w:pPr>
          </w:p>
        </w:tc>
        <w:tc>
          <w:tcPr>
            <w:tcW w:w="1694" w:type="dxa"/>
            <w:vMerge/>
            <w:tcMar>
              <w:top w:w="15" w:type="dxa"/>
              <w:left w:w="15" w:type="dxa"/>
              <w:right w:w="15" w:type="dxa"/>
            </w:tcMar>
            <w:vAlign w:val="center"/>
          </w:tcPr>
          <w:p w:rsidR="00EE1C97" w:rsidRDefault="00EE1C97" w:rsidP="00A857ED">
            <w:pPr>
              <w:jc w:val="center"/>
              <w:rPr>
                <w:rFonts w:ascii="黑体" w:eastAsia="黑体" w:hAnsi="黑体" w:hint="eastAsia"/>
                <w:color w:val="000000"/>
                <w:sz w:val="22"/>
              </w:rPr>
            </w:pPr>
          </w:p>
        </w:tc>
        <w:tc>
          <w:tcPr>
            <w:tcW w:w="1125" w:type="dxa"/>
            <w:vMerge/>
            <w:tcMar>
              <w:top w:w="15" w:type="dxa"/>
              <w:left w:w="15" w:type="dxa"/>
              <w:right w:w="15" w:type="dxa"/>
            </w:tcMar>
            <w:vAlign w:val="center"/>
          </w:tcPr>
          <w:p w:rsidR="00EE1C97" w:rsidRDefault="00EE1C97" w:rsidP="00A857ED">
            <w:pPr>
              <w:jc w:val="center"/>
              <w:rPr>
                <w:rFonts w:ascii="黑体" w:eastAsia="黑体" w:hAnsi="黑体" w:hint="eastAsia"/>
                <w:color w:val="000000"/>
                <w:sz w:val="22"/>
              </w:rPr>
            </w:pPr>
          </w:p>
        </w:tc>
        <w:tc>
          <w:tcPr>
            <w:tcW w:w="3360" w:type="dxa"/>
            <w:vMerge/>
            <w:tcMar>
              <w:top w:w="15" w:type="dxa"/>
              <w:left w:w="15" w:type="dxa"/>
              <w:right w:w="15" w:type="dxa"/>
            </w:tcMar>
            <w:vAlign w:val="center"/>
          </w:tcPr>
          <w:p w:rsidR="00EE1C97" w:rsidRDefault="00EE1C97" w:rsidP="00A857ED">
            <w:pPr>
              <w:jc w:val="center"/>
              <w:rPr>
                <w:rFonts w:ascii="黑体" w:eastAsia="黑体" w:hAnsi="黑体" w:hint="eastAsia"/>
                <w:color w:val="000000"/>
                <w:sz w:val="22"/>
              </w:rPr>
            </w:pPr>
          </w:p>
        </w:tc>
        <w:tc>
          <w:tcPr>
            <w:tcW w:w="780" w:type="dxa"/>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全社会</w:t>
            </w:r>
          </w:p>
        </w:tc>
        <w:tc>
          <w:tcPr>
            <w:tcW w:w="1065" w:type="dxa"/>
            <w:tcMar>
              <w:top w:w="15" w:type="dxa"/>
              <w:left w:w="15" w:type="dxa"/>
              <w:right w:w="15" w:type="dxa"/>
            </w:tcMar>
            <w:vAlign w:val="center"/>
          </w:tcPr>
          <w:p w:rsidR="00EE1C97" w:rsidRDefault="00EE1C97" w:rsidP="00A857ED">
            <w:pPr>
              <w:widowControl/>
              <w:jc w:val="center"/>
              <w:textAlignment w:val="center"/>
              <w:rPr>
                <w:rFonts w:ascii="黑体" w:eastAsia="黑体" w:hAnsi="黑体" w:hint="eastAsia"/>
                <w:color w:val="000000"/>
                <w:sz w:val="22"/>
              </w:rPr>
            </w:pPr>
            <w:r>
              <w:rPr>
                <w:rFonts w:ascii="黑体" w:eastAsia="黑体" w:hAnsi="黑体" w:hint="eastAsia"/>
                <w:color w:val="000000"/>
                <w:kern w:val="0"/>
                <w:sz w:val="22"/>
                <w:lang w:bidi="ar"/>
              </w:rPr>
              <w:t>特定群体</w:t>
            </w:r>
          </w:p>
        </w:tc>
      </w:tr>
      <w:tr w:rsidR="00EE1C97" w:rsidTr="00A857ED">
        <w:trPr>
          <w:trHeight w:val="1350"/>
          <w:jc w:val="center"/>
        </w:trPr>
        <w:tc>
          <w:tcPr>
            <w:tcW w:w="510"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b/>
                <w:color w:val="000000"/>
                <w:sz w:val="22"/>
              </w:rPr>
            </w:pPr>
            <w:r>
              <w:rPr>
                <w:rFonts w:ascii="仿宋_GB2312" w:eastAsia="仿宋_GB2312" w:hint="eastAsia"/>
                <w:b/>
                <w:color w:val="000000"/>
                <w:kern w:val="0"/>
                <w:sz w:val="22"/>
                <w:lang w:bidi="ar"/>
              </w:rPr>
              <w:t>1</w:t>
            </w:r>
          </w:p>
        </w:tc>
        <w:tc>
          <w:tcPr>
            <w:tcW w:w="1026"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学校概况</w:t>
            </w: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基本情况</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办学性质、主管部门、办学地点、联系方式、办学规模、办学条件、办学特色、师资水平、荣誉奖励、历史沿革、专业设置及特色、学生就业情况。</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116"/>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领导班子</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学校领导班子成员姓名、职务、简历、分工。</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860"/>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机构设置</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学校内设管理机构的名称、职能、联系电话。</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258"/>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规章制度</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学校现行有效的规章制度，包括但不限于学生管理、教师管理、财务管理、教学管理、实习实训管理</w:t>
            </w:r>
            <w:r>
              <w:rPr>
                <w:rFonts w:ascii="仿宋_GB2312" w:eastAsia="仿宋_GB2312"/>
                <w:color w:val="000000"/>
                <w:kern w:val="0"/>
                <w:sz w:val="22"/>
                <w:lang w:bidi="ar"/>
              </w:rPr>
              <w:t>、</w:t>
            </w:r>
            <w:r>
              <w:rPr>
                <w:rFonts w:ascii="仿宋_GB2312" w:eastAsia="仿宋_GB2312" w:hint="eastAsia"/>
                <w:color w:val="000000"/>
                <w:kern w:val="0"/>
                <w:sz w:val="22"/>
                <w:lang w:bidi="ar"/>
              </w:rPr>
              <w:t>考试管理等。</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860"/>
          <w:jc w:val="center"/>
        </w:trPr>
        <w:tc>
          <w:tcPr>
            <w:tcW w:w="510"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lastRenderedPageBreak/>
              <w:t>2</w:t>
            </w:r>
          </w:p>
        </w:tc>
        <w:tc>
          <w:tcPr>
            <w:tcW w:w="1026"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规划统计</w:t>
            </w: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规划计划</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学校综合、专项发展规划；学校学年度（或学期）工作计划或重点工作任务；各项规划、计划、任务的执行情况、完成情况。</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482"/>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统计数据</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学校年度统计数据，包括但不限于在校生数据、教师数据、办学条件数据等；学校年度质量报告。</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263"/>
          <w:jc w:val="center"/>
        </w:trPr>
        <w:tc>
          <w:tcPr>
            <w:tcW w:w="510"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3</w:t>
            </w:r>
          </w:p>
        </w:tc>
        <w:tc>
          <w:tcPr>
            <w:tcW w:w="1026"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财务信息</w:t>
            </w: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预决算信息</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学校年度经费预算信息、决算信息。</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中等职业学校（民办学校除外）</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学校网站、主管部门网站或本级人民学校、主管部门或本级人民政府的网站、新媒体均可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2260"/>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采购信息</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大宗物资采购信息和重大基建工程招投标信息。</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中等职业学校（民办学校除外）</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117"/>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收费信息</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学校的收费（</w:t>
            </w:r>
            <w:proofErr w:type="gramStart"/>
            <w:r>
              <w:rPr>
                <w:rFonts w:ascii="仿宋_GB2312" w:eastAsia="仿宋_GB2312" w:hint="eastAsia"/>
                <w:color w:val="000000"/>
                <w:kern w:val="0"/>
                <w:sz w:val="22"/>
                <w:lang w:bidi="ar"/>
              </w:rPr>
              <w:t>含代收费</w:t>
            </w:r>
            <w:proofErr w:type="gramEnd"/>
            <w:r>
              <w:rPr>
                <w:rFonts w:ascii="仿宋_GB2312" w:eastAsia="仿宋_GB2312" w:hint="eastAsia"/>
                <w:color w:val="000000"/>
                <w:kern w:val="0"/>
                <w:sz w:val="22"/>
                <w:lang w:bidi="ar"/>
              </w:rPr>
              <w:t>）项目、收费标准和收费依据。</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269"/>
          <w:jc w:val="center"/>
        </w:trPr>
        <w:tc>
          <w:tcPr>
            <w:tcW w:w="510"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4</w:t>
            </w:r>
          </w:p>
        </w:tc>
        <w:tc>
          <w:tcPr>
            <w:tcW w:w="1026"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招生就业</w:t>
            </w: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招生信息</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招生范围、招生计划、招生程序、招生条件、咨询电话、资助途径。</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269"/>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录取信息</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录取新生信息。</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信息形成或者变更之日起3个工作日内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方便所有报名的学生和家长及时、便捷的获取信息的渠道和载体，比如网站查询，新媒体查询，短信通知，电话通知，张榜公布等</w:t>
            </w:r>
          </w:p>
        </w:tc>
        <w:tc>
          <w:tcPr>
            <w:tcW w:w="780"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c>
          <w:tcPr>
            <w:tcW w:w="1065"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所有报名的学生和家长</w:t>
            </w:r>
          </w:p>
        </w:tc>
      </w:tr>
      <w:tr w:rsidR="00EE1C97" w:rsidTr="00A857ED">
        <w:trPr>
          <w:trHeight w:val="1269"/>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就业信息</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就业指导服务信息；每届毕业生的规模、结构、去向、就业率等信息。</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269"/>
          <w:jc w:val="center"/>
        </w:trPr>
        <w:tc>
          <w:tcPr>
            <w:tcW w:w="510"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5</w:t>
            </w:r>
          </w:p>
        </w:tc>
        <w:tc>
          <w:tcPr>
            <w:tcW w:w="1026"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教育教学</w:t>
            </w: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教学教研</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专业设置与专业建设信息；教学计划、教学活动等信息；教学研究活动、成果等信息。</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269"/>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实习实训</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 xml:space="preserve">实习实训信息。 </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269"/>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校企合作</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校企合作与产教融合信息。</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lang w:bidi="ar"/>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kern w:val="0"/>
                <w:sz w:val="22"/>
                <w:lang w:bidi="ar"/>
              </w:rPr>
            </w:pP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780"/>
          <w:jc w:val="center"/>
        </w:trPr>
        <w:tc>
          <w:tcPr>
            <w:tcW w:w="510"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6</w:t>
            </w:r>
          </w:p>
        </w:tc>
        <w:tc>
          <w:tcPr>
            <w:tcW w:w="1026"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教师管理</w:t>
            </w: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教师招聘</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本校的教师招聘计划；拟聘用人员名单等。</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780"/>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评先树优</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FF0000"/>
                <w:sz w:val="22"/>
              </w:rPr>
            </w:pPr>
            <w:r>
              <w:rPr>
                <w:rFonts w:ascii="仿宋_GB2312" w:eastAsia="仿宋_GB2312" w:hint="eastAsia"/>
                <w:color w:val="000000"/>
                <w:kern w:val="0"/>
                <w:sz w:val="22"/>
                <w:lang w:bidi="ar"/>
              </w:rPr>
              <w:t>对教师</w:t>
            </w:r>
            <w:r>
              <w:rPr>
                <w:rFonts w:ascii="仿宋_GB2312" w:eastAsia="仿宋_GB2312" w:hint="eastAsia"/>
                <w:color w:val="000000"/>
                <w:kern w:val="0"/>
                <w:sz w:val="22"/>
                <w:szCs w:val="22"/>
                <w:lang w:bidi="ar"/>
              </w:rPr>
              <w:t>县级（含）以上</w:t>
            </w:r>
            <w:r>
              <w:rPr>
                <w:rFonts w:ascii="仿宋_GB2312" w:eastAsia="仿宋_GB2312" w:hint="eastAsia"/>
                <w:color w:val="000000"/>
                <w:kern w:val="0"/>
                <w:sz w:val="22"/>
                <w:lang w:bidi="ar"/>
              </w:rPr>
              <w:t>各类评先树优、表彰奖励等的拟推荐人员名单。</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780"/>
          <w:jc w:val="center"/>
        </w:trPr>
        <w:tc>
          <w:tcPr>
            <w:tcW w:w="510"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7</w:t>
            </w:r>
          </w:p>
        </w:tc>
        <w:tc>
          <w:tcPr>
            <w:tcW w:w="1026"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学生管理</w:t>
            </w: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学生资助</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适用于本校的学生资助政策、申请指南等</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780"/>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评先树优</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对学生</w:t>
            </w:r>
            <w:r>
              <w:rPr>
                <w:rFonts w:ascii="仿宋_GB2312" w:eastAsia="仿宋_GB2312" w:hint="eastAsia"/>
                <w:color w:val="000000"/>
                <w:kern w:val="0"/>
                <w:sz w:val="22"/>
                <w:szCs w:val="22"/>
                <w:lang w:bidi="ar"/>
              </w:rPr>
              <w:t>县级（含）以上</w:t>
            </w:r>
            <w:r>
              <w:rPr>
                <w:rFonts w:ascii="仿宋_GB2312" w:eastAsia="仿宋_GB2312" w:hint="eastAsia"/>
                <w:color w:val="000000"/>
                <w:kern w:val="0"/>
                <w:sz w:val="22"/>
                <w:lang w:bidi="ar"/>
              </w:rPr>
              <w:t>各类评先树优、表彰奖励、加分保送等的拟推荐人员名单。</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2180"/>
          <w:jc w:val="center"/>
        </w:trPr>
        <w:tc>
          <w:tcPr>
            <w:tcW w:w="510"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8</w:t>
            </w:r>
          </w:p>
        </w:tc>
        <w:tc>
          <w:tcPr>
            <w:tcW w:w="1026"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体育美育</w:t>
            </w: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体育评价</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学校体育工作自评结果（体育课、体育训练、体育比赛、体育教师、体育场地、条件保障等）</w:t>
            </w:r>
            <w:r>
              <w:rPr>
                <w:rFonts w:ascii="仿宋_GB2312" w:eastAsia="仿宋_GB2312" w:hint="eastAsia"/>
                <w:color w:val="000000"/>
                <w:kern w:val="0"/>
                <w:sz w:val="22"/>
                <w:lang w:bidi="ar"/>
              </w:rPr>
              <w:br/>
              <w:t>学校体育发展年度报告（重点反映体育教学改革、体育教师配备、体育经费投入和体育场地设施、学生体质健康测试等方面的情况）</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2700"/>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美育评价</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学校艺术教育工作自评结果（艺术课程、艺术活动、艺术教师、条件保障、特色发展及学生艺术素质测评等）</w:t>
            </w:r>
            <w:r>
              <w:rPr>
                <w:rFonts w:ascii="仿宋_GB2312" w:eastAsia="仿宋_GB2312" w:hint="eastAsia"/>
                <w:color w:val="000000"/>
                <w:kern w:val="0"/>
                <w:sz w:val="22"/>
                <w:lang w:bidi="ar"/>
              </w:rPr>
              <w:b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2700"/>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color w:val="000000"/>
                <w:kern w:val="0"/>
                <w:sz w:val="22"/>
                <w:lang w:bidi="ar"/>
              </w:rPr>
            </w:pPr>
            <w:r>
              <w:rPr>
                <w:rFonts w:ascii="仿宋_GB2312" w:eastAsia="仿宋_GB2312" w:hint="eastAsia"/>
                <w:color w:val="000000"/>
                <w:kern w:val="0"/>
                <w:sz w:val="22"/>
                <w:lang w:bidi="ar"/>
              </w:rPr>
              <w:t>劳动教育</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color w:val="000000"/>
                <w:kern w:val="0"/>
                <w:sz w:val="22"/>
                <w:lang w:bidi="ar"/>
              </w:rPr>
            </w:pPr>
            <w:r>
              <w:rPr>
                <w:rFonts w:ascii="仿宋_GB2312" w:eastAsia="仿宋_GB2312" w:hint="eastAsia"/>
                <w:color w:val="000000"/>
                <w:kern w:val="0"/>
                <w:sz w:val="22"/>
                <w:lang w:bidi="ar"/>
              </w:rPr>
              <w:t>劳动教育开展情况等相关信息</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szCs w:val="22"/>
                <w:lang w:bidi="ar"/>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920"/>
          <w:jc w:val="center"/>
        </w:trPr>
        <w:tc>
          <w:tcPr>
            <w:tcW w:w="510" w:type="dxa"/>
            <w:vMerge w:val="restart"/>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b/>
                <w:color w:val="000000"/>
                <w:sz w:val="22"/>
              </w:rPr>
            </w:pPr>
            <w:r>
              <w:rPr>
                <w:rFonts w:ascii="仿宋_GB2312" w:eastAsia="仿宋_GB2312" w:hint="eastAsia"/>
                <w:b/>
                <w:color w:val="000000"/>
                <w:kern w:val="0"/>
                <w:sz w:val="22"/>
                <w:lang w:bidi="ar"/>
              </w:rPr>
              <w:t>9</w:t>
            </w:r>
          </w:p>
        </w:tc>
        <w:tc>
          <w:tcPr>
            <w:tcW w:w="1026" w:type="dxa"/>
            <w:vMerge w:val="restart"/>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b/>
                <w:color w:val="000000"/>
                <w:sz w:val="22"/>
              </w:rPr>
            </w:pPr>
            <w:r>
              <w:rPr>
                <w:rFonts w:ascii="仿宋_GB2312" w:eastAsia="仿宋_GB2312" w:hint="eastAsia"/>
                <w:b/>
                <w:color w:val="000000"/>
                <w:kern w:val="0"/>
                <w:sz w:val="22"/>
                <w:lang w:bidi="ar"/>
              </w:rPr>
              <w:t>校园安全</w:t>
            </w: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安全制度</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学校各项安</w:t>
            </w:r>
            <w:proofErr w:type="gramStart"/>
            <w:r>
              <w:rPr>
                <w:rFonts w:ascii="仿宋_GB2312" w:eastAsia="仿宋_GB2312" w:hint="eastAsia"/>
                <w:color w:val="000000"/>
                <w:kern w:val="0"/>
                <w:sz w:val="22"/>
                <w:lang w:bidi="ar"/>
              </w:rPr>
              <w:t>管管理</w:t>
            </w:r>
            <w:proofErr w:type="gramEnd"/>
            <w:r>
              <w:rPr>
                <w:rFonts w:ascii="仿宋_GB2312" w:eastAsia="仿宋_GB2312" w:hint="eastAsia"/>
                <w:color w:val="000000"/>
                <w:kern w:val="0"/>
                <w:sz w:val="22"/>
                <w:lang w:bidi="ar"/>
              </w:rPr>
              <w:t>制度，包括但不限于课堂教学安全管理、体育课安全管理、实验课（实践活动、实习实训）安全管理、食品安全管理、校车安全管理、校舍安全管理、消防安全管理、宿舍安全管理等</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jc w:val="center"/>
              <w:rPr>
                <w:rFonts w:ascii="仿宋_GB2312" w:eastAsia="仿宋_GB2312" w:hint="eastAsia"/>
                <w:color w:val="000000"/>
                <w:sz w:val="22"/>
              </w:rPr>
            </w:pPr>
          </w:p>
        </w:tc>
      </w:tr>
      <w:tr w:rsidR="00EE1C97" w:rsidTr="00A857ED">
        <w:trPr>
          <w:trHeight w:val="1760"/>
          <w:jc w:val="center"/>
        </w:trPr>
        <w:tc>
          <w:tcPr>
            <w:tcW w:w="510" w:type="dxa"/>
            <w:vMerge/>
            <w:tcMar>
              <w:top w:w="15" w:type="dxa"/>
              <w:left w:w="15" w:type="dxa"/>
              <w:right w:w="15" w:type="dxa"/>
            </w:tcMar>
            <w:vAlign w:val="center"/>
          </w:tcPr>
          <w:p w:rsidR="00EE1C97" w:rsidRDefault="00EE1C97" w:rsidP="00A857ED">
            <w:pPr>
              <w:jc w:val="center"/>
              <w:rPr>
                <w:rFonts w:ascii="仿宋_GB2312" w:eastAsia="仿宋_GB2312" w:hint="eastAsia"/>
                <w:b/>
                <w:color w:val="000000"/>
                <w:sz w:val="22"/>
              </w:rPr>
            </w:pPr>
          </w:p>
        </w:tc>
        <w:tc>
          <w:tcPr>
            <w:tcW w:w="1026" w:type="dxa"/>
            <w:vMerge/>
            <w:tcMar>
              <w:top w:w="15" w:type="dxa"/>
              <w:left w:w="15" w:type="dxa"/>
              <w:right w:w="15" w:type="dxa"/>
            </w:tcMar>
            <w:vAlign w:val="center"/>
          </w:tcPr>
          <w:p w:rsidR="00EE1C97" w:rsidRDefault="00EE1C97" w:rsidP="00A857ED">
            <w:pPr>
              <w:rPr>
                <w:rFonts w:ascii="仿宋_GB2312" w:eastAsia="仿宋_GB2312" w:hint="eastAsia"/>
                <w:b/>
                <w:color w:val="000000"/>
                <w:sz w:val="22"/>
              </w:rPr>
            </w:pP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应急预案</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学校各项突发事件应急预案,包括但不限于安全事件、自然灾害、卫生防疫等。</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sz w:val="22"/>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sz w:val="22"/>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rPr>
                <w:rFonts w:ascii="仿宋_GB2312" w:eastAsia="仿宋_GB2312" w:hint="eastAsia"/>
                <w:color w:val="000000"/>
                <w:sz w:val="22"/>
              </w:rPr>
            </w:pPr>
          </w:p>
        </w:tc>
      </w:tr>
      <w:tr w:rsidR="00EE1C97" w:rsidTr="00A857ED">
        <w:trPr>
          <w:trHeight w:val="1760"/>
          <w:jc w:val="center"/>
        </w:trPr>
        <w:tc>
          <w:tcPr>
            <w:tcW w:w="510" w:type="dxa"/>
            <w:tcMar>
              <w:top w:w="15" w:type="dxa"/>
              <w:left w:w="15" w:type="dxa"/>
              <w:right w:w="15" w:type="dxa"/>
            </w:tcMar>
            <w:vAlign w:val="center"/>
          </w:tcPr>
          <w:p w:rsidR="00EE1C97" w:rsidRDefault="00EE1C97" w:rsidP="00A857ED">
            <w:pPr>
              <w:jc w:val="center"/>
              <w:rPr>
                <w:rFonts w:ascii="仿宋_GB2312" w:eastAsia="仿宋_GB2312"/>
                <w:b/>
                <w:color w:val="000000"/>
                <w:sz w:val="22"/>
              </w:rPr>
            </w:pPr>
            <w:r>
              <w:rPr>
                <w:rFonts w:ascii="仿宋_GB2312" w:eastAsia="仿宋_GB2312" w:hint="eastAsia"/>
                <w:b/>
                <w:color w:val="000000"/>
                <w:sz w:val="22"/>
              </w:rPr>
              <w:t>10</w:t>
            </w:r>
          </w:p>
        </w:tc>
        <w:tc>
          <w:tcPr>
            <w:tcW w:w="1026" w:type="dxa"/>
            <w:tcMar>
              <w:top w:w="15" w:type="dxa"/>
              <w:left w:w="15" w:type="dxa"/>
              <w:right w:w="15" w:type="dxa"/>
            </w:tcMar>
            <w:vAlign w:val="center"/>
          </w:tcPr>
          <w:p w:rsidR="00EE1C97" w:rsidRDefault="00EE1C97" w:rsidP="00A857ED">
            <w:pPr>
              <w:rPr>
                <w:rFonts w:ascii="仿宋_GB2312" w:eastAsia="仿宋_GB2312"/>
                <w:b/>
                <w:color w:val="000000"/>
                <w:sz w:val="22"/>
              </w:rPr>
            </w:pPr>
            <w:r>
              <w:rPr>
                <w:rFonts w:ascii="仿宋_GB2312" w:eastAsia="仿宋_GB2312" w:hint="eastAsia"/>
                <w:b/>
                <w:color w:val="000000"/>
                <w:sz w:val="22"/>
              </w:rPr>
              <w:t>信息公开咨询指南</w:t>
            </w:r>
          </w:p>
        </w:tc>
        <w:tc>
          <w:tcPr>
            <w:tcW w:w="1134"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color w:val="000000"/>
                <w:kern w:val="0"/>
                <w:sz w:val="22"/>
                <w:lang w:bidi="ar"/>
              </w:rPr>
            </w:pPr>
            <w:r>
              <w:rPr>
                <w:rFonts w:ascii="仿宋_GB2312" w:eastAsia="仿宋_GB2312" w:hint="eastAsia"/>
                <w:color w:val="000000"/>
                <w:kern w:val="0"/>
                <w:sz w:val="22"/>
                <w:lang w:bidi="ar"/>
              </w:rPr>
              <w:t>信息公开咨询指南</w:t>
            </w:r>
          </w:p>
        </w:tc>
        <w:tc>
          <w:tcPr>
            <w:tcW w:w="4111"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学校接受信息公开咨询的电话号码、接受咨询的时间，接受书面咨询的通信地址、邮政编码等信息。</w:t>
            </w:r>
          </w:p>
        </w:tc>
        <w:tc>
          <w:tcPr>
            <w:tcW w:w="1694"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信息形成或者变更之日起20个工作日内</w:t>
            </w:r>
          </w:p>
        </w:tc>
        <w:tc>
          <w:tcPr>
            <w:tcW w:w="1125"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中等职业学校</w:t>
            </w:r>
          </w:p>
        </w:tc>
        <w:tc>
          <w:tcPr>
            <w:tcW w:w="3360" w:type="dxa"/>
            <w:tcMar>
              <w:top w:w="15" w:type="dxa"/>
              <w:left w:w="15" w:type="dxa"/>
              <w:right w:w="15" w:type="dxa"/>
            </w:tcMar>
            <w:vAlign w:val="center"/>
          </w:tcPr>
          <w:p w:rsidR="00EE1C97" w:rsidRDefault="00EE1C97" w:rsidP="00A857ED">
            <w:pPr>
              <w:widowControl/>
              <w:jc w:val="left"/>
              <w:textAlignment w:val="center"/>
              <w:rPr>
                <w:rFonts w:ascii="仿宋_GB2312" w:eastAsia="仿宋_GB2312" w:hint="eastAsia"/>
                <w:color w:val="000000"/>
                <w:kern w:val="0"/>
                <w:sz w:val="22"/>
                <w:szCs w:val="22"/>
                <w:lang w:bidi="ar"/>
              </w:rPr>
            </w:pPr>
            <w:r>
              <w:rPr>
                <w:rFonts w:ascii="仿宋_GB2312" w:eastAsia="仿宋_GB2312" w:hint="eastAsia"/>
                <w:color w:val="000000"/>
                <w:kern w:val="0"/>
                <w:sz w:val="22"/>
                <w:szCs w:val="22"/>
                <w:lang w:bidi="ar"/>
              </w:rPr>
              <w:t>学校、主管部门或本级人民政府的网站、新媒体均可</w:t>
            </w:r>
          </w:p>
        </w:tc>
        <w:tc>
          <w:tcPr>
            <w:tcW w:w="780" w:type="dxa"/>
            <w:tcMar>
              <w:top w:w="15" w:type="dxa"/>
              <w:left w:w="15" w:type="dxa"/>
              <w:right w:w="15" w:type="dxa"/>
            </w:tcMar>
            <w:vAlign w:val="center"/>
          </w:tcPr>
          <w:p w:rsidR="00EE1C97" w:rsidRDefault="00EE1C97" w:rsidP="00A857ED">
            <w:pPr>
              <w:widowControl/>
              <w:jc w:val="center"/>
              <w:textAlignment w:val="center"/>
              <w:rPr>
                <w:rFonts w:ascii="仿宋_GB2312" w:eastAsia="仿宋_GB2312" w:hint="eastAsia"/>
                <w:color w:val="000000"/>
                <w:kern w:val="0"/>
                <w:sz w:val="22"/>
                <w:lang w:bidi="ar"/>
              </w:rPr>
            </w:pPr>
            <w:r>
              <w:rPr>
                <w:rFonts w:ascii="仿宋_GB2312" w:eastAsia="仿宋_GB2312" w:hint="eastAsia"/>
                <w:color w:val="000000"/>
                <w:kern w:val="0"/>
                <w:sz w:val="22"/>
                <w:lang w:bidi="ar"/>
              </w:rPr>
              <w:t>√</w:t>
            </w:r>
          </w:p>
        </w:tc>
        <w:tc>
          <w:tcPr>
            <w:tcW w:w="1065" w:type="dxa"/>
            <w:tcMar>
              <w:top w:w="15" w:type="dxa"/>
              <w:left w:w="15" w:type="dxa"/>
              <w:right w:w="15" w:type="dxa"/>
            </w:tcMar>
            <w:vAlign w:val="center"/>
          </w:tcPr>
          <w:p w:rsidR="00EE1C97" w:rsidRDefault="00EE1C97" w:rsidP="00A857ED">
            <w:pPr>
              <w:rPr>
                <w:rFonts w:ascii="仿宋_GB2312" w:eastAsia="仿宋_GB2312" w:hint="eastAsia"/>
                <w:color w:val="000000"/>
                <w:sz w:val="22"/>
              </w:rPr>
            </w:pPr>
          </w:p>
        </w:tc>
      </w:tr>
    </w:tbl>
    <w:p w:rsidR="00EE1C97" w:rsidRDefault="00EE1C97" w:rsidP="00EE1C97">
      <w:pPr>
        <w:rPr>
          <w:rStyle w:val="a7"/>
          <w:rFonts w:ascii="仿宋_GB2312" w:eastAsia="仿宋_GB2312" w:hAnsi="仿宋_GB2312" w:cs="仿宋_GB2312"/>
          <w:sz w:val="32"/>
          <w:szCs w:val="32"/>
          <w:shd w:val="clear" w:color="auto" w:fill="FFFFFF"/>
        </w:rPr>
      </w:pPr>
    </w:p>
    <w:p w:rsidR="00EE1C97" w:rsidRDefault="00EE1C97" w:rsidP="00EE1C97">
      <w:pPr>
        <w:spacing w:line="560" w:lineRule="exact"/>
        <w:rPr>
          <w:rFonts w:ascii="仿宋_GB2312" w:eastAsia="仿宋_GB2312" w:hint="eastAsia"/>
          <w:sz w:val="32"/>
          <w:szCs w:val="32"/>
        </w:rPr>
      </w:pPr>
    </w:p>
    <w:p w:rsidR="004E0BC6" w:rsidRDefault="004E0BC6">
      <w:bookmarkStart w:id="0" w:name="_GoBack"/>
      <w:bookmarkEnd w:id="0"/>
    </w:p>
    <w:sectPr w:rsidR="004E0BC6">
      <w:footerReference w:type="default" r:id="rId6"/>
      <w:pgSz w:w="16838" w:h="11906" w:orient="landscape"/>
      <w:pgMar w:top="1531" w:right="2041" w:bottom="1531" w:left="1985" w:header="851" w:footer="1644"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8D1" w:rsidRDefault="00E628D1" w:rsidP="00EE1C97">
      <w:r>
        <w:separator/>
      </w:r>
    </w:p>
  </w:endnote>
  <w:endnote w:type="continuationSeparator" w:id="0">
    <w:p w:rsidR="00E628D1" w:rsidRDefault="00E628D1" w:rsidP="00EE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628D1">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8D1" w:rsidRDefault="00E628D1" w:rsidP="00EE1C97">
      <w:r>
        <w:separator/>
      </w:r>
    </w:p>
  </w:footnote>
  <w:footnote w:type="continuationSeparator" w:id="0">
    <w:p w:rsidR="00E628D1" w:rsidRDefault="00E628D1" w:rsidP="00EE1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7F"/>
    <w:rsid w:val="004E0BC6"/>
    <w:rsid w:val="005C467F"/>
    <w:rsid w:val="00E628D1"/>
    <w:rsid w:val="00EE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830B39-2047-404C-9CF4-11739DAC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C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C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E1C97"/>
    <w:rPr>
      <w:sz w:val="18"/>
      <w:szCs w:val="18"/>
    </w:rPr>
  </w:style>
  <w:style w:type="paragraph" w:styleId="a5">
    <w:name w:val="footer"/>
    <w:basedOn w:val="a"/>
    <w:link w:val="a6"/>
    <w:unhideWhenUsed/>
    <w:rsid w:val="00EE1C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E1C97"/>
    <w:rPr>
      <w:sz w:val="18"/>
      <w:szCs w:val="18"/>
    </w:rPr>
  </w:style>
  <w:style w:type="character" w:styleId="a7">
    <w:name w:val="Emphasis"/>
    <w:qFormat/>
    <w:rsid w:val="00EE1C9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411</Words>
  <Characters>2344</Characters>
  <Application>Microsoft Office Word</Application>
  <DocSecurity>0</DocSecurity>
  <Lines>19</Lines>
  <Paragraphs>5</Paragraphs>
  <ScaleCrop>false</ScaleCrop>
  <Company>神州网信技术有限公司</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2022-01-05T00:50:00Z</dcterms:created>
  <dcterms:modified xsi:type="dcterms:W3CDTF">2022-01-05T00:50:00Z</dcterms:modified>
</cp:coreProperties>
</file>