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suppressLineNumbers w:val="0"/>
        <w:kinsoku/>
        <w:wordWrap/>
        <w:overflowPunct/>
        <w:topLinePunct w:val="0"/>
        <w:autoSpaceDE/>
        <w:autoSpaceDN/>
        <w:bidi w:val="0"/>
        <w:adjustRightInd/>
        <w:snapToGrid/>
        <w:spacing w:before="313" w:beforeLines="100" w:beforeAutospacing="0" w:after="313" w:afterLines="100" w:afterAutospacing="0" w:line="30" w:lineRule="atLeast"/>
        <w:ind w:left="0" w:right="0"/>
        <w:jc w:val="center"/>
        <w:textAlignment w:val="auto"/>
        <w:rPr>
          <w:rStyle w:val="9"/>
          <w:rFonts w:hint="eastAsia" w:ascii="黑体" w:hAnsi="黑体" w:eastAsia="黑体" w:cs="黑体"/>
          <w:b/>
          <w:bCs/>
          <w:i w:val="0"/>
          <w:caps w:val="0"/>
          <w:color w:val="000000"/>
          <w:spacing w:val="0"/>
          <w:sz w:val="30"/>
          <w:szCs w:val="30"/>
          <w:lang w:val="en-US" w:eastAsia="zh-CN" w:bidi="ar"/>
        </w:rPr>
      </w:pPr>
      <w:r>
        <w:rPr>
          <w:rStyle w:val="9"/>
          <w:rFonts w:hint="eastAsia" w:ascii="黑体" w:hAnsi="黑体" w:eastAsia="黑体" w:cs="黑体"/>
          <w:b/>
          <w:bCs/>
          <w:i w:val="0"/>
          <w:caps w:val="0"/>
          <w:color w:val="000000"/>
          <w:spacing w:val="0"/>
          <w:sz w:val="30"/>
          <w:szCs w:val="30"/>
          <w:lang w:val="en-US" w:eastAsia="zh-CN" w:bidi="ar"/>
        </w:rPr>
        <w:t>山东科技职业学院</w:t>
      </w:r>
      <w:r>
        <w:rPr>
          <w:rStyle w:val="9"/>
          <w:rFonts w:hint="eastAsia" w:ascii="黑体" w:hAnsi="黑体" w:eastAsia="黑体" w:cs="黑体"/>
          <w:b/>
          <w:bCs/>
          <w:i w:val="0"/>
          <w:caps w:val="0"/>
          <w:color w:val="000000"/>
          <w:spacing w:val="0"/>
          <w:sz w:val="30"/>
          <w:szCs w:val="30"/>
          <w:lang w:val="en-US" w:eastAsia="zh-CN" w:bidi="ar"/>
        </w:rPr>
        <w:t>2019年单独招生章程（第二批）</w:t>
      </w:r>
    </w:p>
    <w:p>
      <w:pPr>
        <w:pStyle w:val="6"/>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sz w:val="28"/>
          <w:szCs w:val="28"/>
          <w:lang w:bidi="ar"/>
        </w:rPr>
      </w:pPr>
      <w:r>
        <w:rPr>
          <w:rFonts w:hint="eastAsia" w:ascii="仿宋" w:hAnsi="仿宋" w:eastAsia="仿宋" w:cs="仿宋"/>
          <w:b/>
          <w:bCs/>
          <w:i w:val="0"/>
          <w:caps w:val="0"/>
          <w:color w:val="000000"/>
          <w:spacing w:val="0"/>
          <w:sz w:val="28"/>
          <w:szCs w:val="28"/>
          <w:lang w:bidi="ar"/>
        </w:rPr>
        <w:t xml:space="preserve">第一章  总则 </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bookmarkStart w:id="0" w:name="_GoBack"/>
      <w:r>
        <w:rPr>
          <w:rFonts w:hint="eastAsia" w:ascii="仿宋" w:hAnsi="仿宋" w:eastAsia="仿宋" w:cs="仿宋"/>
          <w:b w:val="0"/>
          <w:i w:val="0"/>
          <w:caps w:val="0"/>
          <w:color w:val="000000"/>
          <w:spacing w:val="0"/>
          <w:sz w:val="24"/>
          <w:szCs w:val="24"/>
          <w:lang w:bidi="ar"/>
        </w:rPr>
        <w:t>为确保学院本次单独招生工作的顺利进行，根据《山东省教育厅等 11 部门关于印发&lt;山东省高等职业院校扩招实施方案&gt;的通知》（鲁教职发〔2019〕1号）要求，结合学院实际，特制定本章程。</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（一）本章程适用于山东科技职业学院普通高职单独招生工作。 </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（二）山东科技职业学院单独招生工作贯彻公平竞争、公正选拔、公开透明的原则，德智体美劳全面考核、综合评价、择优录取新生。 </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（三）山东科技职业学院单独招生工作接受纪检监察部门、新闻媒体、考生及其家长</w:t>
      </w:r>
      <w:r>
        <w:rPr>
          <w:rFonts w:hint="eastAsia" w:ascii="仿宋" w:hAnsi="仿宋" w:eastAsia="仿宋" w:cs="仿宋"/>
          <w:b w:val="0"/>
          <w:i w:val="0"/>
          <w:caps w:val="0"/>
          <w:color w:val="000000"/>
          <w:spacing w:val="0"/>
          <w:sz w:val="24"/>
          <w:szCs w:val="24"/>
          <w:lang w:eastAsia="zh-CN" w:bidi="ar"/>
        </w:rPr>
        <w:t>和</w:t>
      </w:r>
      <w:r>
        <w:rPr>
          <w:rFonts w:hint="eastAsia" w:ascii="仿宋" w:hAnsi="仿宋" w:eastAsia="仿宋" w:cs="仿宋"/>
          <w:b w:val="0"/>
          <w:i w:val="0"/>
          <w:caps w:val="0"/>
          <w:color w:val="000000"/>
          <w:spacing w:val="0"/>
          <w:sz w:val="24"/>
          <w:szCs w:val="24"/>
          <w:lang w:bidi="ar"/>
        </w:rPr>
        <w:t xml:space="preserve">社会各界的监督。 </w:t>
      </w:r>
    </w:p>
    <w:bookmarkEnd w:id="0"/>
    <w:p>
      <w:pPr>
        <w:pStyle w:val="6"/>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sz w:val="28"/>
          <w:szCs w:val="28"/>
          <w:lang w:bidi="ar"/>
        </w:rPr>
      </w:pPr>
      <w:r>
        <w:rPr>
          <w:rFonts w:hint="eastAsia" w:ascii="仿宋" w:hAnsi="仿宋" w:eastAsia="仿宋" w:cs="仿宋"/>
          <w:b/>
          <w:bCs/>
          <w:i w:val="0"/>
          <w:caps w:val="0"/>
          <w:color w:val="000000"/>
          <w:spacing w:val="0"/>
          <w:sz w:val="28"/>
          <w:szCs w:val="28"/>
          <w:lang w:bidi="ar"/>
        </w:rPr>
        <w:t xml:space="preserve">第二章  学院简介 </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（一）学院名称及代码：山东科技职业学院  12819 </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（二）学院地址：山东省潍坊市西环路6388号 </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（三）办学层次：高职（专科） </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（四）办学类型：公办 全日制普通高等职业学校 </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（五）批准成立时间：学校始建于1978年，2001年独立晋升为高职院校，2008年跻身为全国百所国家示范性高职院校之一。2017年被省教育厅、财政厅确定为山东省首批优质高等职业院校建设单位。 </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（六）学院办学情况 </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目前，办学涉及纺织服装、经济管理、机械机电、建筑工程等11个领域51个专业，全日制高职在校生15671名。学院占地面积2506亩，建筑面积48.9万平方米, 固定资产7.61亿元，其中教学仪器设备总值为1.49亿元。学院全面深化教育教学改革，构建了“知识传授、技能训练、创新实践、素质养成、价值积累”五位一体人才培养体系。2018年，学院获国家级教学成果奖二等奖2项，省级教学成果奖特等奖2项，一等奖3项；获山东省职业院校技能大赛高职教师组赛项一等奖2项。学生技能大赛取得国赛一等奖5项，省赛一等奖4项，二等奖8项，国赛一等奖数量位列全省第一名。818名师生志愿者完成上合青岛峰会志愿服务保障工作，被上海合作组织青岛峰会统筹委员会授予志愿服务“突出贡献奖”。师生共申报专利160项，授权37项，其中授权实用新型专利35项，发明专利2项，截至2018年，在校生共申报专利4582项，专利申报数量居山东省高职院校首位。在全国高等职业院校“发明杯”创新创业大赛中获一等奖3项，二等奖6项，三等奖26项，大学生创新创业基地获得2018年度省级创业示范平台。毕业生就业率连年达98%以上，毕业生职业素质高、创新意识强、发展潜力大，得到用人单位一致好评。 </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在多年的办学实践中，学院凝聚了“产学研一体,职场化育人,国际化办学,现代化治理”的办学特色。学院是教育部首批现代学徒制试点单位、全国职业院校数字化校园实验校、山东省首批信息化示范单位，先后被授予山东省普通高校德育工作优秀单位、山东省博士后创新实践基地、山东省创新创业典型经验高校、山东省专业技术兵员储备基地、山东省大学生创业孵化示范基地、中非国际人才培训机构、山东省制造业紧缺人才培训基地、山东省知识产权优势单位等多项荣誉称号。 </w:t>
      </w:r>
    </w:p>
    <w:p>
      <w:pPr>
        <w:pStyle w:val="6"/>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sz w:val="28"/>
          <w:szCs w:val="28"/>
          <w:lang w:bidi="ar"/>
        </w:rPr>
      </w:pPr>
      <w:r>
        <w:rPr>
          <w:rFonts w:hint="eastAsia" w:ascii="仿宋" w:hAnsi="仿宋" w:eastAsia="仿宋" w:cs="仿宋"/>
          <w:b/>
          <w:bCs/>
          <w:i w:val="0"/>
          <w:caps w:val="0"/>
          <w:color w:val="000000"/>
          <w:spacing w:val="0"/>
          <w:sz w:val="28"/>
          <w:szCs w:val="28"/>
          <w:lang w:bidi="ar"/>
        </w:rPr>
        <w:t xml:space="preserve">第三章  组织机构 </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（一）山东科技职业学院成立以学院主要领导为组长的招生工作领导小组。领导小组负责制定招生政策和招生计划，讨论决定招生工作重大事宜。 </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（二）山东科技职业学院招生就业处是组织和实施招生及其相关工作的常设机构，具体负责学院普通高职（专科）招生的日常工作。 </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（三）山东科技职业学院纪委对招生工作实施全程监督。 </w:t>
      </w:r>
    </w:p>
    <w:p>
      <w:pPr>
        <w:pStyle w:val="6"/>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sz w:val="28"/>
          <w:szCs w:val="28"/>
          <w:lang w:bidi="ar"/>
        </w:rPr>
      </w:pPr>
      <w:r>
        <w:rPr>
          <w:rFonts w:hint="eastAsia" w:ascii="仿宋" w:hAnsi="仿宋" w:eastAsia="仿宋" w:cs="仿宋"/>
          <w:b/>
          <w:bCs/>
          <w:i w:val="0"/>
          <w:caps w:val="0"/>
          <w:color w:val="000000"/>
          <w:spacing w:val="0"/>
          <w:sz w:val="28"/>
          <w:szCs w:val="28"/>
          <w:lang w:bidi="ar"/>
        </w:rPr>
        <w:t>第四章 招生计划（C类）</w:t>
      </w:r>
    </w:p>
    <w:tbl>
      <w:tblPr>
        <w:tblStyle w:val="7"/>
        <w:tblW w:w="10756" w:type="dxa"/>
        <w:tblInd w:w="0" w:type="dxa"/>
        <w:tblLayout w:type="fixed"/>
        <w:tblCellMar>
          <w:top w:w="0" w:type="dxa"/>
          <w:left w:w="0" w:type="dxa"/>
          <w:bottom w:w="0" w:type="dxa"/>
          <w:right w:w="0" w:type="dxa"/>
        </w:tblCellMar>
      </w:tblPr>
      <w:tblGrid>
        <w:gridCol w:w="1433"/>
        <w:gridCol w:w="5243"/>
        <w:gridCol w:w="2235"/>
        <w:gridCol w:w="1845"/>
      </w:tblGrid>
      <w:tr>
        <w:tblPrEx>
          <w:tblLayout w:type="fixed"/>
          <w:tblCellMar>
            <w:top w:w="0" w:type="dxa"/>
            <w:left w:w="0" w:type="dxa"/>
            <w:bottom w:w="0" w:type="dxa"/>
            <w:right w:w="0" w:type="dxa"/>
          </w:tblCellMar>
        </w:tblPrEx>
        <w:trPr>
          <w:trHeight w:val="900" w:hRule="atLeast"/>
        </w:trPr>
        <w:tc>
          <w:tcPr>
            <w:tcW w:w="143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b/>
                <w:color w:val="000000"/>
                <w:sz w:val="22"/>
              </w:rPr>
            </w:pPr>
            <w:r>
              <w:rPr>
                <w:rFonts w:hint="eastAsia" w:ascii="宋体" w:hAnsi="宋体" w:eastAsia="宋体" w:cs="宋体"/>
                <w:b/>
                <w:color w:val="000000"/>
                <w:kern w:val="0"/>
                <w:sz w:val="22"/>
              </w:rPr>
              <w:t>专业代号</w:t>
            </w:r>
          </w:p>
        </w:tc>
        <w:tc>
          <w:tcPr>
            <w:tcW w:w="524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b/>
                <w:color w:val="000000"/>
                <w:sz w:val="22"/>
              </w:rPr>
            </w:pPr>
            <w:r>
              <w:rPr>
                <w:rFonts w:hint="eastAsia" w:ascii="宋体" w:hAnsi="宋体" w:eastAsia="宋体" w:cs="宋体"/>
                <w:b/>
                <w:color w:val="000000"/>
                <w:kern w:val="0"/>
                <w:sz w:val="22"/>
              </w:rPr>
              <w:t>招生专业</w:t>
            </w:r>
          </w:p>
        </w:tc>
        <w:tc>
          <w:tcPr>
            <w:tcW w:w="22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b/>
                <w:color w:val="000000"/>
                <w:sz w:val="22"/>
              </w:rPr>
            </w:pPr>
            <w:r>
              <w:rPr>
                <w:rFonts w:hint="eastAsia" w:ascii="宋体" w:hAnsi="宋体" w:eastAsia="宋体" w:cs="宋体"/>
                <w:b/>
                <w:color w:val="000000"/>
                <w:kern w:val="0"/>
                <w:sz w:val="22"/>
              </w:rPr>
              <w:t>技术技能类</w:t>
            </w:r>
          </w:p>
        </w:tc>
        <w:tc>
          <w:tcPr>
            <w:tcW w:w="184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b/>
                <w:color w:val="000000"/>
                <w:sz w:val="22"/>
              </w:rPr>
            </w:pPr>
            <w:r>
              <w:rPr>
                <w:rFonts w:hint="eastAsia" w:ascii="宋体" w:hAnsi="宋体" w:eastAsia="宋体" w:cs="宋体"/>
                <w:b/>
                <w:color w:val="000000"/>
                <w:kern w:val="0"/>
                <w:sz w:val="22"/>
              </w:rPr>
              <w:t>备注</w:t>
            </w:r>
          </w:p>
        </w:tc>
      </w:tr>
      <w:tr>
        <w:tblPrEx>
          <w:tblLayout w:type="fixed"/>
          <w:tblCellMar>
            <w:top w:w="0" w:type="dxa"/>
            <w:left w:w="0" w:type="dxa"/>
            <w:bottom w:w="0" w:type="dxa"/>
            <w:right w:w="0" w:type="dxa"/>
          </w:tblCellMar>
        </w:tblPrEx>
        <w:trPr>
          <w:trHeight w:val="600" w:hRule="atLeast"/>
        </w:trPr>
        <w:tc>
          <w:tcPr>
            <w:tcW w:w="1433"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sz w:val="22"/>
              </w:rPr>
              <w:t>1</w:t>
            </w:r>
          </w:p>
        </w:tc>
        <w:tc>
          <w:tcPr>
            <w:tcW w:w="52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数控技术</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45</w:t>
            </w:r>
          </w:p>
        </w:tc>
        <w:tc>
          <w:tcPr>
            <w:tcW w:w="18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ascii="宋体" w:hAnsi="宋体" w:eastAsia="宋体" w:cs="宋体"/>
                <w:color w:val="000000"/>
                <w:sz w:val="22"/>
              </w:rPr>
            </w:pPr>
          </w:p>
        </w:tc>
      </w:tr>
      <w:tr>
        <w:tblPrEx>
          <w:tblLayout w:type="fixed"/>
          <w:tblCellMar>
            <w:top w:w="0" w:type="dxa"/>
            <w:left w:w="0" w:type="dxa"/>
            <w:bottom w:w="0" w:type="dxa"/>
            <w:right w:w="0" w:type="dxa"/>
          </w:tblCellMar>
        </w:tblPrEx>
        <w:trPr>
          <w:trHeight w:val="600" w:hRule="atLeast"/>
        </w:trPr>
        <w:tc>
          <w:tcPr>
            <w:tcW w:w="1433"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r>
              <w:rPr>
                <w:rFonts w:hint="eastAsia" w:ascii="宋体" w:hAnsi="宋体" w:eastAsia="宋体" w:cs="宋体"/>
                <w:color w:val="000000"/>
                <w:sz w:val="22"/>
              </w:rPr>
              <w:t>2</w:t>
            </w:r>
          </w:p>
        </w:tc>
        <w:tc>
          <w:tcPr>
            <w:tcW w:w="52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汽车检测与维修技术</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40</w:t>
            </w:r>
          </w:p>
        </w:tc>
        <w:tc>
          <w:tcPr>
            <w:tcW w:w="18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ascii="宋体" w:hAnsi="宋体" w:eastAsia="宋体" w:cs="宋体"/>
                <w:color w:val="000000"/>
                <w:sz w:val="22"/>
              </w:rPr>
            </w:pPr>
          </w:p>
        </w:tc>
      </w:tr>
      <w:tr>
        <w:tblPrEx>
          <w:tblLayout w:type="fixed"/>
          <w:tblCellMar>
            <w:top w:w="0" w:type="dxa"/>
            <w:left w:w="0" w:type="dxa"/>
            <w:bottom w:w="0" w:type="dxa"/>
            <w:right w:w="0" w:type="dxa"/>
          </w:tblCellMar>
        </w:tblPrEx>
        <w:trPr>
          <w:trHeight w:val="600" w:hRule="atLeast"/>
        </w:trPr>
        <w:tc>
          <w:tcPr>
            <w:tcW w:w="1433"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r>
              <w:rPr>
                <w:rFonts w:hint="eastAsia" w:ascii="宋体" w:hAnsi="宋体" w:eastAsia="宋体" w:cs="宋体"/>
                <w:color w:val="000000"/>
                <w:sz w:val="22"/>
              </w:rPr>
              <w:t>3</w:t>
            </w:r>
          </w:p>
        </w:tc>
        <w:tc>
          <w:tcPr>
            <w:tcW w:w="52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物流管理</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40</w:t>
            </w:r>
          </w:p>
        </w:tc>
        <w:tc>
          <w:tcPr>
            <w:tcW w:w="18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ascii="宋体" w:hAnsi="宋体" w:eastAsia="宋体" w:cs="宋体"/>
                <w:color w:val="000000"/>
                <w:sz w:val="22"/>
              </w:rPr>
            </w:pPr>
          </w:p>
        </w:tc>
      </w:tr>
      <w:tr>
        <w:tblPrEx>
          <w:tblLayout w:type="fixed"/>
          <w:tblCellMar>
            <w:top w:w="0" w:type="dxa"/>
            <w:left w:w="0" w:type="dxa"/>
            <w:bottom w:w="0" w:type="dxa"/>
            <w:right w:w="0" w:type="dxa"/>
          </w:tblCellMar>
        </w:tblPrEx>
        <w:trPr>
          <w:trHeight w:val="600" w:hRule="atLeast"/>
        </w:trPr>
        <w:tc>
          <w:tcPr>
            <w:tcW w:w="1433"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r>
              <w:rPr>
                <w:rFonts w:hint="eastAsia" w:ascii="宋体" w:hAnsi="宋体" w:eastAsia="宋体" w:cs="宋体"/>
                <w:color w:val="000000"/>
                <w:sz w:val="22"/>
              </w:rPr>
              <w:t>4</w:t>
            </w:r>
          </w:p>
        </w:tc>
        <w:tc>
          <w:tcPr>
            <w:tcW w:w="52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机电设备维修与管理</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40</w:t>
            </w:r>
          </w:p>
        </w:tc>
        <w:tc>
          <w:tcPr>
            <w:tcW w:w="18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ascii="宋体" w:hAnsi="宋体" w:eastAsia="宋体" w:cs="宋体"/>
                <w:color w:val="000000"/>
                <w:sz w:val="22"/>
              </w:rPr>
            </w:pPr>
          </w:p>
        </w:tc>
      </w:tr>
      <w:tr>
        <w:tblPrEx>
          <w:tblLayout w:type="fixed"/>
          <w:tblCellMar>
            <w:top w:w="0" w:type="dxa"/>
            <w:left w:w="0" w:type="dxa"/>
            <w:bottom w:w="0" w:type="dxa"/>
            <w:right w:w="0" w:type="dxa"/>
          </w:tblCellMar>
        </w:tblPrEx>
        <w:trPr>
          <w:trHeight w:val="600" w:hRule="atLeast"/>
        </w:trPr>
        <w:tc>
          <w:tcPr>
            <w:tcW w:w="1433"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r>
              <w:rPr>
                <w:rFonts w:hint="eastAsia" w:ascii="宋体" w:hAnsi="宋体" w:eastAsia="宋体" w:cs="宋体"/>
                <w:color w:val="000000"/>
                <w:sz w:val="22"/>
              </w:rPr>
              <w:t>5</w:t>
            </w:r>
          </w:p>
        </w:tc>
        <w:tc>
          <w:tcPr>
            <w:tcW w:w="52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服装设计与工艺</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40</w:t>
            </w:r>
          </w:p>
        </w:tc>
        <w:tc>
          <w:tcPr>
            <w:tcW w:w="18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ascii="宋体" w:hAnsi="宋体" w:eastAsia="宋体" w:cs="宋体"/>
                <w:color w:val="000000"/>
                <w:sz w:val="22"/>
              </w:rPr>
            </w:pPr>
          </w:p>
        </w:tc>
      </w:tr>
      <w:tr>
        <w:tblPrEx>
          <w:tblLayout w:type="fixed"/>
          <w:tblCellMar>
            <w:top w:w="0" w:type="dxa"/>
            <w:left w:w="0" w:type="dxa"/>
            <w:bottom w:w="0" w:type="dxa"/>
            <w:right w:w="0" w:type="dxa"/>
          </w:tblCellMar>
        </w:tblPrEx>
        <w:trPr>
          <w:trHeight w:val="600" w:hRule="atLeast"/>
        </w:trPr>
        <w:tc>
          <w:tcPr>
            <w:tcW w:w="1433"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r>
              <w:rPr>
                <w:rFonts w:hint="eastAsia" w:ascii="宋体" w:hAnsi="宋体" w:eastAsia="宋体" w:cs="宋体"/>
                <w:color w:val="000000"/>
                <w:sz w:val="22"/>
              </w:rPr>
              <w:t>6</w:t>
            </w:r>
          </w:p>
        </w:tc>
        <w:tc>
          <w:tcPr>
            <w:tcW w:w="52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现代纺织技术</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w:t>
            </w:r>
          </w:p>
        </w:tc>
        <w:tc>
          <w:tcPr>
            <w:tcW w:w="18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ascii="宋体" w:hAnsi="宋体" w:eastAsia="宋体" w:cs="宋体"/>
                <w:color w:val="000000"/>
                <w:sz w:val="22"/>
              </w:rPr>
            </w:pPr>
          </w:p>
        </w:tc>
      </w:tr>
      <w:tr>
        <w:tblPrEx>
          <w:tblLayout w:type="fixed"/>
          <w:tblCellMar>
            <w:top w:w="0" w:type="dxa"/>
            <w:left w:w="0" w:type="dxa"/>
            <w:bottom w:w="0" w:type="dxa"/>
            <w:right w:w="0" w:type="dxa"/>
          </w:tblCellMar>
        </w:tblPrEx>
        <w:trPr>
          <w:trHeight w:val="600" w:hRule="atLeast"/>
        </w:trPr>
        <w:tc>
          <w:tcPr>
            <w:tcW w:w="1433"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r>
              <w:rPr>
                <w:rFonts w:hint="eastAsia" w:ascii="宋体" w:hAnsi="宋体" w:eastAsia="宋体" w:cs="宋体"/>
                <w:color w:val="000000"/>
                <w:sz w:val="22"/>
              </w:rPr>
              <w:t>7</w:t>
            </w:r>
          </w:p>
        </w:tc>
        <w:tc>
          <w:tcPr>
            <w:tcW w:w="52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宠物养护与驯导</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40</w:t>
            </w:r>
          </w:p>
        </w:tc>
        <w:tc>
          <w:tcPr>
            <w:tcW w:w="18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ascii="宋体" w:hAnsi="宋体" w:eastAsia="宋体" w:cs="宋体"/>
                <w:color w:val="000000"/>
                <w:sz w:val="22"/>
              </w:rPr>
            </w:pPr>
          </w:p>
        </w:tc>
      </w:tr>
    </w:tbl>
    <w:p>
      <w:pPr>
        <w:spacing w:line="520" w:lineRule="exact"/>
        <w:jc w:val="center"/>
        <w:rPr>
          <w:rStyle w:val="9"/>
          <w:rFonts w:asciiTheme="majorEastAsia" w:hAnsiTheme="majorEastAsia" w:eastAsiaTheme="majorEastAsia"/>
          <w:sz w:val="24"/>
          <w:szCs w:val="24"/>
        </w:rPr>
      </w:pPr>
    </w:p>
    <w:p>
      <w:pPr>
        <w:pStyle w:val="6"/>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sz w:val="28"/>
          <w:szCs w:val="28"/>
          <w:lang w:bidi="ar"/>
        </w:rPr>
      </w:pPr>
      <w:r>
        <w:rPr>
          <w:rFonts w:hint="eastAsia" w:ascii="仿宋" w:hAnsi="仿宋" w:eastAsia="仿宋" w:cs="仿宋"/>
          <w:b/>
          <w:bCs/>
          <w:i w:val="0"/>
          <w:caps w:val="0"/>
          <w:color w:val="000000"/>
          <w:spacing w:val="0"/>
          <w:sz w:val="28"/>
          <w:szCs w:val="28"/>
          <w:lang w:bidi="ar"/>
        </w:rPr>
        <w:t xml:space="preserve">第五章  报考、考试及录取原则 </w:t>
      </w:r>
    </w:p>
    <w:p>
      <w:pPr>
        <w:widowControl/>
        <w:spacing w:line="520" w:lineRule="exact"/>
        <w:ind w:firstLine="482" w:firstLineChars="200"/>
        <w:jc w:val="left"/>
        <w:rPr>
          <w:rFonts w:cs="Tahoma" w:asciiTheme="majorEastAsia" w:hAnsiTheme="majorEastAsia" w:eastAsiaTheme="majorEastAsia"/>
          <w:kern w:val="0"/>
          <w:sz w:val="24"/>
          <w:szCs w:val="24"/>
        </w:rPr>
      </w:pPr>
      <w:r>
        <w:rPr>
          <w:rFonts w:cs="Tahoma" w:asciiTheme="majorEastAsia" w:hAnsiTheme="majorEastAsia" w:eastAsiaTheme="majorEastAsia"/>
          <w:b/>
          <w:bCs/>
          <w:kern w:val="0"/>
          <w:sz w:val="24"/>
          <w:szCs w:val="24"/>
        </w:rPr>
        <w:t>（一）报考</w:t>
      </w:r>
      <w:r>
        <w:rPr>
          <w:rFonts w:cs="Tahoma" w:asciiTheme="majorEastAsia" w:hAnsiTheme="majorEastAsia" w:eastAsiaTheme="majorEastAsia"/>
          <w:kern w:val="0"/>
          <w:sz w:val="24"/>
          <w:szCs w:val="24"/>
        </w:rPr>
        <w:t xml:space="preserve"> </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1.招生对象。下岗失业人员、农民工、农民、在岗职工。</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2.报考条件。具有山东省户籍或在山东务工（需提供6个月以上劳动合同证明）、具有高中阶段学历或同等学力人员；非山东省户籍的就业人员随迁子女（含进城务工人员随迁子女）应具有山东省高中段学校学籍及完整学习经历，并合格毕业。已参加2019 年我省春季高考或夏季高考考试的考生，不再参加本次单独招生报名及考试。</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3.资格审核及报名。8月3日—6日（每天工作时间 9:00-17:00），失业人员和农民工、农民、企事业单位职工（含下岗职工，下同）报考，分别到本人户籍（或在鲁务工）所在县（市、区）人力资源社会保障部门、农业农村部门、工会设立的资格审核点，进行资格审核并开具《山东省高职院校扩招资格审核登记表》（以下简称《资格审核登记表》），然后持本人身份证、户口本原件及复印件和《资格审核登记表》进行现场报名、缴纳高考报名费。资格审核时，在山东务工人员还需分别携带本人劳动合同证明原件及复印件。</w:t>
      </w:r>
    </w:p>
    <w:p>
      <w:pPr>
        <w:widowControl/>
        <w:spacing w:line="520" w:lineRule="exact"/>
        <w:ind w:firstLine="482" w:firstLineChars="200"/>
        <w:jc w:val="left"/>
        <w:rPr>
          <w:rFonts w:cs="Tahoma" w:asciiTheme="majorEastAsia" w:hAnsiTheme="majorEastAsia" w:eastAsiaTheme="majorEastAsia"/>
          <w:kern w:val="0"/>
          <w:sz w:val="24"/>
          <w:szCs w:val="24"/>
        </w:rPr>
      </w:pPr>
      <w:r>
        <w:rPr>
          <w:rFonts w:cs="Tahoma" w:asciiTheme="majorEastAsia" w:hAnsiTheme="majorEastAsia" w:eastAsiaTheme="majorEastAsia"/>
          <w:b/>
          <w:bCs/>
          <w:kern w:val="0"/>
          <w:sz w:val="24"/>
          <w:szCs w:val="24"/>
        </w:rPr>
        <w:t>（二）</w:t>
      </w:r>
      <w:r>
        <w:rPr>
          <w:rFonts w:hint="eastAsia" w:cs="Tahoma" w:asciiTheme="majorEastAsia" w:hAnsiTheme="majorEastAsia" w:eastAsiaTheme="majorEastAsia"/>
          <w:b/>
          <w:bCs/>
          <w:kern w:val="0"/>
          <w:sz w:val="24"/>
          <w:szCs w:val="24"/>
        </w:rPr>
        <w:t>志愿填报</w:t>
      </w:r>
      <w:r>
        <w:rPr>
          <w:rFonts w:cs="Tahoma" w:asciiTheme="majorEastAsia" w:hAnsiTheme="majorEastAsia" w:eastAsiaTheme="majorEastAsia"/>
          <w:b/>
          <w:bCs/>
          <w:kern w:val="0"/>
          <w:sz w:val="24"/>
          <w:szCs w:val="24"/>
        </w:rPr>
        <w:t>、缴费时间及方式</w:t>
      </w:r>
      <w:r>
        <w:rPr>
          <w:rFonts w:cs="Tahoma" w:asciiTheme="majorEastAsia" w:hAnsiTheme="majorEastAsia" w:eastAsiaTheme="majorEastAsia"/>
          <w:kern w:val="0"/>
          <w:sz w:val="24"/>
          <w:szCs w:val="24"/>
        </w:rPr>
        <w:t xml:space="preserve"> </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1.志愿填报</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考生需登录省教育招生考试院高职单招填报志愿平台（网址：http://wsbm.sdzk.cn/gzdz/）填报志愿。考生可填报两次志愿，第1次为首次志愿，志愿填报时间为8月9日-11日（每天8:00—20:00）；第2次为征集志愿，志愿填报时间为9月12日（8:00—20:00）。首次志愿和征集志愿均填报“1个学校+1个专业（类）”志愿；征集志愿同时填报院校、专业是否服从调剂志愿。</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2.缴费</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首次志愿填报结束后，请考生于8月26日到学院现场缴纳考试费用40元/人。</w:t>
      </w:r>
    </w:p>
    <w:p>
      <w:pPr>
        <w:widowControl/>
        <w:spacing w:line="520" w:lineRule="exact"/>
        <w:ind w:firstLine="482" w:firstLineChars="200"/>
        <w:jc w:val="left"/>
        <w:rPr>
          <w:rFonts w:cs="宋体" w:asciiTheme="majorEastAsia" w:hAnsiTheme="majorEastAsia" w:eastAsiaTheme="majorEastAsia"/>
          <w:kern w:val="0"/>
          <w:sz w:val="24"/>
          <w:szCs w:val="24"/>
        </w:rPr>
      </w:pPr>
      <w:r>
        <w:rPr>
          <w:rFonts w:cs="宋体" w:asciiTheme="majorEastAsia" w:hAnsiTheme="majorEastAsia" w:eastAsiaTheme="majorEastAsia"/>
          <w:b/>
          <w:bCs/>
          <w:kern w:val="0"/>
          <w:sz w:val="24"/>
          <w:szCs w:val="24"/>
        </w:rPr>
        <w:t>（三）考试安排</w:t>
      </w:r>
      <w:r>
        <w:rPr>
          <w:rFonts w:cs="宋体" w:asciiTheme="majorEastAsia" w:hAnsiTheme="majorEastAsia" w:eastAsiaTheme="majorEastAsia"/>
          <w:kern w:val="0"/>
          <w:sz w:val="24"/>
          <w:szCs w:val="24"/>
        </w:rPr>
        <w:t xml:space="preserve"> </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1.考试形式</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C类考生免予文化素质考试。我院考试采取面试形式。</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2.考试内容</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（1）面试内容分为心理素质、身体条件、职业能力倾向、技术技能基础等四部分。</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（2）总成绩为750分，考试由各考评组从各专业面试题库中随机抽题，考生作答，由考评专家按照评分标准进行评分。</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3.考试时间与地点 </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（1）准考证领取 ：8月26日持身份证到学院现场确认信息、领取准考证。</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（2）考试时间：2019年8月27日。</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（3）考试地点：山东科技职业学院。</w:t>
      </w:r>
    </w:p>
    <w:p>
      <w:pPr>
        <w:widowControl/>
        <w:spacing w:line="520" w:lineRule="exact"/>
        <w:ind w:firstLine="482" w:firstLineChars="200"/>
        <w:jc w:val="left"/>
        <w:rPr>
          <w:rFonts w:ascii="宋体" w:hAnsi="宋体" w:cs="Tahoma"/>
          <w:kern w:val="0"/>
          <w:sz w:val="24"/>
          <w:szCs w:val="24"/>
        </w:rPr>
      </w:pPr>
      <w:r>
        <w:rPr>
          <w:rFonts w:cs="Tahoma" w:asciiTheme="majorEastAsia" w:hAnsiTheme="majorEastAsia" w:eastAsiaTheme="majorEastAsia"/>
          <w:b/>
          <w:bCs/>
          <w:kern w:val="0"/>
          <w:sz w:val="24"/>
          <w:szCs w:val="24"/>
        </w:rPr>
        <w:t>（</w:t>
      </w:r>
      <w:r>
        <w:rPr>
          <w:rFonts w:hint="eastAsia" w:cs="Tahoma" w:asciiTheme="majorEastAsia" w:hAnsiTheme="majorEastAsia" w:eastAsiaTheme="majorEastAsia"/>
          <w:b/>
          <w:bCs/>
          <w:kern w:val="0"/>
          <w:sz w:val="24"/>
          <w:szCs w:val="24"/>
        </w:rPr>
        <w:t>四</w:t>
      </w:r>
      <w:r>
        <w:rPr>
          <w:rFonts w:cs="Tahoma" w:asciiTheme="majorEastAsia" w:hAnsiTheme="majorEastAsia" w:eastAsiaTheme="majorEastAsia"/>
          <w:b/>
          <w:bCs/>
          <w:kern w:val="0"/>
          <w:sz w:val="24"/>
          <w:szCs w:val="24"/>
        </w:rPr>
        <w:t>）</w:t>
      </w:r>
      <w:r>
        <w:rPr>
          <w:rFonts w:hint="eastAsia" w:ascii="宋体" w:hAnsi="宋体" w:cs="Tahoma"/>
          <w:b/>
          <w:bCs/>
          <w:kern w:val="0"/>
          <w:sz w:val="24"/>
          <w:szCs w:val="24"/>
        </w:rPr>
        <w:t>命题、考试与评分</w:t>
      </w:r>
      <w:r>
        <w:rPr>
          <w:rFonts w:ascii="宋体" w:hAnsi="宋体" w:cs="Tahoma"/>
          <w:kern w:val="0"/>
          <w:sz w:val="24"/>
          <w:szCs w:val="24"/>
        </w:rPr>
        <w:t xml:space="preserve"> </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我院建立校内外考试专家信息库，考试由学院组织专家进行命题、面试。我院制定科学合理的评判标准，加大信息公开及结果公示力度，确保考试及评判工作公正、透明。</w:t>
      </w:r>
    </w:p>
    <w:p>
      <w:pPr>
        <w:widowControl/>
        <w:spacing w:line="520" w:lineRule="exact"/>
        <w:ind w:firstLine="482" w:firstLineChars="200"/>
        <w:jc w:val="left"/>
        <w:rPr>
          <w:rFonts w:cs="Tahoma" w:asciiTheme="majorEastAsia" w:hAnsiTheme="majorEastAsia" w:eastAsiaTheme="majorEastAsia"/>
          <w:kern w:val="0"/>
          <w:sz w:val="24"/>
          <w:szCs w:val="24"/>
        </w:rPr>
      </w:pPr>
      <w:r>
        <w:rPr>
          <w:rFonts w:hint="eastAsia" w:cs="Tahoma" w:asciiTheme="majorEastAsia" w:hAnsiTheme="majorEastAsia" w:eastAsiaTheme="majorEastAsia"/>
          <w:b/>
          <w:bCs/>
          <w:kern w:val="0"/>
          <w:sz w:val="24"/>
          <w:szCs w:val="24"/>
        </w:rPr>
        <w:t>（五）</w:t>
      </w:r>
      <w:r>
        <w:rPr>
          <w:rFonts w:cs="Tahoma" w:asciiTheme="majorEastAsia" w:hAnsiTheme="majorEastAsia" w:eastAsiaTheme="majorEastAsia"/>
          <w:b/>
          <w:bCs/>
          <w:kern w:val="0"/>
          <w:sz w:val="24"/>
          <w:szCs w:val="24"/>
        </w:rPr>
        <w:t>录取</w:t>
      </w:r>
      <w:r>
        <w:rPr>
          <w:rFonts w:cs="Tahoma" w:asciiTheme="majorEastAsia" w:hAnsiTheme="majorEastAsia" w:eastAsiaTheme="majorEastAsia"/>
          <w:kern w:val="0"/>
          <w:sz w:val="24"/>
          <w:szCs w:val="24"/>
        </w:rPr>
        <w:t xml:space="preserve"> </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1.录取原则：根据教育部和山东省教育厅的要求，实行学校负责、招办监督的体制，按公平、公正、公开的原则，择优录取。</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（1）首次志愿录取</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fldChar w:fldCharType="begin"/>
      </w:r>
      <w:r>
        <w:rPr>
          <w:rFonts w:hint="eastAsia" w:ascii="仿宋" w:hAnsi="仿宋" w:eastAsia="仿宋" w:cs="仿宋"/>
          <w:b w:val="0"/>
          <w:i w:val="0"/>
          <w:caps w:val="0"/>
          <w:color w:val="000000"/>
          <w:spacing w:val="0"/>
          <w:sz w:val="24"/>
          <w:szCs w:val="24"/>
          <w:lang w:bidi="ar"/>
        </w:rPr>
        <w:instrText xml:space="preserve"> = 1 \* GB3 </w:instrText>
      </w:r>
      <w:r>
        <w:rPr>
          <w:rFonts w:hint="eastAsia" w:ascii="仿宋" w:hAnsi="仿宋" w:eastAsia="仿宋" w:cs="仿宋"/>
          <w:b w:val="0"/>
          <w:i w:val="0"/>
          <w:caps w:val="0"/>
          <w:color w:val="000000"/>
          <w:spacing w:val="0"/>
          <w:sz w:val="24"/>
          <w:szCs w:val="24"/>
          <w:lang w:bidi="ar"/>
        </w:rPr>
        <w:fldChar w:fldCharType="separate"/>
      </w:r>
      <w:r>
        <w:rPr>
          <w:rFonts w:hint="eastAsia" w:ascii="仿宋" w:hAnsi="仿宋" w:eastAsia="仿宋" w:cs="仿宋"/>
          <w:b w:val="0"/>
          <w:i w:val="0"/>
          <w:caps w:val="0"/>
          <w:color w:val="000000"/>
          <w:spacing w:val="0"/>
          <w:sz w:val="24"/>
          <w:szCs w:val="24"/>
          <w:lang w:bidi="ar"/>
        </w:rPr>
        <w:t>①</w:t>
      </w:r>
      <w:r>
        <w:rPr>
          <w:rFonts w:hint="eastAsia" w:ascii="仿宋" w:hAnsi="仿宋" w:eastAsia="仿宋" w:cs="仿宋"/>
          <w:b w:val="0"/>
          <w:i w:val="0"/>
          <w:caps w:val="0"/>
          <w:color w:val="000000"/>
          <w:spacing w:val="0"/>
          <w:sz w:val="24"/>
          <w:szCs w:val="24"/>
          <w:lang w:bidi="ar"/>
        </w:rPr>
        <w:fldChar w:fldCharType="end"/>
      </w:r>
      <w:r>
        <w:rPr>
          <w:rFonts w:hint="eastAsia" w:ascii="仿宋" w:hAnsi="仿宋" w:eastAsia="仿宋" w:cs="仿宋"/>
          <w:b w:val="0"/>
          <w:i w:val="0"/>
          <w:caps w:val="0"/>
          <w:color w:val="000000"/>
          <w:spacing w:val="0"/>
          <w:sz w:val="24"/>
          <w:szCs w:val="24"/>
          <w:lang w:bidi="ar"/>
        </w:rPr>
        <w:t>根据招生计划、考生志愿和考生成绩择优录取。</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fldChar w:fldCharType="begin"/>
      </w:r>
      <w:r>
        <w:rPr>
          <w:rFonts w:hint="eastAsia" w:ascii="仿宋" w:hAnsi="仿宋" w:eastAsia="仿宋" w:cs="仿宋"/>
          <w:b w:val="0"/>
          <w:i w:val="0"/>
          <w:caps w:val="0"/>
          <w:color w:val="000000"/>
          <w:spacing w:val="0"/>
          <w:sz w:val="24"/>
          <w:szCs w:val="24"/>
          <w:lang w:bidi="ar"/>
        </w:rPr>
        <w:instrText xml:space="preserve"> = 2 \* GB3 </w:instrText>
      </w:r>
      <w:r>
        <w:rPr>
          <w:rFonts w:hint="eastAsia" w:ascii="仿宋" w:hAnsi="仿宋" w:eastAsia="仿宋" w:cs="仿宋"/>
          <w:b w:val="0"/>
          <w:i w:val="0"/>
          <w:caps w:val="0"/>
          <w:color w:val="000000"/>
          <w:spacing w:val="0"/>
          <w:sz w:val="24"/>
          <w:szCs w:val="24"/>
          <w:lang w:bidi="ar"/>
        </w:rPr>
        <w:fldChar w:fldCharType="separate"/>
      </w:r>
      <w:r>
        <w:rPr>
          <w:rFonts w:hint="eastAsia" w:ascii="仿宋" w:hAnsi="仿宋" w:eastAsia="仿宋" w:cs="仿宋"/>
          <w:b w:val="0"/>
          <w:i w:val="0"/>
          <w:caps w:val="0"/>
          <w:color w:val="000000"/>
          <w:spacing w:val="0"/>
          <w:sz w:val="24"/>
          <w:szCs w:val="24"/>
          <w:lang w:bidi="ar"/>
        </w:rPr>
        <w:t>②</w:t>
      </w:r>
      <w:r>
        <w:rPr>
          <w:rFonts w:hint="eastAsia" w:ascii="仿宋" w:hAnsi="仿宋" w:eastAsia="仿宋" w:cs="仿宋"/>
          <w:b w:val="0"/>
          <w:i w:val="0"/>
          <w:caps w:val="0"/>
          <w:color w:val="000000"/>
          <w:spacing w:val="0"/>
          <w:sz w:val="24"/>
          <w:szCs w:val="24"/>
          <w:lang w:bidi="ar"/>
        </w:rPr>
        <w:fldChar w:fldCharType="end"/>
      </w:r>
      <w:r>
        <w:rPr>
          <w:rFonts w:hint="eastAsia" w:ascii="仿宋" w:hAnsi="仿宋" w:eastAsia="仿宋" w:cs="仿宋"/>
          <w:b w:val="0"/>
          <w:i w:val="0"/>
          <w:caps w:val="0"/>
          <w:color w:val="000000"/>
          <w:spacing w:val="0"/>
          <w:sz w:val="24"/>
          <w:szCs w:val="24"/>
          <w:lang w:bidi="ar"/>
        </w:rPr>
        <w:t>因生源不足未完成的专业计划根据学院办学条件、专业发展实际、生源报考情况，及时调整到生源充足的专业中使用。</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（2）征集志愿录取</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根据缺额计划和考生志愿，参考考生首次志愿学校考试成绩择优录取。</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2.确定预录名单：根据录取原则提出预录名单，报学院单独招生工作领导小组审核、批准，在学院招生信息网上公示。</w:t>
      </w:r>
    </w:p>
    <w:p>
      <w:pPr>
        <w:widowControl/>
        <w:spacing w:line="520" w:lineRule="exact"/>
        <w:ind w:firstLine="482" w:firstLineChars="200"/>
        <w:jc w:val="left"/>
        <w:rPr>
          <w:rFonts w:cs="Tahoma" w:asciiTheme="majorEastAsia" w:hAnsiTheme="majorEastAsia" w:eastAsiaTheme="majorEastAsia"/>
          <w:b/>
          <w:bCs/>
          <w:kern w:val="0"/>
          <w:sz w:val="24"/>
          <w:szCs w:val="24"/>
        </w:rPr>
      </w:pPr>
      <w:r>
        <w:rPr>
          <w:rFonts w:cs="Tahoma" w:asciiTheme="majorEastAsia" w:hAnsiTheme="majorEastAsia" w:eastAsiaTheme="majorEastAsia"/>
          <w:b/>
          <w:bCs/>
          <w:kern w:val="0"/>
          <w:sz w:val="24"/>
          <w:szCs w:val="24"/>
        </w:rPr>
        <w:t>（六）申诉渠道</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1.考生如对考试成绩有异议，应在成绩公布后1个工作日提出申诉，逾期不予受理。考生本人提出书面申请，注明姓名、考生号、核查理由，由考生本人送交学院教学中心，电话：0536-8187499。</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2. 如考生对录取结果存在异议，可于预录取名单公布后2个工作日内向我院单独招生工作领导小组提出申诉，电话：0536-8187768。</w:t>
      </w:r>
    </w:p>
    <w:p>
      <w:pPr>
        <w:pStyle w:val="6"/>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sz w:val="28"/>
          <w:szCs w:val="28"/>
          <w:lang w:bidi="ar"/>
        </w:rPr>
      </w:pPr>
      <w:r>
        <w:rPr>
          <w:rFonts w:hint="eastAsia" w:ascii="仿宋" w:hAnsi="仿宋" w:eastAsia="仿宋" w:cs="仿宋"/>
          <w:b/>
          <w:bCs/>
          <w:i w:val="0"/>
          <w:caps w:val="0"/>
          <w:color w:val="000000"/>
          <w:spacing w:val="0"/>
          <w:sz w:val="28"/>
          <w:szCs w:val="28"/>
          <w:lang w:bidi="ar"/>
        </w:rPr>
        <w:t>第六章  其他</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（一）普通高职学费和住宿费的收取，执行山东省物价局统一的标准。 </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（二）退费按照《山东省高等学校收费管理办法》（鲁政办字〔2018〕98 号）有关规定执行。</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（三）资助特困生政策 </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为了保证家庭经济特别困难的学生在校的正常学习，学校设有完善的奖助学金机制。对于贫困学生设有以奖学金、国家助学贷款、勤工助学、困难补助等措施组成的相互补充、较为完善的经济资助体系。</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（四）新生报到和复查 </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新生入学后，学院按照教育部有关规定进行入学体检和入学资格复查，对体检不合格，依据上级有关规定处理。资格复查不合格的学生，取消入学资格。</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（五）颁发学历证书的学校名称：山东科技职业学院 </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证书种类：普通高等教育专科学历证书 </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（六）学校不委托任何机构和个人办理招生相关事宜。对以山东科技职业学院名义进行非法招生宣传等活动的机构或个人，学校保留依法追究其责任的权利。 </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（七）本章程若有与上级有关政策不一致之处，以国家和上级有关政策为准。未尽事宜，按上级有关规定执行。</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（八）本章程由山东科技职业学院招生就业处负责解释。 </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联系方式： </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通信地址：山东科技职业学院招生就业处 </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邮政编码：261053 </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联系电话：0536-8187758  8187753    8187768 </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传真电话：0536-8187758 </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咨询QQ群：461549773  75254441 </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学院网址： http://www.sdvcst.edu.cn/ </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招生信息网：</w:t>
      </w:r>
      <w:r>
        <w:rPr>
          <w:rFonts w:hint="eastAsia" w:ascii="仿宋" w:hAnsi="仿宋" w:eastAsia="仿宋" w:cs="仿宋"/>
          <w:b w:val="0"/>
          <w:i w:val="0"/>
          <w:caps w:val="0"/>
          <w:color w:val="000000"/>
          <w:spacing w:val="0"/>
          <w:sz w:val="24"/>
          <w:szCs w:val="24"/>
          <w:lang w:bidi="ar"/>
        </w:rPr>
        <w:fldChar w:fldCharType="begin"/>
      </w:r>
      <w:r>
        <w:rPr>
          <w:rFonts w:hint="eastAsia" w:ascii="仿宋" w:hAnsi="仿宋" w:eastAsia="仿宋" w:cs="仿宋"/>
          <w:b w:val="0"/>
          <w:i w:val="0"/>
          <w:caps w:val="0"/>
          <w:color w:val="000000"/>
          <w:spacing w:val="0"/>
          <w:sz w:val="24"/>
          <w:szCs w:val="24"/>
          <w:lang w:bidi="ar"/>
        </w:rPr>
        <w:instrText xml:space="preserve"> HYPERLINK "http://zhaosheng.sdvcst.edu.cn/" </w:instrText>
      </w:r>
      <w:r>
        <w:rPr>
          <w:rFonts w:hint="eastAsia" w:ascii="仿宋" w:hAnsi="仿宋" w:eastAsia="仿宋" w:cs="仿宋"/>
          <w:b w:val="0"/>
          <w:i w:val="0"/>
          <w:caps w:val="0"/>
          <w:color w:val="000000"/>
          <w:spacing w:val="0"/>
          <w:sz w:val="24"/>
          <w:szCs w:val="24"/>
          <w:lang w:bidi="ar"/>
        </w:rPr>
        <w:fldChar w:fldCharType="separate"/>
      </w:r>
      <w:r>
        <w:rPr>
          <w:rFonts w:hint="eastAsia" w:ascii="仿宋" w:hAnsi="仿宋" w:eastAsia="仿宋" w:cs="仿宋"/>
          <w:b w:val="0"/>
          <w:i w:val="0"/>
          <w:caps w:val="0"/>
          <w:color w:val="000000"/>
          <w:spacing w:val="0"/>
          <w:sz w:val="24"/>
          <w:szCs w:val="24"/>
          <w:lang w:bidi="ar"/>
        </w:rPr>
        <w:t>http://zhaosheng.sdvcst.edu.cn/</w:t>
      </w:r>
      <w:r>
        <w:rPr>
          <w:rFonts w:hint="eastAsia" w:ascii="仿宋" w:hAnsi="仿宋" w:eastAsia="仿宋" w:cs="仿宋"/>
          <w:b w:val="0"/>
          <w:i w:val="0"/>
          <w:caps w:val="0"/>
          <w:color w:val="000000"/>
          <w:spacing w:val="0"/>
          <w:sz w:val="24"/>
          <w:szCs w:val="24"/>
          <w:lang w:bidi="ar"/>
        </w:rPr>
        <w:fldChar w:fldCharType="end"/>
      </w:r>
      <w:r>
        <w:rPr>
          <w:rFonts w:hint="eastAsia" w:ascii="仿宋" w:hAnsi="仿宋" w:eastAsia="仿宋" w:cs="仿宋"/>
          <w:b w:val="0"/>
          <w:i w:val="0"/>
          <w:caps w:val="0"/>
          <w:color w:val="000000"/>
          <w:spacing w:val="0"/>
          <w:sz w:val="24"/>
          <w:szCs w:val="24"/>
          <w:lang w:bidi="ar"/>
        </w:rPr>
        <w:t xml:space="preserve"> </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乘车路线：从潍坊火车站广场乘坐69路公交车到山东科技职业学院南门下车，或乘坐71、101路公交车到山东科技职业学院北门下车。 </w:t>
      </w:r>
    </w:p>
    <w:p>
      <w:pPr>
        <w:widowControl/>
        <w:shd w:val="clear" w:color="auto" w:fill="FFFFFF"/>
        <w:spacing w:line="520" w:lineRule="exact"/>
        <w:ind w:firstLine="640"/>
        <w:jc w:val="left"/>
        <w:rPr>
          <w:rFonts w:cs="宋体" w:asciiTheme="majorEastAsia" w:hAnsiTheme="majorEastAsia" w:eastAsiaTheme="majorEastAsia"/>
          <w:kern w:val="0"/>
          <w:sz w:val="24"/>
          <w:szCs w:val="24"/>
        </w:rPr>
      </w:pPr>
    </w:p>
    <w:p>
      <w:pPr>
        <w:spacing w:line="520" w:lineRule="exact"/>
        <w:jc w:val="center"/>
        <w:rPr>
          <w:rFonts w:asciiTheme="majorEastAsia" w:hAnsiTheme="majorEastAsia" w:eastAsiaTheme="majorEastAsia"/>
          <w:sz w:val="24"/>
          <w:szCs w:val="24"/>
        </w:rPr>
      </w:pPr>
    </w:p>
    <w:sectPr>
      <w:pgSz w:w="11906" w:h="16838"/>
      <w:pgMar w:top="1134" w:right="567" w:bottom="1134" w:left="56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41824"/>
    <w:rsid w:val="0000224F"/>
    <w:rsid w:val="001048F5"/>
    <w:rsid w:val="0015702C"/>
    <w:rsid w:val="002304FF"/>
    <w:rsid w:val="002B7057"/>
    <w:rsid w:val="00307142"/>
    <w:rsid w:val="003379C8"/>
    <w:rsid w:val="003F1B35"/>
    <w:rsid w:val="0049034E"/>
    <w:rsid w:val="004D231D"/>
    <w:rsid w:val="00527EC2"/>
    <w:rsid w:val="00572F0C"/>
    <w:rsid w:val="005C3BFF"/>
    <w:rsid w:val="005D76E2"/>
    <w:rsid w:val="00655B9E"/>
    <w:rsid w:val="006B499B"/>
    <w:rsid w:val="006C4924"/>
    <w:rsid w:val="00713E2B"/>
    <w:rsid w:val="00867950"/>
    <w:rsid w:val="00881A5F"/>
    <w:rsid w:val="00952297"/>
    <w:rsid w:val="00954605"/>
    <w:rsid w:val="00A41824"/>
    <w:rsid w:val="00A452F9"/>
    <w:rsid w:val="00A4649B"/>
    <w:rsid w:val="00A60A34"/>
    <w:rsid w:val="00A96338"/>
    <w:rsid w:val="00B72C8E"/>
    <w:rsid w:val="00B9520E"/>
    <w:rsid w:val="00BC6994"/>
    <w:rsid w:val="00C02EA3"/>
    <w:rsid w:val="00C361FC"/>
    <w:rsid w:val="00C96355"/>
    <w:rsid w:val="00CA504B"/>
    <w:rsid w:val="00DE56C3"/>
    <w:rsid w:val="00E06617"/>
    <w:rsid w:val="00E37FCA"/>
    <w:rsid w:val="00E41C7C"/>
    <w:rsid w:val="00F0304A"/>
    <w:rsid w:val="00F32B35"/>
    <w:rsid w:val="00FA5FEB"/>
    <w:rsid w:val="00FE515C"/>
    <w:rsid w:val="14D946A1"/>
    <w:rsid w:val="2E592E3B"/>
    <w:rsid w:val="35047EEC"/>
    <w:rsid w:val="689246E3"/>
    <w:rsid w:val="68B01F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3"/>
    <w:semiHidden/>
    <w:unhideWhenUsed/>
    <w:qFormat/>
    <w:uiPriority w:val="99"/>
    <w:rPr>
      <w:sz w:val="18"/>
      <w:szCs w:val="18"/>
    </w:rPr>
  </w:style>
  <w:style w:type="paragraph" w:styleId="3">
    <w:name w:val="footer"/>
    <w:basedOn w:val="1"/>
    <w:link w:val="16"/>
    <w:semiHidden/>
    <w:unhideWhenUsed/>
    <w:qFormat/>
    <w:uiPriority w:val="99"/>
    <w:pPr>
      <w:tabs>
        <w:tab w:val="center" w:pos="4153"/>
        <w:tab w:val="right" w:pos="8306"/>
      </w:tabs>
      <w:snapToGrid w:val="0"/>
      <w:jc w:val="left"/>
    </w:pPr>
    <w:rPr>
      <w:sz w:val="18"/>
      <w:szCs w:val="18"/>
    </w:rPr>
  </w:style>
  <w:style w:type="paragraph" w:styleId="4">
    <w:name w:val="header"/>
    <w:basedOn w:val="1"/>
    <w:link w:val="15"/>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HTML Preformatted"/>
    <w:basedOn w:val="1"/>
    <w:link w:val="14"/>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6">
    <w:name w:val="Normal (Web)"/>
    <w:basedOn w:val="1"/>
    <w:semiHidden/>
    <w:unhideWhenUsed/>
    <w:qFormat/>
    <w:uiPriority w:val="99"/>
    <w:pPr>
      <w:widowControl/>
      <w:spacing w:before="75" w:after="75"/>
      <w:jc w:val="left"/>
    </w:pPr>
    <w:rPr>
      <w:rFonts w:ascii="宋体" w:hAnsi="宋体" w:eastAsia="宋体" w:cs="宋体"/>
      <w:kern w:val="0"/>
      <w:sz w:val="24"/>
      <w:szCs w:val="24"/>
    </w:rPr>
  </w:style>
  <w:style w:type="character" w:styleId="9">
    <w:name w:val="Strong"/>
    <w:basedOn w:val="8"/>
    <w:qFormat/>
    <w:uiPriority w:val="22"/>
    <w:rPr>
      <w:b/>
      <w:bCs/>
    </w:rPr>
  </w:style>
  <w:style w:type="character" w:styleId="10">
    <w:name w:val="Hyperlink"/>
    <w:basedOn w:val="8"/>
    <w:semiHidden/>
    <w:unhideWhenUsed/>
    <w:qFormat/>
    <w:uiPriority w:val="99"/>
    <w:rPr>
      <w:color w:val="0000FF"/>
      <w:u w:val="single"/>
    </w:rPr>
  </w:style>
  <w:style w:type="character" w:customStyle="1" w:styleId="11">
    <w:name w:val="del_qc"/>
    <w:basedOn w:val="8"/>
    <w:qFormat/>
    <w:uiPriority w:val="0"/>
  </w:style>
  <w:style w:type="paragraph" w:customStyle="1" w:styleId="12">
    <w:name w:val="style12"/>
    <w:basedOn w:val="1"/>
    <w:qFormat/>
    <w:uiPriority w:val="0"/>
    <w:pPr>
      <w:widowControl/>
      <w:spacing w:before="75" w:after="75"/>
      <w:jc w:val="left"/>
    </w:pPr>
    <w:rPr>
      <w:rFonts w:ascii="宋体" w:hAnsi="宋体" w:eastAsia="宋体" w:cs="宋体"/>
      <w:kern w:val="0"/>
      <w:sz w:val="24"/>
      <w:szCs w:val="24"/>
    </w:rPr>
  </w:style>
  <w:style w:type="character" w:customStyle="1" w:styleId="13">
    <w:name w:val="批注框文本 Char"/>
    <w:basedOn w:val="8"/>
    <w:link w:val="2"/>
    <w:semiHidden/>
    <w:qFormat/>
    <w:uiPriority w:val="99"/>
    <w:rPr>
      <w:sz w:val="18"/>
      <w:szCs w:val="18"/>
    </w:rPr>
  </w:style>
  <w:style w:type="character" w:customStyle="1" w:styleId="14">
    <w:name w:val="HTML 预设格式 Char"/>
    <w:basedOn w:val="8"/>
    <w:link w:val="5"/>
    <w:semiHidden/>
    <w:qFormat/>
    <w:uiPriority w:val="99"/>
    <w:rPr>
      <w:rFonts w:ascii="宋体" w:hAnsi="宋体" w:eastAsia="宋体" w:cs="宋体"/>
      <w:kern w:val="0"/>
      <w:sz w:val="24"/>
      <w:szCs w:val="24"/>
    </w:rPr>
  </w:style>
  <w:style w:type="character" w:customStyle="1" w:styleId="15">
    <w:name w:val="页眉 Char"/>
    <w:basedOn w:val="8"/>
    <w:link w:val="4"/>
    <w:semiHidden/>
    <w:qFormat/>
    <w:uiPriority w:val="99"/>
    <w:rPr>
      <w:sz w:val="18"/>
      <w:szCs w:val="18"/>
    </w:rPr>
  </w:style>
  <w:style w:type="character" w:customStyle="1" w:styleId="16">
    <w:name w:val="页脚 Char"/>
    <w:basedOn w:val="8"/>
    <w:link w:val="3"/>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0A3DD79-D5DB-4D9D-83F7-4FB8B484D896}">
  <ds:schemaRefs/>
</ds:datastoreItem>
</file>

<file path=docProps/app.xml><?xml version="1.0" encoding="utf-8"?>
<Properties xmlns="http://schemas.openxmlformats.org/officeDocument/2006/extended-properties" xmlns:vt="http://schemas.openxmlformats.org/officeDocument/2006/docPropsVTypes">
  <Template>Normal</Template>
  <Pages>5</Pages>
  <Words>558</Words>
  <Characters>3185</Characters>
  <Lines>26</Lines>
  <Paragraphs>7</Paragraphs>
  <TotalTime>121</TotalTime>
  <ScaleCrop>false</ScaleCrop>
  <LinksUpToDate>false</LinksUpToDate>
  <CharactersWithSpaces>3736</CharactersWithSpaces>
  <Application>WPS Office_11.1.0.8894_F1E327BC-269C-435d-A152-05C5408002CA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2019-04-10T14:33:00Z</dcterms:created>
  <dc:creator>Administrator</dc:creator>
  <cp:lastModifiedBy>Administrator</cp:lastModifiedBy>
  <dcterms:modified xsi:type="dcterms:W3CDTF">2019-07-27T07:21:06Z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