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E" w:rsidRDefault="000640BE" w:rsidP="000640BE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0640BE" w:rsidRDefault="000640BE" w:rsidP="000640BE">
      <w:pPr>
        <w:spacing w:before="100" w:beforeAutospacing="1" w:after="100" w:afterAutospacing="1" w:line="580" w:lineRule="exact"/>
        <w:jc w:val="center"/>
        <w:rPr>
          <w:rFonts w:ascii="方正小标宋简体" w:eastAsia="方正小标宋简体" w:hAnsi="华文中宋" w:cs="Tahoma" w:hint="eastAsia"/>
          <w:kern w:val="0"/>
          <w:sz w:val="36"/>
          <w:szCs w:val="32"/>
        </w:rPr>
      </w:pPr>
      <w:r>
        <w:rPr>
          <w:rFonts w:ascii="方正小标宋简体" w:eastAsia="方正小标宋简体" w:hAnsi="华文中宋" w:cs="Tahoma" w:hint="eastAsia"/>
          <w:sz w:val="36"/>
          <w:szCs w:val="32"/>
        </w:rPr>
        <w:t>山东省社区教育优秀视频课程资源遴选标准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058"/>
        <w:gridCol w:w="3586"/>
      </w:tblGrid>
      <w:tr w:rsidR="000640BE" w:rsidTr="0006620E">
        <w:trPr>
          <w:trHeight w:val="551"/>
          <w:tblHeader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ind w:firstLineChars="150" w:firstLine="316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一级指标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ind w:firstLineChars="350" w:firstLine="738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二级指标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ind w:firstLineChars="450" w:firstLine="949"/>
              <w:rPr>
                <w:rFonts w:ascii="黑体" w:eastAsia="黑体" w:hAnsi="黑体" w:hint="eastAsia"/>
                <w:b/>
                <w:szCs w:val="22"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指标释义</w:t>
            </w:r>
          </w:p>
        </w:tc>
      </w:tr>
      <w:tr w:rsidR="000640BE" w:rsidTr="0006620E">
        <w:trPr>
          <w:trHeight w:val="1539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 w:hint="eastAsia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设计科学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选题恰当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资源应符合国家法律法规及版权要求，选题切合居民学习需求，应集中表现某个专题或某个知识点，小而精。</w:t>
            </w:r>
          </w:p>
        </w:tc>
      </w:tr>
      <w:tr w:rsidR="000640BE" w:rsidTr="0006620E">
        <w:trPr>
          <w:trHeight w:val="1547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设计合理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能围绕教学或学习目标进行科学设计，且能解决生产、生活或教学、学习过程中的重点、难点、疑难问题。</w:t>
            </w:r>
          </w:p>
        </w:tc>
      </w:tr>
      <w:tr w:rsidR="000640BE" w:rsidTr="0006620E">
        <w:trPr>
          <w:trHeight w:val="2972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内容正确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参评课程资源应符合社区教育的基本规律和特点，无政治性错误，无科学性、知识性错误，凸显社会主义核心价值观、乡村振兴、新旧动能转换等新理念，符合公序良俗。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应能正确归类。</w:t>
            </w:r>
            <w:r>
              <w:rPr>
                <w:rFonts w:ascii="Calibri" w:hAnsi="Calibri" w:hint="eastAsia"/>
                <w:szCs w:val="21"/>
              </w:rPr>
              <w:t>凡不能归为“公民素养、家庭生活、体育保健、人文社科、职业技能”类者，暂不纳入评审范围。</w:t>
            </w:r>
          </w:p>
        </w:tc>
      </w:tr>
      <w:tr w:rsidR="000640BE" w:rsidTr="0006620E">
        <w:trPr>
          <w:trHeight w:val="222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合乎规范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结构完整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能遵循课程目标、课程内容、课程实施、课程评价等课程建设的一般规律。教学环节和教学过程完整。</w:t>
            </w:r>
          </w:p>
        </w:tc>
      </w:tr>
      <w:tr w:rsidR="000640BE" w:rsidTr="0006620E">
        <w:trPr>
          <w:trHeight w:val="475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合乎技术要求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画质清晰，图像稳定，声音清楚，声音与画面同步。视频格式为支持网络在线播放的流媒体格式。</w:t>
            </w:r>
          </w:p>
        </w:tc>
      </w:tr>
      <w:tr w:rsidR="000640BE" w:rsidTr="0006620E">
        <w:trPr>
          <w:trHeight w:val="1058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语言规范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语言标准、流畅，声音清晰、洪亮，富有节奏感和感染力。</w:t>
            </w:r>
          </w:p>
        </w:tc>
      </w:tr>
      <w:tr w:rsidR="000640BE" w:rsidTr="0006620E">
        <w:trPr>
          <w:trHeight w:val="321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lastRenderedPageBreak/>
              <w:t>教学效果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形式新颖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录制方法与课程内容结合得当，表现手法新颖。</w:t>
            </w:r>
          </w:p>
        </w:tc>
      </w:tr>
      <w:tr w:rsidR="000640BE" w:rsidTr="0006620E">
        <w:trPr>
          <w:trHeight w:val="536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教法巧妙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教学方法富有创意，教学表达深入浅出，形象生动，启发性、感染力强。</w:t>
            </w:r>
          </w:p>
        </w:tc>
      </w:tr>
      <w:tr w:rsidR="000640BE" w:rsidTr="0006620E">
        <w:trPr>
          <w:trHeight w:val="613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达成教学目标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能完成设定教学目标，能有效解决实际问题，能提高学习者知识、道德修养水准及生活、生产能力。</w:t>
            </w:r>
          </w:p>
        </w:tc>
      </w:tr>
      <w:tr w:rsidR="000640BE" w:rsidTr="0006620E">
        <w:trPr>
          <w:trHeight w:val="827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社会评价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资源使用在一年以上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学习者使用频率较高，社会影响较大、较好。</w:t>
            </w:r>
          </w:p>
        </w:tc>
      </w:tr>
      <w:tr w:rsidR="000640BE" w:rsidTr="0006620E">
        <w:trPr>
          <w:trHeight w:val="911"/>
          <w:jc w:val="center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上传</w:t>
            </w:r>
            <w:proofErr w:type="gramStart"/>
            <w:r>
              <w:rPr>
                <w:rFonts w:ascii="Calibri" w:hAnsi="Calibri" w:hint="eastAsia"/>
                <w:szCs w:val="22"/>
              </w:rPr>
              <w:t>网上且</w:t>
            </w:r>
            <w:proofErr w:type="gramEnd"/>
            <w:r>
              <w:rPr>
                <w:rFonts w:ascii="Calibri" w:hAnsi="Calibri" w:hint="eastAsia"/>
                <w:szCs w:val="22"/>
              </w:rPr>
              <w:t>点击率较高，或者线下收看人次较多</w:t>
            </w: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BE" w:rsidRDefault="000640BE" w:rsidP="0006620E">
            <w:pPr>
              <w:spacing w:line="480" w:lineRule="exact"/>
              <w:rPr>
                <w:rFonts w:ascii="Calibri" w:hAnsi="Calibri"/>
                <w:szCs w:val="22"/>
              </w:rPr>
            </w:pPr>
          </w:p>
        </w:tc>
      </w:tr>
    </w:tbl>
    <w:p w:rsidR="000640BE" w:rsidRDefault="000640BE" w:rsidP="000640BE">
      <w:pPr>
        <w:spacing w:line="580" w:lineRule="exact"/>
        <w:rPr>
          <w:rFonts w:ascii="Calibri" w:hAnsi="Calibri"/>
          <w:szCs w:val="22"/>
        </w:rPr>
      </w:pPr>
    </w:p>
    <w:p w:rsidR="00DD616B" w:rsidRPr="000640BE" w:rsidRDefault="00DD616B">
      <w:bookmarkStart w:id="0" w:name="_GoBack"/>
      <w:bookmarkEnd w:id="0"/>
    </w:p>
    <w:sectPr w:rsidR="00DD616B" w:rsidRPr="000640BE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2A" w:rsidRDefault="0003642A" w:rsidP="000640BE">
      <w:r>
        <w:separator/>
      </w:r>
    </w:p>
  </w:endnote>
  <w:endnote w:type="continuationSeparator" w:id="0">
    <w:p w:rsidR="0003642A" w:rsidRDefault="0003642A" w:rsidP="0006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7101E3" w:rsidRDefault="0003642A" w:rsidP="007101E3">
    <w:pPr>
      <w:pStyle w:val="a5"/>
      <w:framePr w:w="1004" w:h="386" w:hRule="exact" w:wrap="notBeside" w:vAnchor="text" w:hAnchor="margin" w:xAlign="outside" w:yAlign="inside"/>
      <w:rPr>
        <w:rStyle w:val="a7"/>
        <w:sz w:val="28"/>
        <w:szCs w:val="28"/>
      </w:rPr>
    </w:pPr>
    <w:r w:rsidRPr="007101E3">
      <w:rPr>
        <w:rStyle w:val="a7"/>
        <w:sz w:val="28"/>
        <w:szCs w:val="28"/>
      </w:rPr>
      <w:t xml:space="preserve">— </w:t>
    </w:r>
    <w:r w:rsidRPr="007101E3">
      <w:rPr>
        <w:rStyle w:val="a7"/>
        <w:sz w:val="28"/>
        <w:szCs w:val="28"/>
      </w:rPr>
      <w:fldChar w:fldCharType="begin"/>
    </w:r>
    <w:r w:rsidRPr="007101E3">
      <w:rPr>
        <w:rStyle w:val="a7"/>
        <w:sz w:val="28"/>
        <w:szCs w:val="28"/>
      </w:rPr>
      <w:instrText xml:space="preserve">PAGE  </w:instrText>
    </w:r>
    <w:r w:rsidRPr="007101E3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16</w:t>
    </w:r>
    <w:r w:rsidRPr="007101E3"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584E26" w:rsidRPr="007101E3" w:rsidRDefault="0003642A" w:rsidP="007101E3">
    <w:pPr>
      <w:pStyle w:val="a5"/>
      <w:ind w:right="360" w:firstLine="36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03642A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0640BE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03642A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2A" w:rsidRDefault="0003642A" w:rsidP="000640BE">
      <w:r>
        <w:separator/>
      </w:r>
    </w:p>
  </w:footnote>
  <w:footnote w:type="continuationSeparator" w:id="0">
    <w:p w:rsidR="0003642A" w:rsidRDefault="0003642A" w:rsidP="0006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B"/>
    <w:rsid w:val="0003642A"/>
    <w:rsid w:val="00041C5B"/>
    <w:rsid w:val="000640BE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CE46D-71C2-4FBE-895C-CC6CCE5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0BE"/>
    <w:rPr>
      <w:sz w:val="18"/>
      <w:szCs w:val="18"/>
    </w:rPr>
  </w:style>
  <w:style w:type="character" w:styleId="a7">
    <w:name w:val="page number"/>
    <w:basedOn w:val="a0"/>
    <w:rsid w:val="0006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2020-08-26T08:13:00Z</dcterms:created>
  <dcterms:modified xsi:type="dcterms:W3CDTF">2020-08-26T08:13:00Z</dcterms:modified>
</cp:coreProperties>
</file>