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B1" w:rsidRDefault="00B45AB1" w:rsidP="00B45AB1">
      <w:pPr>
        <w:widowControl/>
        <w:spacing w:line="342" w:lineRule="atLeas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B45AB1" w:rsidRDefault="00B45AB1" w:rsidP="00B45AB1">
      <w:pPr>
        <w:widowControl/>
        <w:spacing w:line="342" w:lineRule="atLeas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2019年专升本专业类别设置及考试科目</w:t>
      </w:r>
      <w:bookmarkEnd w:id="0"/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442"/>
        <w:gridCol w:w="275"/>
        <w:gridCol w:w="717"/>
        <w:gridCol w:w="335"/>
        <w:gridCol w:w="2515"/>
        <w:gridCol w:w="2275"/>
        <w:gridCol w:w="2441"/>
      </w:tblGrid>
      <w:tr w:rsidR="00B45AB1" w:rsidTr="00B80777">
        <w:trPr>
          <w:trHeight w:hRule="exact" w:val="340"/>
          <w:tblHeader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黑体" w:eastAsia="黑体" w:hAnsi="黑体" w:cs="仿宋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黑体" w:eastAsia="黑体" w:hAnsi="黑体" w:cs="仿宋" w:hint="eastAsia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2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黑体" w:eastAsia="黑体" w:hAnsi="黑体" w:cs="仿宋" w:hint="eastAsia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lang w:bidi="ar"/>
              </w:rPr>
              <w:t>包含专业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黑体" w:eastAsia="黑体" w:hAnsi="黑体" w:cs="仿宋" w:hint="eastAsia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lang w:bidi="ar"/>
              </w:rPr>
              <w:t>考试科目</w:t>
            </w:r>
          </w:p>
        </w:tc>
      </w:tr>
      <w:tr w:rsidR="00B45AB1" w:rsidTr="00B80777">
        <w:trPr>
          <w:trHeight w:hRule="exact" w:val="340"/>
          <w:tblHeader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黑体" w:eastAsia="黑体" w:hAnsi="黑体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黑体" w:eastAsia="黑体" w:hAnsi="黑体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黑体" w:eastAsia="黑体" w:hAnsi="黑体" w:cs="仿宋"/>
                <w:color w:val="000000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黑体" w:eastAsia="黑体" w:hAnsi="黑体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lang w:bidi="ar"/>
              </w:rPr>
              <w:t>公共课（2门）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黑体" w:eastAsia="黑体" w:hAnsi="黑体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lang w:bidi="ar"/>
              </w:rPr>
              <w:t>专业综合课（1门）</w:t>
            </w:r>
          </w:p>
        </w:tc>
      </w:tr>
      <w:tr w:rsidR="00B45AB1" w:rsidTr="00B80777">
        <w:trPr>
          <w:trHeight w:hRule="exact" w:val="62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文史类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文学概论、写作</w:t>
            </w:r>
          </w:p>
        </w:tc>
      </w:tr>
      <w:tr w:rsidR="00B45AB1" w:rsidTr="00B80777">
        <w:trPr>
          <w:trHeight w:hRule="exact" w:val="62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法理学、民法</w:t>
            </w: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管理类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管理学</w:t>
            </w: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FF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财经类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高等数学、基础会计</w:t>
            </w: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外语类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大学语文</w:t>
            </w:r>
          </w:p>
          <w:p w:rsidR="00B45AB1" w:rsidRDefault="00B45AB1" w:rsidP="00B80777">
            <w:pP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精读、翻译技巧</w:t>
            </w: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精读、翻译技巧</w:t>
            </w: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日语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基础日语、翻译技巧</w:t>
            </w: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命题设计</w:t>
            </w: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B45AB1" w:rsidTr="00B80777">
        <w:trPr>
          <w:trHeight w:val="624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教育类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英语（师范类）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大学语文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教育学、心理学</w:t>
            </w: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5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汉语言文学（师范类）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化工、生物类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有机化学、无机化学</w:t>
            </w: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hRule="exact" w:val="658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农林类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园艺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植物生理学、土壤与植物营养学</w:t>
            </w: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动物生理学</w:t>
            </w: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医护类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生理学</w:t>
            </w: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中医基础理论</w:t>
            </w: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针灸推拿学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药学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有机化学、无机化学</w:t>
            </w:r>
          </w:p>
        </w:tc>
      </w:tr>
      <w:tr w:rsidR="00B45AB1" w:rsidTr="00B80777">
        <w:trPr>
          <w:trHeight w:hRule="exact" w:val="7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高等数学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操作系统原理、C语言</w:t>
            </w: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高等数学、电子电路</w:t>
            </w: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hRule="exact" w:val="34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机械工程类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高等数学、工程力学</w:t>
            </w:r>
          </w:p>
        </w:tc>
      </w:tr>
      <w:tr w:rsidR="00B45AB1" w:rsidTr="00B80777">
        <w:trPr>
          <w:trHeight w:val="34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AB1" w:rsidRDefault="00B45AB1" w:rsidP="00B80777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</w:tr>
      <w:tr w:rsidR="00B45AB1" w:rsidTr="00B80777">
        <w:trPr>
          <w:trHeight w:hRule="exact" w:val="73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外语或大学语文▲</w:t>
            </w:r>
          </w:p>
          <w:p w:rsidR="00B45AB1" w:rsidRDefault="00B45AB1" w:rsidP="00B80777">
            <w:pPr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AB1" w:rsidRDefault="00B45AB1" w:rsidP="00B80777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高等数学、结构力学</w:t>
            </w:r>
          </w:p>
        </w:tc>
      </w:tr>
      <w:tr w:rsidR="00B45AB1" w:rsidTr="00B80777">
        <w:trPr>
          <w:gridBefore w:val="2"/>
          <w:gridAfter w:val="3"/>
          <w:wBefore w:w="717" w:type="dxa"/>
          <w:wAfter w:w="7231" w:type="dxa"/>
          <w:trHeight w:val="100"/>
        </w:trPr>
        <w:tc>
          <w:tcPr>
            <w:tcW w:w="1052" w:type="dxa"/>
            <w:gridSpan w:val="2"/>
          </w:tcPr>
          <w:p w:rsidR="00B45AB1" w:rsidRDefault="00B45AB1" w:rsidP="00B80777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 w:rsidR="00B45AB1" w:rsidRDefault="00B45AB1" w:rsidP="00B45AB1">
      <w:pPr>
        <w:rPr>
          <w:rFonts w:ascii="仿宋_GB2312" w:eastAsia="仿宋_GB2312" w:hAnsi="仿宋" w:cs="仿宋"/>
          <w:color w:val="000000"/>
          <w:kern w:val="0"/>
          <w:sz w:val="24"/>
          <w:lang w:bidi="ar"/>
        </w:rPr>
      </w:pPr>
      <w:r>
        <w:rPr>
          <w:rFonts w:ascii="仿宋_GB2312" w:eastAsia="仿宋_GB2312" w:hAnsi="仿宋" w:cs="仿宋" w:hint="eastAsia"/>
          <w:color w:val="000000"/>
          <w:kern w:val="0"/>
          <w:sz w:val="24"/>
          <w:lang w:bidi="ar"/>
        </w:rPr>
        <w:t>▲</w:t>
      </w: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Ansi="仿宋" w:cs="仿宋" w:hint="eastAsia"/>
          <w:color w:val="000000"/>
          <w:kern w:val="0"/>
          <w:sz w:val="24"/>
          <w:lang w:bidi="ar"/>
        </w:rPr>
        <w:t>公共外语课为英语或俄语或日语的学生分别考英语或俄语或日语，公共外语课为其他小语种的学生考大学语文。</w:t>
      </w:r>
    </w:p>
    <w:p w:rsidR="00B45AB1" w:rsidRDefault="00B45AB1" w:rsidP="00B45AB1">
      <w:pPr>
        <w:rPr>
          <w:rFonts w:ascii="仿宋_GB2312" w:eastAsia="仿宋_GB2312" w:hAnsi="仿宋" w:cs="仿宋" w:hint="eastAsia"/>
          <w:color w:val="000000"/>
          <w:kern w:val="0"/>
          <w:sz w:val="24"/>
          <w:lang w:bidi="ar"/>
        </w:rPr>
      </w:pPr>
    </w:p>
    <w:p w:rsidR="0095353A" w:rsidRPr="00B45AB1" w:rsidRDefault="0095353A"/>
    <w:sectPr w:rsidR="0095353A" w:rsidRPr="00B45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B1"/>
    <w:rsid w:val="0095353A"/>
    <w:rsid w:val="00B4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2018-12-29T13:38:00Z</dcterms:created>
  <dcterms:modified xsi:type="dcterms:W3CDTF">2018-12-29T13:39:00Z</dcterms:modified>
</cp:coreProperties>
</file>