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kinsoku/>
        <w:wordWrap/>
        <w:overflowPunct/>
        <w:topLinePunct w:val="0"/>
        <w:autoSpaceDE/>
        <w:autoSpaceDN/>
        <w:bidi w:val="0"/>
        <w:adjustRightInd/>
        <w:snapToGrid/>
        <w:spacing w:before="313" w:beforeLines="100" w:beforeAutospacing="0" w:after="313" w:afterLines="100" w:afterAutospacing="0" w:line="30" w:lineRule="atLeast"/>
        <w:jc w:val="center"/>
        <w:textAlignment w:val="auto"/>
        <w:rPr>
          <w:rStyle w:val="8"/>
          <w:rFonts w:hint="eastAsia" w:ascii="黑体" w:hAnsi="黑体" w:eastAsia="黑体" w:cs="黑体"/>
          <w:b/>
          <w:bCs/>
          <w:i w:val="0"/>
          <w:caps w:val="0"/>
          <w:color w:val="000000"/>
          <w:spacing w:val="0"/>
          <w:sz w:val="30"/>
          <w:szCs w:val="30"/>
          <w:lang w:val="en-US" w:eastAsia="zh-CN"/>
        </w:rPr>
      </w:pPr>
      <w:r>
        <w:rPr>
          <w:rStyle w:val="8"/>
          <w:rFonts w:hint="eastAsia" w:ascii="黑体" w:hAnsi="黑体" w:eastAsia="黑体" w:cs="黑体"/>
          <w:b/>
          <w:bCs/>
          <w:i w:val="0"/>
          <w:caps w:val="0"/>
          <w:color w:val="000000"/>
          <w:spacing w:val="0"/>
          <w:sz w:val="30"/>
          <w:szCs w:val="30"/>
          <w:lang w:val="en-US" w:eastAsia="zh-CN"/>
        </w:rPr>
        <w:t>山东工业职业学院</w:t>
      </w:r>
      <w:r>
        <w:rPr>
          <w:rStyle w:val="8"/>
          <w:rFonts w:hint="eastAsia" w:ascii="黑体" w:hAnsi="黑体" w:eastAsia="黑体" w:cs="黑体"/>
          <w:b/>
          <w:bCs/>
          <w:i w:val="0"/>
          <w:caps w:val="0"/>
          <w:color w:val="000000"/>
          <w:spacing w:val="0"/>
          <w:sz w:val="30"/>
          <w:szCs w:val="30"/>
          <w:lang w:val="en-US" w:eastAsia="zh-CN"/>
        </w:rPr>
        <w:t>2019</w:t>
      </w:r>
      <w:r>
        <w:rPr>
          <w:rStyle w:val="8"/>
          <w:rFonts w:hint="eastAsia" w:ascii="黑体" w:hAnsi="黑体" w:eastAsia="黑体" w:cs="黑体"/>
          <w:b/>
          <w:bCs/>
          <w:i w:val="0"/>
          <w:caps w:val="0"/>
          <w:color w:val="000000"/>
          <w:spacing w:val="0"/>
          <w:sz w:val="30"/>
          <w:szCs w:val="30"/>
          <w:lang w:val="en-US" w:eastAsia="zh-CN"/>
        </w:rPr>
        <w:t>年高职（专科）第二批单独招生章程</w:t>
      </w:r>
    </w:p>
    <w:p>
      <w:pPr>
        <w:pStyle w:val="4"/>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30" w:lineRule="atLeast"/>
        <w:ind w:left="0" w:firstLine="646"/>
        <w:jc w:val="center"/>
        <w:textAlignment w:val="auto"/>
        <w:rPr>
          <w:rFonts w:hint="eastAsia" w:ascii="仿宋" w:hAnsi="仿宋" w:eastAsia="仿宋" w:cs="仿宋"/>
          <w:b/>
          <w:bCs/>
          <w:i w:val="0"/>
          <w:caps w:val="0"/>
          <w:color w:val="000000"/>
          <w:spacing w:val="0"/>
          <w:sz w:val="28"/>
          <w:szCs w:val="28"/>
        </w:rPr>
      </w:pPr>
      <w:r>
        <w:rPr>
          <w:rFonts w:hint="eastAsia" w:ascii="仿宋" w:hAnsi="仿宋" w:eastAsia="仿宋" w:cs="仿宋"/>
          <w:b/>
          <w:bCs/>
          <w:i w:val="0"/>
          <w:caps w:val="0"/>
          <w:color w:val="000000"/>
          <w:spacing w:val="0"/>
          <w:sz w:val="28"/>
          <w:szCs w:val="28"/>
        </w:rPr>
        <w:t>第一章  总则</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rPr>
      </w:pPr>
      <w:r>
        <w:rPr>
          <w:rFonts w:hint="eastAsia" w:ascii="仿宋" w:hAnsi="仿宋" w:eastAsia="仿宋" w:cs="仿宋"/>
          <w:b w:val="0"/>
          <w:i w:val="0"/>
          <w:caps w:val="0"/>
          <w:color w:val="000000"/>
          <w:spacing w:val="0"/>
          <w:sz w:val="24"/>
          <w:szCs w:val="24"/>
        </w:rPr>
        <w:t>一、</w:t>
      </w:r>
      <w:r>
        <w:rPr>
          <w:rFonts w:hint="eastAsia" w:ascii="仿宋" w:hAnsi="仿宋" w:eastAsia="仿宋" w:cs="仿宋"/>
          <w:b w:val="0"/>
          <w:i w:val="0"/>
          <w:caps w:val="0"/>
          <w:color w:val="000000"/>
          <w:spacing w:val="0"/>
          <w:sz w:val="24"/>
          <w:szCs w:val="24"/>
        </w:rPr>
        <w:t>根据山东省教育厅等11部门关于印发《山东省高等职业院校扩招实施方案》的通知要求，结合山东工业职业学院</w:t>
      </w:r>
      <w:r>
        <w:rPr>
          <w:rFonts w:hint="eastAsia" w:ascii="仿宋" w:hAnsi="仿宋" w:eastAsia="仿宋" w:cs="仿宋"/>
          <w:b w:val="0"/>
          <w:i w:val="0"/>
          <w:caps w:val="0"/>
          <w:color w:val="000000"/>
          <w:spacing w:val="0"/>
          <w:sz w:val="24"/>
          <w:szCs w:val="24"/>
        </w:rPr>
        <w:t>招生工作的具体情况，制定本章程。</w:t>
      </w:r>
      <w:r>
        <w:rPr>
          <w:rFonts w:hint="eastAsia" w:ascii="仿宋" w:hAnsi="仿宋" w:eastAsia="仿宋" w:cs="仿宋"/>
          <w:b w:val="0"/>
          <w:i w:val="0"/>
          <w:caps w:val="0"/>
          <w:color w:val="000000"/>
          <w:spacing w:val="0"/>
          <w:sz w:val="24"/>
          <w:szCs w:val="24"/>
          <w:lang w:val="en-US"/>
        </w:rPr>
        <w:t> </w:t>
      </w:r>
      <w:r>
        <w:rPr>
          <w:rFonts w:hint="eastAsia" w:ascii="仿宋" w:hAnsi="仿宋" w:eastAsia="仿宋" w:cs="仿宋"/>
          <w:b w:val="0"/>
          <w:i w:val="0"/>
          <w:caps w:val="0"/>
          <w:color w:val="000000"/>
          <w:spacing w:val="0"/>
          <w:sz w:val="24"/>
          <w:szCs w:val="24"/>
        </w:rPr>
        <w:t>本章程适用于山东工业职业学院高职第二批单独招生工作。</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rPr>
      </w:pPr>
      <w:r>
        <w:rPr>
          <w:rFonts w:hint="eastAsia" w:ascii="仿宋" w:hAnsi="仿宋" w:eastAsia="仿宋" w:cs="仿宋"/>
          <w:b w:val="0"/>
          <w:i w:val="0"/>
          <w:caps w:val="0"/>
          <w:color w:val="000000"/>
          <w:spacing w:val="0"/>
          <w:sz w:val="24"/>
          <w:szCs w:val="24"/>
        </w:rPr>
        <w:t>二、山东工业职业学院第二批单独招生工作贯彻“公平竞争、公正选拔、公开程序，德智体美全面考核、综合评价、择优录取”的原则。</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rPr>
      </w:pPr>
      <w:r>
        <w:rPr>
          <w:rFonts w:hint="eastAsia" w:ascii="仿宋" w:hAnsi="仿宋" w:eastAsia="仿宋" w:cs="仿宋"/>
          <w:b w:val="0"/>
          <w:i w:val="0"/>
          <w:caps w:val="0"/>
          <w:color w:val="000000"/>
          <w:spacing w:val="0"/>
          <w:sz w:val="24"/>
          <w:szCs w:val="24"/>
        </w:rPr>
        <w:t>三、山东工业职业学院第二批单独招生工作接受纪检监察部门、新闻媒体、考生及其家长以及社会各界的监督。</w:t>
      </w:r>
    </w:p>
    <w:p>
      <w:pPr>
        <w:pStyle w:val="4"/>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30" w:lineRule="atLeast"/>
        <w:ind w:left="0" w:firstLine="646"/>
        <w:jc w:val="center"/>
        <w:textAlignment w:val="auto"/>
        <w:rPr>
          <w:rFonts w:hint="eastAsia" w:ascii="仿宋" w:hAnsi="仿宋" w:eastAsia="仿宋" w:cs="仿宋"/>
          <w:b/>
          <w:bCs/>
          <w:i w:val="0"/>
          <w:caps w:val="0"/>
          <w:color w:val="000000"/>
          <w:spacing w:val="0"/>
          <w:sz w:val="28"/>
          <w:szCs w:val="28"/>
        </w:rPr>
      </w:pPr>
      <w:r>
        <w:rPr>
          <w:rFonts w:hint="eastAsia" w:ascii="仿宋" w:hAnsi="仿宋" w:eastAsia="仿宋" w:cs="仿宋"/>
          <w:b/>
          <w:bCs/>
          <w:i w:val="0"/>
          <w:caps w:val="0"/>
          <w:color w:val="000000"/>
          <w:spacing w:val="0"/>
          <w:sz w:val="28"/>
          <w:szCs w:val="28"/>
        </w:rPr>
        <w:t>第二章  学院概况</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rPr>
      </w:pPr>
      <w:r>
        <w:rPr>
          <w:rFonts w:hint="eastAsia" w:ascii="仿宋" w:hAnsi="仿宋" w:eastAsia="仿宋" w:cs="仿宋"/>
          <w:b w:val="0"/>
          <w:i w:val="0"/>
          <w:caps w:val="0"/>
          <w:color w:val="000000"/>
          <w:spacing w:val="0"/>
          <w:sz w:val="24"/>
          <w:szCs w:val="24"/>
        </w:rPr>
        <w:t xml:space="preserve">一、学院全称：山东工业职业学院，学院代码：13318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rPr>
      </w:pPr>
      <w:r>
        <w:rPr>
          <w:rFonts w:hint="eastAsia" w:ascii="仿宋" w:hAnsi="仿宋" w:eastAsia="仿宋" w:cs="仿宋"/>
          <w:b w:val="0"/>
          <w:i w:val="0"/>
          <w:caps w:val="0"/>
          <w:color w:val="000000"/>
          <w:spacing w:val="0"/>
          <w:sz w:val="24"/>
          <w:szCs w:val="24"/>
        </w:rPr>
        <w:t>二、学院地址：山东省淄博市高新技术开发区（淄博高新区张北路69号）</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rPr>
      </w:pPr>
      <w:r>
        <w:rPr>
          <w:rFonts w:hint="eastAsia" w:ascii="仿宋" w:hAnsi="仿宋" w:eastAsia="仿宋" w:cs="仿宋"/>
          <w:b w:val="0"/>
          <w:i w:val="0"/>
          <w:caps w:val="0"/>
          <w:color w:val="000000"/>
          <w:spacing w:val="0"/>
          <w:sz w:val="24"/>
          <w:szCs w:val="24"/>
        </w:rPr>
        <w:t>三、学院办学层次及类型：专科（高职）；公办普通全日制普通高等职业院校。</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rPr>
      </w:pPr>
      <w:r>
        <w:rPr>
          <w:rFonts w:hint="eastAsia" w:ascii="仿宋" w:hAnsi="仿宋" w:eastAsia="仿宋" w:cs="仿宋"/>
          <w:b w:val="0"/>
          <w:i w:val="0"/>
          <w:caps w:val="0"/>
          <w:color w:val="000000"/>
          <w:spacing w:val="0"/>
          <w:sz w:val="24"/>
          <w:szCs w:val="24"/>
        </w:rPr>
        <w:t>四、学院历史沿革：学院的前身是创建于1959年的张店有色金属工业学校，先后更名为山东省有色金属学校、山东冶金工业学校、山东省工业学校。2003年5月，在国家级重点中专山东省工业学校和山东冶金职工大学的基础上经国家教育部批准成为具有高等学历教育招生资格的省属公办全日制普通高等职业学院。</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rPr>
      </w:pPr>
      <w:r>
        <w:rPr>
          <w:rFonts w:hint="eastAsia" w:ascii="仿宋" w:hAnsi="仿宋" w:eastAsia="仿宋" w:cs="仿宋"/>
          <w:b w:val="0"/>
          <w:i w:val="0"/>
          <w:caps w:val="0"/>
          <w:color w:val="000000"/>
          <w:spacing w:val="0"/>
          <w:sz w:val="24"/>
          <w:szCs w:val="24"/>
        </w:rPr>
        <w:t>五、基本条件</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rPr>
      </w:pPr>
      <w:r>
        <w:rPr>
          <w:rFonts w:hint="eastAsia" w:ascii="仿宋" w:hAnsi="仿宋" w:eastAsia="仿宋" w:cs="仿宋"/>
          <w:b w:val="0"/>
          <w:i w:val="0"/>
          <w:caps w:val="0"/>
          <w:color w:val="000000"/>
          <w:spacing w:val="0"/>
          <w:sz w:val="24"/>
          <w:szCs w:val="24"/>
        </w:rPr>
        <w:t>学院坐落于国家战略经济区黄河三角洲高效生态经济区、山东半岛蓝色经济区与山东省会城市群经济圈交汇处的中国陶瓷名城、新材料名都淄博市，占地面积1000余亩，建筑面积38万平方米，图书80万册。现有在校生12000余人，教职工659人，专任教师516人，其中正、副教授190人，“双师型”教师331人。拥有9个国家、省级职业技能鉴定机构，144个校内实验实训教学场所和131个校外实训基地，教学仪器设备总值近2亿元。设有校史馆、安全教育体验馆、心理健康中心、创新创业实训中心、冶金材料博物馆、艺术创意中心、驾考中心等。</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rPr>
      </w:pPr>
      <w:r>
        <w:rPr>
          <w:rFonts w:hint="eastAsia" w:ascii="仿宋" w:hAnsi="仿宋" w:eastAsia="仿宋" w:cs="仿宋"/>
          <w:b w:val="0"/>
          <w:i w:val="0"/>
          <w:caps w:val="0"/>
          <w:color w:val="000000"/>
          <w:spacing w:val="0"/>
          <w:sz w:val="24"/>
          <w:szCs w:val="24"/>
        </w:rPr>
        <w:t>六、办学特色</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rPr>
      </w:pPr>
      <w:r>
        <w:rPr>
          <w:rFonts w:hint="eastAsia" w:ascii="仿宋" w:hAnsi="仿宋" w:eastAsia="仿宋" w:cs="仿宋"/>
          <w:b w:val="0"/>
          <w:i w:val="0"/>
          <w:caps w:val="0"/>
          <w:color w:val="000000"/>
          <w:spacing w:val="0"/>
          <w:sz w:val="24"/>
          <w:szCs w:val="24"/>
        </w:rPr>
        <w:t>学院设冶金与汽车工程系、机电工程系、电气工程系、建筑与信息工程系、工商管理系和基础教育与艺术系，开设专业42个；围绕山东省新旧动能转换工程，聚焦高端装备、智能制造、新一代信息技术、工业机器人和新能源汽车。按照做精做特“绿色钢铁生产类专业群”，做优、做强“高端装备、智能制造关联类特色群”，带动发展“现代服务类专业群”的建设思路，形成了“紧密对接工业产业链、创新链，以智能制造、高端装备制造类专业群为优势，以新一代信息技术和现代商贸物流类专业群为支撑，相互关联、层次分明”的专业布局特色，优化专业布局，打造专业特色，提升学生就业竞争力，有力服务于行业和山东省经济发展。</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rPr>
      </w:pPr>
      <w:r>
        <w:rPr>
          <w:rFonts w:hint="eastAsia" w:ascii="仿宋" w:hAnsi="仿宋" w:eastAsia="仿宋" w:cs="仿宋"/>
          <w:b w:val="0"/>
          <w:i w:val="0"/>
          <w:caps w:val="0"/>
          <w:color w:val="000000"/>
          <w:spacing w:val="0"/>
          <w:sz w:val="24"/>
          <w:szCs w:val="24"/>
        </w:rPr>
        <w:t>七、专业建设</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rPr>
      </w:pPr>
      <w:r>
        <w:rPr>
          <w:rFonts w:hint="eastAsia" w:ascii="仿宋" w:hAnsi="仿宋" w:eastAsia="仿宋" w:cs="仿宋"/>
          <w:b w:val="0"/>
          <w:i w:val="0"/>
          <w:caps w:val="0"/>
          <w:color w:val="000000"/>
          <w:spacing w:val="0"/>
          <w:sz w:val="24"/>
          <w:szCs w:val="24"/>
        </w:rPr>
        <w:t>依据学院十三五专业建设规划，目前已设有42个高职专业，其中拥有省级特色专业6个，技能型特色名校重点建设专业9个，企校共建工科紧缺专业2个，央财支持重点建设专业2个，专本贯通专业1个，中高三二连读专业4个，省优质高职院校重点建设专业群5个，省高等职业院校品牌专业群2个，省级专业教学团队6个。黑色冶金技术专业教学团队获得省级黄大年式教学团队称号。</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rPr>
      </w:pPr>
      <w:r>
        <w:rPr>
          <w:rFonts w:hint="eastAsia" w:ascii="仿宋" w:hAnsi="仿宋" w:eastAsia="仿宋" w:cs="仿宋"/>
          <w:b w:val="0"/>
          <w:i w:val="0"/>
          <w:caps w:val="0"/>
          <w:color w:val="000000"/>
          <w:spacing w:val="0"/>
          <w:sz w:val="24"/>
          <w:szCs w:val="24"/>
        </w:rPr>
        <w:t>八、科研成果</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rPr>
      </w:pPr>
      <w:r>
        <w:rPr>
          <w:rFonts w:hint="eastAsia" w:ascii="仿宋" w:hAnsi="仿宋" w:eastAsia="仿宋" w:cs="仿宋"/>
          <w:b w:val="0"/>
          <w:i w:val="0"/>
          <w:caps w:val="0"/>
          <w:color w:val="000000"/>
          <w:spacing w:val="0"/>
          <w:sz w:val="24"/>
          <w:szCs w:val="24"/>
        </w:rPr>
        <w:t>近年来不断加大科研开发，教科研成果亮点纷呈，荣获国家级、省部级教科研奖147项，其中《基于“技艺技能传承”的洁净钢冶炼专门人才培养创新与实践》教学成果获评职业教育国家级教学成果二等奖。仅2018年，学院教科研获奖27项，完成省高等学校科研计划14项、结题7项，发表科研论文143篇，获授权专利17项，编写出版教材16部。获批“山东省职业教育技艺技能传承创新平台”2个，名师工作室1个，省精品资源共享课9门，省级品牌专业群建设项目1个，省级教学团队1个，获批第三批省校企一体化合作办学示范院校。</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rPr>
      </w:pPr>
      <w:r>
        <w:rPr>
          <w:rFonts w:hint="eastAsia" w:ascii="仿宋" w:hAnsi="仿宋" w:eastAsia="仿宋" w:cs="仿宋"/>
          <w:b w:val="0"/>
          <w:i w:val="0"/>
          <w:caps w:val="0"/>
          <w:color w:val="000000"/>
          <w:spacing w:val="0"/>
          <w:sz w:val="24"/>
          <w:szCs w:val="24"/>
        </w:rPr>
        <w:t>九、交流合作</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rPr>
      </w:pPr>
      <w:r>
        <w:rPr>
          <w:rFonts w:hint="eastAsia" w:ascii="仿宋" w:hAnsi="仿宋" w:eastAsia="仿宋" w:cs="仿宋"/>
          <w:b w:val="0"/>
          <w:i w:val="0"/>
          <w:caps w:val="0"/>
          <w:color w:val="000000"/>
          <w:spacing w:val="0"/>
          <w:sz w:val="24"/>
          <w:szCs w:val="24"/>
        </w:rPr>
        <w:t>学院紧紧围绕培养高素质技能型人才的目标，高度重视学生职业技能的培养，组织千余名学生参加国家、省、市级职业院校技能竞赛，三年来获得各类奖项254个。学院对标高职院校“双高”建设对国际化的要求，加大师生的国际交流力度，与泰国博仁大学共建了“国际教育交流与合作基地”，与泰国格乐大学、巴基斯坦无限工程学院等7所“一带一路”沿线国家高校签订合作协议，首批15名学生到泰国博仁大学研学，国际合作踏上新起点。</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rPr>
      </w:pPr>
      <w:r>
        <w:rPr>
          <w:rFonts w:hint="eastAsia" w:ascii="仿宋" w:hAnsi="仿宋" w:eastAsia="仿宋" w:cs="仿宋"/>
          <w:b w:val="0"/>
          <w:i w:val="0"/>
          <w:caps w:val="0"/>
          <w:color w:val="000000"/>
          <w:spacing w:val="0"/>
          <w:sz w:val="24"/>
          <w:szCs w:val="24"/>
        </w:rPr>
        <w:t>十、取得荣誉</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rPr>
      </w:pPr>
      <w:r>
        <w:rPr>
          <w:rFonts w:hint="eastAsia" w:ascii="仿宋" w:hAnsi="仿宋" w:eastAsia="仿宋" w:cs="仿宋"/>
          <w:b w:val="0"/>
          <w:i w:val="0"/>
          <w:caps w:val="0"/>
          <w:color w:val="000000"/>
          <w:spacing w:val="0"/>
          <w:sz w:val="24"/>
          <w:szCs w:val="24"/>
        </w:rPr>
        <w:t>学院是国家现代学徒制试点院校、国家数字化校园建设单位、国家钢铁行业培训示范基地、全国高职高专院校科研工作先进单位、全国冶金行业校企合作示范学院、山东省优质高职校建设工程立项建设单位、山东省首批技能型特色名校、山东省骨干示范性职教集团、山东省“3+2”对口贯通培养试点高职院校、山东省高职单独招生试点院校、山东省高等学校德育工作及校园文明建设双优高校、山东钢铁集团人才培养基地、山东省校企一体化合作办学示范院校。</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rPr>
      </w:pPr>
      <w:r>
        <w:rPr>
          <w:rFonts w:hint="eastAsia" w:ascii="仿宋" w:hAnsi="仿宋" w:eastAsia="仿宋" w:cs="仿宋"/>
          <w:b w:val="0"/>
          <w:i w:val="0"/>
          <w:caps w:val="0"/>
          <w:color w:val="000000"/>
          <w:spacing w:val="0"/>
          <w:sz w:val="24"/>
          <w:szCs w:val="24"/>
        </w:rPr>
        <w:t>十一、就业服务</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rPr>
      </w:pPr>
      <w:r>
        <w:rPr>
          <w:rFonts w:hint="eastAsia" w:ascii="仿宋" w:hAnsi="仿宋" w:eastAsia="仿宋" w:cs="仿宋"/>
          <w:b w:val="0"/>
          <w:i w:val="0"/>
          <w:caps w:val="0"/>
          <w:color w:val="000000"/>
          <w:spacing w:val="0"/>
          <w:sz w:val="24"/>
          <w:szCs w:val="24"/>
        </w:rPr>
        <w:t>学院以实现优质就业为导向，坚持产教融合，深化校企一体化办学，就业质量和就业率保持较高水平。与山钢集团、京东集团、海尔集团、海信集团、吉利汽车、中国重汽等一批中外合资企业达成长期供需意向。近几年来毕业生供不应求，就业率在98%以上，遍布环渤海经济圈、山东半岛蓝色经济区、长三角一体化示范区。</w:t>
      </w:r>
    </w:p>
    <w:p>
      <w:pPr>
        <w:pStyle w:val="4"/>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30" w:lineRule="atLeast"/>
        <w:ind w:left="0" w:firstLine="646"/>
        <w:jc w:val="center"/>
        <w:textAlignment w:val="auto"/>
        <w:rPr>
          <w:rFonts w:hint="eastAsia" w:ascii="仿宋" w:hAnsi="仿宋" w:eastAsia="仿宋" w:cs="仿宋"/>
          <w:b/>
          <w:bCs/>
          <w:i w:val="0"/>
          <w:caps w:val="0"/>
          <w:color w:val="000000"/>
          <w:spacing w:val="0"/>
          <w:sz w:val="28"/>
          <w:szCs w:val="28"/>
        </w:rPr>
      </w:pPr>
      <w:r>
        <w:rPr>
          <w:rFonts w:hint="eastAsia" w:ascii="仿宋" w:hAnsi="仿宋" w:eastAsia="仿宋" w:cs="仿宋"/>
          <w:b/>
          <w:bCs/>
          <w:i w:val="0"/>
          <w:caps w:val="0"/>
          <w:color w:val="000000"/>
          <w:spacing w:val="0"/>
          <w:sz w:val="28"/>
          <w:szCs w:val="28"/>
        </w:rPr>
        <w:t>第三章  组织机构</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rPr>
      </w:pPr>
      <w:r>
        <w:rPr>
          <w:rFonts w:hint="eastAsia" w:ascii="仿宋" w:hAnsi="仿宋" w:eastAsia="仿宋" w:cs="仿宋"/>
          <w:b w:val="0"/>
          <w:i w:val="0"/>
          <w:caps w:val="0"/>
          <w:color w:val="000000"/>
          <w:spacing w:val="0"/>
          <w:sz w:val="24"/>
          <w:szCs w:val="24"/>
        </w:rPr>
        <w:t>一、学院成立以院长为组长的第二批单独招生工作领导小组。领导小组负责制定第二批单独招生的政策和计划，讨论决定第二批单独招生工作的重大事宜。</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rPr>
      </w:pPr>
      <w:r>
        <w:rPr>
          <w:rFonts w:hint="eastAsia" w:ascii="仿宋" w:hAnsi="仿宋" w:eastAsia="仿宋" w:cs="仿宋"/>
          <w:b w:val="0"/>
          <w:i w:val="0"/>
          <w:caps w:val="0"/>
          <w:color w:val="000000"/>
          <w:spacing w:val="0"/>
          <w:sz w:val="24"/>
          <w:szCs w:val="24"/>
        </w:rPr>
        <w:t>二、学院招生办公室是组织和实施第二批单独招生及其相关工作的常设机构，具体负责学院招生的日常工作。</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rPr>
      </w:pPr>
      <w:r>
        <w:rPr>
          <w:rFonts w:hint="eastAsia" w:ascii="仿宋" w:hAnsi="仿宋" w:eastAsia="仿宋" w:cs="仿宋"/>
          <w:b w:val="0"/>
          <w:i w:val="0"/>
          <w:caps w:val="0"/>
          <w:color w:val="000000"/>
          <w:spacing w:val="0"/>
          <w:sz w:val="24"/>
          <w:szCs w:val="24"/>
        </w:rPr>
        <w:t>三、选派政策水平高、工作认真负责、作风正派、办事公道的教师和管理人员参加第二批单独招生系列工作。凡有直系亲属当年报考者不得参加招生</w:t>
      </w:r>
      <w:r>
        <w:rPr>
          <w:rFonts w:hint="eastAsia" w:ascii="仿宋" w:hAnsi="仿宋" w:eastAsia="仿宋" w:cs="仿宋"/>
          <w:b w:val="0"/>
          <w:i w:val="0"/>
          <w:caps w:val="0"/>
          <w:color w:val="000000"/>
          <w:spacing w:val="0"/>
          <w:sz w:val="24"/>
          <w:szCs w:val="24"/>
          <w:lang w:eastAsia="zh-CN"/>
        </w:rPr>
        <w:t>考试</w:t>
      </w:r>
      <w:r>
        <w:rPr>
          <w:rFonts w:hint="eastAsia" w:ascii="仿宋" w:hAnsi="仿宋" w:eastAsia="仿宋" w:cs="仿宋"/>
          <w:b w:val="0"/>
          <w:i w:val="0"/>
          <w:caps w:val="0"/>
          <w:color w:val="000000"/>
          <w:spacing w:val="0"/>
          <w:sz w:val="24"/>
          <w:szCs w:val="24"/>
        </w:rPr>
        <w:t>录取工作。</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rPr>
      </w:pPr>
      <w:r>
        <w:rPr>
          <w:rFonts w:hint="eastAsia" w:ascii="仿宋" w:hAnsi="仿宋" w:eastAsia="仿宋" w:cs="仿宋"/>
          <w:b w:val="0"/>
          <w:i w:val="0"/>
          <w:caps w:val="0"/>
          <w:color w:val="000000"/>
          <w:spacing w:val="0"/>
          <w:sz w:val="24"/>
          <w:szCs w:val="24"/>
        </w:rPr>
        <w:t>四、加强招生</w:t>
      </w:r>
      <w:r>
        <w:rPr>
          <w:rFonts w:hint="eastAsia" w:ascii="仿宋" w:hAnsi="仿宋" w:eastAsia="仿宋" w:cs="仿宋"/>
          <w:b w:val="0"/>
          <w:i w:val="0"/>
          <w:caps w:val="0"/>
          <w:color w:val="000000"/>
          <w:spacing w:val="0"/>
          <w:sz w:val="24"/>
          <w:szCs w:val="24"/>
          <w:lang w:eastAsia="zh-CN"/>
        </w:rPr>
        <w:t>考试</w:t>
      </w:r>
      <w:r>
        <w:rPr>
          <w:rFonts w:hint="eastAsia" w:ascii="仿宋" w:hAnsi="仿宋" w:eastAsia="仿宋" w:cs="仿宋"/>
          <w:b w:val="0"/>
          <w:i w:val="0"/>
          <w:caps w:val="0"/>
          <w:color w:val="000000"/>
          <w:spacing w:val="0"/>
          <w:sz w:val="24"/>
          <w:szCs w:val="24"/>
        </w:rPr>
        <w:t>人员的培训和政策宣传工作，实施“阳光工程”。</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ascii="仿宋_GB2312" w:eastAsia="仿宋_GB2312" w:cs="Times New Roman"/>
          <w:sz w:val="32"/>
          <w:szCs w:val="32"/>
        </w:rPr>
      </w:pPr>
      <w:r>
        <w:rPr>
          <w:rFonts w:hint="eastAsia" w:ascii="仿宋" w:hAnsi="仿宋" w:eastAsia="仿宋" w:cs="仿宋"/>
          <w:b w:val="0"/>
          <w:i w:val="0"/>
          <w:caps w:val="0"/>
          <w:color w:val="000000"/>
          <w:spacing w:val="0"/>
          <w:sz w:val="24"/>
          <w:szCs w:val="24"/>
        </w:rPr>
        <w:t>五、学院纪检对第二批单独招生工作实施全程监督，监督电话：0533—8407067。</w:t>
      </w:r>
    </w:p>
    <w:p>
      <w:pPr>
        <w:pStyle w:val="4"/>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30" w:lineRule="atLeast"/>
        <w:ind w:left="0" w:firstLine="646"/>
        <w:jc w:val="center"/>
        <w:textAlignment w:val="auto"/>
        <w:rPr>
          <w:rFonts w:hint="eastAsia" w:ascii="仿宋" w:hAnsi="仿宋" w:eastAsia="仿宋" w:cs="仿宋"/>
          <w:b/>
          <w:bCs/>
          <w:i w:val="0"/>
          <w:caps w:val="0"/>
          <w:color w:val="000000"/>
          <w:spacing w:val="0"/>
          <w:sz w:val="28"/>
          <w:szCs w:val="28"/>
        </w:rPr>
      </w:pPr>
      <w:r>
        <w:rPr>
          <w:rFonts w:hint="eastAsia" w:ascii="仿宋" w:hAnsi="仿宋" w:eastAsia="仿宋" w:cs="仿宋"/>
          <w:b/>
          <w:bCs/>
          <w:i w:val="0"/>
          <w:caps w:val="0"/>
          <w:color w:val="000000"/>
          <w:spacing w:val="0"/>
          <w:sz w:val="28"/>
          <w:szCs w:val="28"/>
        </w:rPr>
        <w:t>第四章  招生计划</w:t>
      </w:r>
    </w:p>
    <w:p>
      <w:pPr>
        <w:ind w:firstLine="640" w:firstLineChars="200"/>
        <w:rPr>
          <w:rFonts w:ascii="仿宋_GB2312" w:eastAsia="仿宋_GB2312" w:cs="Times New Roman"/>
          <w:sz w:val="32"/>
          <w:szCs w:val="32"/>
        </w:rPr>
      </w:pPr>
      <w:r>
        <w:rPr>
          <w:rFonts w:hint="eastAsia" w:ascii="仿宋_GB2312" w:eastAsia="仿宋_GB2312" w:cs="仿宋_GB2312"/>
          <w:sz w:val="32"/>
          <w:szCs w:val="32"/>
        </w:rPr>
        <w:t>招生计划为</w:t>
      </w:r>
      <w:r>
        <w:rPr>
          <w:rFonts w:ascii="仿宋_GB2312" w:eastAsia="仿宋_GB2312" w:cs="仿宋_GB2312"/>
          <w:sz w:val="32"/>
          <w:szCs w:val="32"/>
        </w:rPr>
        <w:t>320</w:t>
      </w:r>
      <w:r>
        <w:rPr>
          <w:rFonts w:hint="eastAsia" w:ascii="仿宋_GB2312" w:eastAsia="仿宋_GB2312" w:cs="仿宋_GB2312"/>
          <w:sz w:val="32"/>
          <w:szCs w:val="32"/>
        </w:rPr>
        <w:t>人，分类分专业招生人数如下表：</w:t>
      </w:r>
    </w:p>
    <w:tbl>
      <w:tblPr>
        <w:tblStyle w:val="5"/>
        <w:tblW w:w="8538"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3"/>
        <w:gridCol w:w="1141"/>
        <w:gridCol w:w="3164"/>
        <w:gridCol w:w="915"/>
        <w:gridCol w:w="1230"/>
        <w:gridCol w:w="1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3" w:hRule="atLeast"/>
        </w:trPr>
        <w:tc>
          <w:tcPr>
            <w:tcW w:w="1053" w:type="dxa"/>
            <w:vAlign w:val="center"/>
          </w:tcPr>
          <w:p>
            <w:pPr>
              <w:ind w:firstLine="160" w:firstLineChars="50"/>
              <w:rPr>
                <w:rFonts w:ascii="仿宋_GB2312" w:eastAsia="仿宋_GB2312" w:cs="Times New Roman"/>
                <w:sz w:val="32"/>
                <w:szCs w:val="32"/>
              </w:rPr>
            </w:pPr>
            <w:r>
              <w:rPr>
                <w:rFonts w:hint="eastAsia" w:ascii="仿宋_GB2312" w:eastAsia="仿宋_GB2312" w:cs="仿宋_GB2312"/>
                <w:sz w:val="32"/>
                <w:szCs w:val="32"/>
              </w:rPr>
              <w:t>学</w:t>
            </w:r>
          </w:p>
          <w:p>
            <w:pPr>
              <w:ind w:firstLine="160" w:firstLineChars="50"/>
              <w:rPr>
                <w:rFonts w:ascii="仿宋_GB2312" w:eastAsia="仿宋_GB2312" w:cs="Times New Roman"/>
                <w:sz w:val="32"/>
                <w:szCs w:val="32"/>
              </w:rPr>
            </w:pPr>
            <w:r>
              <w:rPr>
                <w:rFonts w:hint="eastAsia" w:ascii="仿宋_GB2312" w:eastAsia="仿宋_GB2312" w:cs="仿宋_GB2312"/>
                <w:sz w:val="32"/>
                <w:szCs w:val="32"/>
              </w:rPr>
              <w:t>校</w:t>
            </w:r>
          </w:p>
        </w:tc>
        <w:tc>
          <w:tcPr>
            <w:tcW w:w="1141" w:type="dxa"/>
            <w:vAlign w:val="center"/>
          </w:tcPr>
          <w:p>
            <w:pPr>
              <w:rPr>
                <w:rFonts w:ascii="仿宋_GB2312" w:eastAsia="仿宋_GB2312" w:cs="Times New Roman"/>
                <w:sz w:val="32"/>
                <w:szCs w:val="32"/>
              </w:rPr>
            </w:pPr>
            <w:r>
              <w:rPr>
                <w:rFonts w:hint="eastAsia" w:ascii="仿宋_GB2312" w:eastAsia="仿宋_GB2312" w:cs="仿宋_GB2312"/>
                <w:sz w:val="32"/>
                <w:szCs w:val="32"/>
              </w:rPr>
              <w:t>单招（第二批）总计划</w:t>
            </w:r>
          </w:p>
        </w:tc>
        <w:tc>
          <w:tcPr>
            <w:tcW w:w="3164" w:type="dxa"/>
            <w:vAlign w:val="center"/>
          </w:tcPr>
          <w:p>
            <w:pPr>
              <w:ind w:firstLine="640" w:firstLineChars="200"/>
              <w:rPr>
                <w:rFonts w:ascii="仿宋_GB2312" w:eastAsia="仿宋_GB2312" w:cs="Times New Roman"/>
                <w:sz w:val="32"/>
                <w:szCs w:val="32"/>
              </w:rPr>
            </w:pPr>
            <w:r>
              <w:rPr>
                <w:rFonts w:hint="eastAsia" w:ascii="仿宋_GB2312" w:eastAsia="仿宋_GB2312" w:cs="仿宋_GB2312"/>
                <w:sz w:val="32"/>
                <w:szCs w:val="32"/>
              </w:rPr>
              <w:t>招生专业</w:t>
            </w:r>
          </w:p>
        </w:tc>
        <w:tc>
          <w:tcPr>
            <w:tcW w:w="915" w:type="dxa"/>
            <w:vAlign w:val="center"/>
          </w:tcPr>
          <w:p>
            <w:pPr>
              <w:rPr>
                <w:rFonts w:ascii="仿宋_GB2312" w:eastAsia="仿宋_GB2312" w:cs="Times New Roman"/>
                <w:sz w:val="32"/>
                <w:szCs w:val="32"/>
              </w:rPr>
            </w:pPr>
            <w:r>
              <w:rPr>
                <w:rFonts w:hint="eastAsia" w:ascii="仿宋_GB2312" w:eastAsia="仿宋_GB2312" w:cs="仿宋_GB2312"/>
                <w:sz w:val="32"/>
                <w:szCs w:val="32"/>
              </w:rPr>
              <w:t>普通类</w:t>
            </w:r>
          </w:p>
        </w:tc>
        <w:tc>
          <w:tcPr>
            <w:tcW w:w="1230" w:type="dxa"/>
            <w:vAlign w:val="center"/>
          </w:tcPr>
          <w:p>
            <w:pPr>
              <w:rPr>
                <w:rFonts w:ascii="仿宋_GB2312" w:eastAsia="仿宋_GB2312" w:cs="Times New Roman"/>
                <w:sz w:val="32"/>
                <w:szCs w:val="32"/>
              </w:rPr>
            </w:pPr>
            <w:r>
              <w:rPr>
                <w:rFonts w:hint="eastAsia" w:ascii="仿宋_GB2312" w:eastAsia="仿宋_GB2312" w:cs="仿宋_GB2312"/>
                <w:sz w:val="32"/>
                <w:szCs w:val="32"/>
              </w:rPr>
              <w:t>退役</w:t>
            </w:r>
          </w:p>
          <w:p>
            <w:pPr>
              <w:rPr>
                <w:rFonts w:ascii="仿宋_GB2312" w:eastAsia="仿宋_GB2312" w:cs="Times New Roman"/>
                <w:sz w:val="32"/>
                <w:szCs w:val="32"/>
              </w:rPr>
            </w:pPr>
            <w:r>
              <w:rPr>
                <w:rFonts w:hint="eastAsia" w:ascii="仿宋_GB2312" w:eastAsia="仿宋_GB2312" w:cs="仿宋_GB2312"/>
                <w:sz w:val="32"/>
                <w:szCs w:val="32"/>
              </w:rPr>
              <w:t>军人</w:t>
            </w:r>
          </w:p>
          <w:p>
            <w:pPr>
              <w:rPr>
                <w:rFonts w:ascii="仿宋_GB2312" w:eastAsia="仿宋_GB2312" w:cs="Times New Roman"/>
                <w:sz w:val="32"/>
                <w:szCs w:val="32"/>
              </w:rPr>
            </w:pPr>
            <w:r>
              <w:rPr>
                <w:rFonts w:hint="eastAsia" w:ascii="仿宋_GB2312" w:eastAsia="仿宋_GB2312" w:cs="仿宋_GB2312"/>
                <w:sz w:val="32"/>
                <w:szCs w:val="32"/>
              </w:rPr>
              <w:t>类</w:t>
            </w:r>
          </w:p>
        </w:tc>
        <w:tc>
          <w:tcPr>
            <w:tcW w:w="1035" w:type="dxa"/>
            <w:vAlign w:val="center"/>
          </w:tcPr>
          <w:p>
            <w:pPr>
              <w:rPr>
                <w:rFonts w:ascii="仿宋_GB2312" w:eastAsia="仿宋_GB2312" w:cs="Times New Roman"/>
                <w:sz w:val="32"/>
                <w:szCs w:val="32"/>
              </w:rPr>
            </w:pPr>
            <w:r>
              <w:rPr>
                <w:rFonts w:hint="eastAsia" w:ascii="仿宋_GB2312" w:eastAsia="仿宋_GB2312" w:cs="仿宋_GB2312"/>
                <w:sz w:val="32"/>
                <w:szCs w:val="32"/>
              </w:rPr>
              <w:t>技术技能类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1053" w:type="dxa"/>
            <w:vMerge w:val="restart"/>
            <w:vAlign w:val="center"/>
          </w:tcPr>
          <w:p>
            <w:pPr>
              <w:ind w:firstLine="160" w:firstLineChars="50"/>
              <w:rPr>
                <w:rFonts w:ascii="仿宋_GB2312" w:eastAsia="仿宋_GB2312" w:cs="Times New Roman"/>
                <w:sz w:val="32"/>
                <w:szCs w:val="32"/>
              </w:rPr>
            </w:pPr>
            <w:r>
              <w:rPr>
                <w:rFonts w:hint="eastAsia" w:ascii="仿宋_GB2312" w:eastAsia="仿宋_GB2312" w:cs="仿宋_GB2312"/>
                <w:sz w:val="32"/>
                <w:szCs w:val="32"/>
              </w:rPr>
              <w:t>山</w:t>
            </w:r>
          </w:p>
          <w:p>
            <w:pPr>
              <w:ind w:firstLine="160" w:firstLineChars="50"/>
              <w:rPr>
                <w:rFonts w:ascii="仿宋_GB2312" w:eastAsia="仿宋_GB2312" w:cs="Times New Roman"/>
                <w:sz w:val="32"/>
                <w:szCs w:val="32"/>
              </w:rPr>
            </w:pPr>
            <w:r>
              <w:rPr>
                <w:rFonts w:hint="eastAsia" w:ascii="仿宋_GB2312" w:eastAsia="仿宋_GB2312" w:cs="仿宋_GB2312"/>
                <w:sz w:val="32"/>
                <w:szCs w:val="32"/>
              </w:rPr>
              <w:t>东</w:t>
            </w:r>
          </w:p>
          <w:p>
            <w:pPr>
              <w:ind w:firstLine="160" w:firstLineChars="50"/>
              <w:rPr>
                <w:rFonts w:ascii="仿宋_GB2312" w:eastAsia="仿宋_GB2312" w:cs="Times New Roman"/>
                <w:sz w:val="32"/>
                <w:szCs w:val="32"/>
              </w:rPr>
            </w:pPr>
            <w:r>
              <w:rPr>
                <w:rFonts w:hint="eastAsia" w:ascii="仿宋_GB2312" w:eastAsia="仿宋_GB2312" w:cs="仿宋_GB2312"/>
                <w:sz w:val="32"/>
                <w:szCs w:val="32"/>
              </w:rPr>
              <w:t>工</w:t>
            </w:r>
          </w:p>
          <w:p>
            <w:pPr>
              <w:ind w:firstLine="160" w:firstLineChars="50"/>
              <w:rPr>
                <w:rFonts w:ascii="仿宋_GB2312" w:eastAsia="仿宋_GB2312" w:cs="Times New Roman"/>
                <w:sz w:val="32"/>
                <w:szCs w:val="32"/>
              </w:rPr>
            </w:pPr>
            <w:r>
              <w:rPr>
                <w:rFonts w:hint="eastAsia" w:ascii="仿宋_GB2312" w:eastAsia="仿宋_GB2312" w:cs="仿宋_GB2312"/>
                <w:sz w:val="32"/>
                <w:szCs w:val="32"/>
              </w:rPr>
              <w:t>业</w:t>
            </w:r>
          </w:p>
          <w:p>
            <w:pPr>
              <w:ind w:firstLine="160" w:firstLineChars="50"/>
              <w:rPr>
                <w:rFonts w:ascii="仿宋_GB2312" w:eastAsia="仿宋_GB2312" w:cs="Times New Roman"/>
                <w:sz w:val="32"/>
                <w:szCs w:val="32"/>
              </w:rPr>
            </w:pPr>
            <w:r>
              <w:rPr>
                <w:rFonts w:hint="eastAsia" w:ascii="仿宋_GB2312" w:eastAsia="仿宋_GB2312" w:cs="仿宋_GB2312"/>
                <w:sz w:val="32"/>
                <w:szCs w:val="32"/>
              </w:rPr>
              <w:t>职</w:t>
            </w:r>
          </w:p>
          <w:p>
            <w:pPr>
              <w:ind w:firstLine="160" w:firstLineChars="50"/>
              <w:rPr>
                <w:rFonts w:ascii="仿宋_GB2312" w:eastAsia="仿宋_GB2312" w:cs="Times New Roman"/>
                <w:sz w:val="32"/>
                <w:szCs w:val="32"/>
              </w:rPr>
            </w:pPr>
            <w:r>
              <w:rPr>
                <w:rFonts w:hint="eastAsia" w:ascii="仿宋_GB2312" w:eastAsia="仿宋_GB2312" w:cs="仿宋_GB2312"/>
                <w:sz w:val="32"/>
                <w:szCs w:val="32"/>
              </w:rPr>
              <w:t>业</w:t>
            </w:r>
          </w:p>
          <w:p>
            <w:pPr>
              <w:ind w:firstLine="160" w:firstLineChars="50"/>
              <w:rPr>
                <w:rFonts w:ascii="仿宋_GB2312" w:eastAsia="仿宋_GB2312" w:cs="Times New Roman"/>
                <w:sz w:val="32"/>
                <w:szCs w:val="32"/>
              </w:rPr>
            </w:pPr>
            <w:r>
              <w:rPr>
                <w:rFonts w:hint="eastAsia" w:ascii="仿宋_GB2312" w:eastAsia="仿宋_GB2312" w:cs="仿宋_GB2312"/>
                <w:sz w:val="32"/>
                <w:szCs w:val="32"/>
              </w:rPr>
              <w:t>学</w:t>
            </w:r>
          </w:p>
          <w:p>
            <w:pPr>
              <w:ind w:firstLine="160" w:firstLineChars="50"/>
              <w:rPr>
                <w:rFonts w:ascii="仿宋_GB2312" w:eastAsia="仿宋_GB2312" w:cs="Times New Roman"/>
                <w:sz w:val="32"/>
                <w:szCs w:val="32"/>
              </w:rPr>
            </w:pPr>
            <w:r>
              <w:rPr>
                <w:rFonts w:hint="eastAsia" w:ascii="仿宋_GB2312" w:eastAsia="仿宋_GB2312" w:cs="仿宋_GB2312"/>
                <w:sz w:val="32"/>
                <w:szCs w:val="32"/>
              </w:rPr>
              <w:t>院</w:t>
            </w:r>
          </w:p>
        </w:tc>
        <w:tc>
          <w:tcPr>
            <w:tcW w:w="1141" w:type="dxa"/>
            <w:vMerge w:val="restart"/>
            <w:vAlign w:val="center"/>
          </w:tcPr>
          <w:p>
            <w:pPr>
              <w:rPr>
                <w:rFonts w:ascii="仿宋_GB2312" w:eastAsia="仿宋_GB2312" w:cs="仿宋_GB2312"/>
                <w:sz w:val="32"/>
                <w:szCs w:val="32"/>
              </w:rPr>
            </w:pPr>
            <w:r>
              <w:rPr>
                <w:rFonts w:ascii="仿宋_GB2312" w:eastAsia="仿宋_GB2312" w:cs="仿宋_GB2312"/>
                <w:sz w:val="32"/>
                <w:szCs w:val="32"/>
              </w:rPr>
              <w:t>320</w:t>
            </w:r>
          </w:p>
        </w:tc>
        <w:tc>
          <w:tcPr>
            <w:tcW w:w="3164" w:type="dxa"/>
            <w:vAlign w:val="center"/>
          </w:tcPr>
          <w:p>
            <w:pPr>
              <w:rPr>
                <w:rFonts w:ascii="仿宋_GB2312" w:eastAsia="仿宋_GB2312" w:cs="Times New Roman"/>
                <w:sz w:val="32"/>
                <w:szCs w:val="32"/>
              </w:rPr>
            </w:pPr>
            <w:r>
              <w:rPr>
                <w:rFonts w:hint="eastAsia" w:ascii="仿宋_GB2312" w:eastAsia="仿宋_GB2312" w:cs="仿宋_GB2312"/>
                <w:sz w:val="32"/>
                <w:szCs w:val="32"/>
              </w:rPr>
              <w:t>机械制造与自动化</w:t>
            </w:r>
          </w:p>
        </w:tc>
        <w:tc>
          <w:tcPr>
            <w:tcW w:w="915" w:type="dxa"/>
            <w:vAlign w:val="center"/>
          </w:tcPr>
          <w:p>
            <w:pPr>
              <w:rPr>
                <w:rFonts w:ascii="仿宋_GB2312" w:eastAsia="仿宋_GB2312" w:cs="仿宋_GB2312"/>
                <w:sz w:val="32"/>
                <w:szCs w:val="32"/>
              </w:rPr>
            </w:pPr>
            <w:r>
              <w:rPr>
                <w:rFonts w:ascii="仿宋_GB2312" w:eastAsia="仿宋_GB2312" w:cs="仿宋_GB2312"/>
                <w:sz w:val="32"/>
                <w:szCs w:val="32"/>
              </w:rPr>
              <w:t>10</w:t>
            </w:r>
          </w:p>
        </w:tc>
        <w:tc>
          <w:tcPr>
            <w:tcW w:w="1230" w:type="dxa"/>
            <w:vAlign w:val="center"/>
          </w:tcPr>
          <w:p>
            <w:pPr>
              <w:ind w:firstLine="640" w:firstLineChars="200"/>
              <w:rPr>
                <w:rFonts w:ascii="仿宋_GB2312" w:eastAsia="仿宋_GB2312" w:cs="仿宋_GB2312"/>
                <w:sz w:val="32"/>
                <w:szCs w:val="32"/>
              </w:rPr>
            </w:pPr>
            <w:r>
              <w:rPr>
                <w:rFonts w:ascii="仿宋_GB2312" w:eastAsia="仿宋_GB2312" w:cs="仿宋_GB2312"/>
                <w:sz w:val="32"/>
                <w:szCs w:val="32"/>
              </w:rPr>
              <w:t>10</w:t>
            </w:r>
          </w:p>
        </w:tc>
        <w:tc>
          <w:tcPr>
            <w:tcW w:w="1035" w:type="dxa"/>
            <w:vAlign w:val="center"/>
          </w:tcPr>
          <w:p>
            <w:pPr>
              <w:ind w:firstLine="640" w:firstLineChars="200"/>
              <w:rPr>
                <w:rFonts w:asci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1053" w:type="dxa"/>
            <w:vMerge w:val="continue"/>
            <w:vAlign w:val="center"/>
          </w:tcPr>
          <w:p>
            <w:pPr>
              <w:ind w:firstLine="640" w:firstLineChars="200"/>
              <w:rPr>
                <w:rFonts w:ascii="仿宋_GB2312" w:eastAsia="仿宋_GB2312" w:cs="Times New Roman"/>
                <w:sz w:val="32"/>
                <w:szCs w:val="32"/>
              </w:rPr>
            </w:pPr>
          </w:p>
        </w:tc>
        <w:tc>
          <w:tcPr>
            <w:tcW w:w="1141" w:type="dxa"/>
            <w:vMerge w:val="continue"/>
            <w:vAlign w:val="center"/>
          </w:tcPr>
          <w:p>
            <w:pPr>
              <w:ind w:firstLine="640" w:firstLineChars="200"/>
              <w:rPr>
                <w:rFonts w:ascii="仿宋_GB2312" w:eastAsia="仿宋_GB2312" w:cs="Times New Roman"/>
                <w:sz w:val="32"/>
                <w:szCs w:val="32"/>
              </w:rPr>
            </w:pPr>
          </w:p>
        </w:tc>
        <w:tc>
          <w:tcPr>
            <w:tcW w:w="3164" w:type="dxa"/>
            <w:vAlign w:val="center"/>
          </w:tcPr>
          <w:p>
            <w:pPr>
              <w:rPr>
                <w:rFonts w:ascii="仿宋_GB2312" w:eastAsia="仿宋_GB2312" w:cs="Times New Roman"/>
                <w:sz w:val="32"/>
                <w:szCs w:val="32"/>
              </w:rPr>
            </w:pPr>
            <w:r>
              <w:rPr>
                <w:rFonts w:hint="eastAsia" w:ascii="仿宋_GB2312" w:eastAsia="仿宋_GB2312" w:cs="仿宋_GB2312"/>
                <w:sz w:val="32"/>
                <w:szCs w:val="32"/>
              </w:rPr>
              <w:t>机电设备维修与管理</w:t>
            </w:r>
          </w:p>
        </w:tc>
        <w:tc>
          <w:tcPr>
            <w:tcW w:w="915" w:type="dxa"/>
            <w:vAlign w:val="center"/>
          </w:tcPr>
          <w:p>
            <w:pPr>
              <w:ind w:firstLine="640" w:firstLineChars="200"/>
              <w:rPr>
                <w:rFonts w:ascii="仿宋_GB2312" w:eastAsia="仿宋_GB2312" w:cs="Times New Roman"/>
                <w:sz w:val="32"/>
                <w:szCs w:val="32"/>
              </w:rPr>
            </w:pPr>
          </w:p>
        </w:tc>
        <w:tc>
          <w:tcPr>
            <w:tcW w:w="1230" w:type="dxa"/>
            <w:vAlign w:val="center"/>
          </w:tcPr>
          <w:p>
            <w:pPr>
              <w:ind w:firstLine="640" w:firstLineChars="200"/>
              <w:rPr>
                <w:rFonts w:ascii="仿宋_GB2312" w:eastAsia="仿宋_GB2312" w:cs="Times New Roman"/>
                <w:sz w:val="32"/>
                <w:szCs w:val="32"/>
              </w:rPr>
            </w:pPr>
          </w:p>
        </w:tc>
        <w:tc>
          <w:tcPr>
            <w:tcW w:w="1035" w:type="dxa"/>
            <w:vAlign w:val="center"/>
          </w:tcPr>
          <w:p>
            <w:pPr>
              <w:rPr>
                <w:rFonts w:ascii="仿宋_GB2312" w:eastAsia="仿宋_GB2312" w:cs="仿宋_GB2312"/>
                <w:sz w:val="32"/>
                <w:szCs w:val="32"/>
              </w:rPr>
            </w:pPr>
            <w:r>
              <w:rPr>
                <w:rFonts w:ascii="仿宋_GB2312" w:eastAsia="仿宋_GB2312" w:cs="仿宋_GB2312"/>
                <w:sz w:val="32"/>
                <w:szCs w:val="32"/>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1053" w:type="dxa"/>
            <w:vMerge w:val="continue"/>
            <w:vAlign w:val="center"/>
          </w:tcPr>
          <w:p>
            <w:pPr>
              <w:ind w:firstLine="640" w:firstLineChars="200"/>
              <w:rPr>
                <w:rFonts w:ascii="仿宋_GB2312" w:eastAsia="仿宋_GB2312" w:cs="Times New Roman"/>
                <w:sz w:val="32"/>
                <w:szCs w:val="32"/>
              </w:rPr>
            </w:pPr>
          </w:p>
        </w:tc>
        <w:tc>
          <w:tcPr>
            <w:tcW w:w="1141" w:type="dxa"/>
            <w:vMerge w:val="continue"/>
            <w:vAlign w:val="center"/>
          </w:tcPr>
          <w:p>
            <w:pPr>
              <w:ind w:firstLine="640" w:firstLineChars="200"/>
              <w:rPr>
                <w:rFonts w:ascii="仿宋_GB2312" w:eastAsia="仿宋_GB2312" w:cs="Times New Roman"/>
                <w:sz w:val="32"/>
                <w:szCs w:val="32"/>
              </w:rPr>
            </w:pPr>
          </w:p>
        </w:tc>
        <w:tc>
          <w:tcPr>
            <w:tcW w:w="3164" w:type="dxa"/>
            <w:vAlign w:val="center"/>
          </w:tcPr>
          <w:p>
            <w:pPr>
              <w:rPr>
                <w:rFonts w:ascii="仿宋_GB2312" w:eastAsia="仿宋_GB2312" w:cs="Times New Roman"/>
                <w:sz w:val="32"/>
                <w:szCs w:val="32"/>
              </w:rPr>
            </w:pPr>
            <w:r>
              <w:rPr>
                <w:rFonts w:hint="eastAsia" w:ascii="仿宋_GB2312" w:eastAsia="仿宋_GB2312" w:cs="仿宋_GB2312"/>
                <w:sz w:val="32"/>
                <w:szCs w:val="32"/>
              </w:rPr>
              <w:t>焊接技术与自动化</w:t>
            </w:r>
          </w:p>
        </w:tc>
        <w:tc>
          <w:tcPr>
            <w:tcW w:w="915" w:type="dxa"/>
            <w:vAlign w:val="center"/>
          </w:tcPr>
          <w:p>
            <w:pPr>
              <w:ind w:firstLine="640" w:firstLineChars="200"/>
              <w:rPr>
                <w:rFonts w:ascii="仿宋_GB2312" w:eastAsia="仿宋_GB2312" w:cs="Times New Roman"/>
                <w:sz w:val="32"/>
                <w:szCs w:val="32"/>
              </w:rPr>
            </w:pPr>
          </w:p>
        </w:tc>
        <w:tc>
          <w:tcPr>
            <w:tcW w:w="1230" w:type="dxa"/>
            <w:vAlign w:val="center"/>
          </w:tcPr>
          <w:p>
            <w:pPr>
              <w:ind w:firstLine="640" w:firstLineChars="200"/>
              <w:rPr>
                <w:rFonts w:ascii="仿宋_GB2312" w:eastAsia="仿宋_GB2312" w:cs="Times New Roman"/>
                <w:sz w:val="32"/>
                <w:szCs w:val="32"/>
              </w:rPr>
            </w:pPr>
          </w:p>
        </w:tc>
        <w:tc>
          <w:tcPr>
            <w:tcW w:w="1035" w:type="dxa"/>
            <w:vAlign w:val="center"/>
          </w:tcPr>
          <w:p>
            <w:pPr>
              <w:rPr>
                <w:rFonts w:ascii="仿宋_GB2312" w:eastAsia="仿宋_GB2312" w:cs="仿宋_GB2312"/>
                <w:sz w:val="32"/>
                <w:szCs w:val="32"/>
              </w:rPr>
            </w:pPr>
            <w:r>
              <w:rPr>
                <w:rFonts w:ascii="仿宋_GB2312" w:eastAsia="仿宋_GB2312" w:cs="仿宋_GB2312"/>
                <w:sz w:val="32"/>
                <w:szCs w:val="32"/>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1053" w:type="dxa"/>
            <w:vMerge w:val="continue"/>
            <w:vAlign w:val="center"/>
          </w:tcPr>
          <w:p>
            <w:pPr>
              <w:ind w:firstLine="640" w:firstLineChars="200"/>
              <w:rPr>
                <w:rFonts w:ascii="仿宋_GB2312" w:eastAsia="仿宋_GB2312" w:cs="Times New Roman"/>
                <w:sz w:val="32"/>
                <w:szCs w:val="32"/>
              </w:rPr>
            </w:pPr>
          </w:p>
        </w:tc>
        <w:tc>
          <w:tcPr>
            <w:tcW w:w="1141" w:type="dxa"/>
            <w:vMerge w:val="continue"/>
            <w:vAlign w:val="center"/>
          </w:tcPr>
          <w:p>
            <w:pPr>
              <w:ind w:firstLine="640" w:firstLineChars="200"/>
              <w:rPr>
                <w:rFonts w:ascii="仿宋_GB2312" w:eastAsia="仿宋_GB2312" w:cs="Times New Roman"/>
                <w:sz w:val="32"/>
                <w:szCs w:val="32"/>
              </w:rPr>
            </w:pPr>
          </w:p>
        </w:tc>
        <w:tc>
          <w:tcPr>
            <w:tcW w:w="3164" w:type="dxa"/>
            <w:vAlign w:val="center"/>
          </w:tcPr>
          <w:p>
            <w:pPr>
              <w:rPr>
                <w:rFonts w:ascii="仿宋_GB2312" w:eastAsia="仿宋_GB2312" w:cs="Times New Roman"/>
                <w:sz w:val="32"/>
                <w:szCs w:val="32"/>
              </w:rPr>
            </w:pPr>
            <w:r>
              <w:rPr>
                <w:rFonts w:hint="eastAsia" w:ascii="仿宋_GB2312" w:eastAsia="仿宋_GB2312" w:cs="仿宋_GB2312"/>
                <w:sz w:val="32"/>
                <w:szCs w:val="32"/>
              </w:rPr>
              <w:t>电气自动化技术</w:t>
            </w:r>
          </w:p>
        </w:tc>
        <w:tc>
          <w:tcPr>
            <w:tcW w:w="915" w:type="dxa"/>
            <w:vAlign w:val="center"/>
          </w:tcPr>
          <w:p>
            <w:pPr>
              <w:rPr>
                <w:rFonts w:ascii="仿宋_GB2312" w:eastAsia="仿宋_GB2312" w:cs="仿宋_GB2312"/>
                <w:sz w:val="32"/>
                <w:szCs w:val="32"/>
              </w:rPr>
            </w:pPr>
            <w:r>
              <w:rPr>
                <w:rFonts w:ascii="仿宋_GB2312" w:eastAsia="仿宋_GB2312" w:cs="仿宋_GB2312"/>
                <w:sz w:val="32"/>
                <w:szCs w:val="32"/>
              </w:rPr>
              <w:t>10</w:t>
            </w:r>
          </w:p>
        </w:tc>
        <w:tc>
          <w:tcPr>
            <w:tcW w:w="1230" w:type="dxa"/>
            <w:vAlign w:val="center"/>
          </w:tcPr>
          <w:p>
            <w:pPr>
              <w:ind w:firstLine="640" w:firstLineChars="200"/>
              <w:rPr>
                <w:rFonts w:ascii="仿宋_GB2312" w:eastAsia="仿宋_GB2312" w:cs="Times New Roman"/>
                <w:sz w:val="32"/>
                <w:szCs w:val="32"/>
              </w:rPr>
            </w:pPr>
          </w:p>
        </w:tc>
        <w:tc>
          <w:tcPr>
            <w:tcW w:w="1035" w:type="dxa"/>
            <w:vAlign w:val="center"/>
          </w:tcPr>
          <w:p>
            <w:pPr>
              <w:ind w:firstLine="640" w:firstLineChars="200"/>
              <w:rPr>
                <w:rFonts w:ascii="仿宋_GB2312"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1053" w:type="dxa"/>
            <w:vMerge w:val="continue"/>
            <w:vAlign w:val="center"/>
          </w:tcPr>
          <w:p>
            <w:pPr>
              <w:ind w:firstLine="640" w:firstLineChars="200"/>
              <w:rPr>
                <w:rFonts w:ascii="仿宋_GB2312" w:eastAsia="仿宋_GB2312" w:cs="Times New Roman"/>
                <w:sz w:val="32"/>
                <w:szCs w:val="32"/>
              </w:rPr>
            </w:pPr>
          </w:p>
        </w:tc>
        <w:tc>
          <w:tcPr>
            <w:tcW w:w="1141" w:type="dxa"/>
            <w:vMerge w:val="continue"/>
            <w:vAlign w:val="center"/>
          </w:tcPr>
          <w:p>
            <w:pPr>
              <w:ind w:firstLine="640" w:firstLineChars="200"/>
              <w:rPr>
                <w:rFonts w:ascii="仿宋_GB2312" w:eastAsia="仿宋_GB2312" w:cs="Times New Roman"/>
                <w:sz w:val="32"/>
                <w:szCs w:val="32"/>
              </w:rPr>
            </w:pPr>
          </w:p>
        </w:tc>
        <w:tc>
          <w:tcPr>
            <w:tcW w:w="3164" w:type="dxa"/>
            <w:vAlign w:val="center"/>
          </w:tcPr>
          <w:p>
            <w:pPr>
              <w:ind w:firstLine="640" w:firstLineChars="200"/>
              <w:rPr>
                <w:rFonts w:ascii="仿宋_GB2312" w:eastAsia="仿宋_GB2312" w:cs="Times New Roman"/>
                <w:sz w:val="32"/>
                <w:szCs w:val="32"/>
              </w:rPr>
            </w:pPr>
            <w:r>
              <w:rPr>
                <w:rFonts w:hint="eastAsia" w:ascii="仿宋_GB2312" w:eastAsia="仿宋_GB2312" w:cs="仿宋_GB2312"/>
                <w:sz w:val="32"/>
                <w:szCs w:val="32"/>
              </w:rPr>
              <w:t>供用电技术</w:t>
            </w:r>
          </w:p>
        </w:tc>
        <w:tc>
          <w:tcPr>
            <w:tcW w:w="915" w:type="dxa"/>
            <w:vAlign w:val="center"/>
          </w:tcPr>
          <w:p>
            <w:pPr>
              <w:ind w:firstLine="640" w:firstLineChars="200"/>
              <w:rPr>
                <w:rFonts w:ascii="仿宋_GB2312" w:eastAsia="仿宋_GB2312" w:cs="Times New Roman"/>
                <w:sz w:val="32"/>
                <w:szCs w:val="32"/>
              </w:rPr>
            </w:pPr>
          </w:p>
        </w:tc>
        <w:tc>
          <w:tcPr>
            <w:tcW w:w="1230" w:type="dxa"/>
            <w:vAlign w:val="center"/>
          </w:tcPr>
          <w:p>
            <w:pPr>
              <w:ind w:firstLine="640" w:firstLineChars="200"/>
              <w:rPr>
                <w:rFonts w:ascii="仿宋_GB2312" w:eastAsia="仿宋_GB2312" w:cs="Times New Roman"/>
                <w:sz w:val="32"/>
                <w:szCs w:val="32"/>
              </w:rPr>
            </w:pPr>
          </w:p>
        </w:tc>
        <w:tc>
          <w:tcPr>
            <w:tcW w:w="1035" w:type="dxa"/>
            <w:vAlign w:val="center"/>
          </w:tcPr>
          <w:p>
            <w:pPr>
              <w:rPr>
                <w:rFonts w:ascii="仿宋_GB2312" w:eastAsia="仿宋_GB2312" w:cs="仿宋_GB2312"/>
                <w:sz w:val="32"/>
                <w:szCs w:val="32"/>
              </w:rPr>
            </w:pPr>
            <w:r>
              <w:rPr>
                <w:rFonts w:ascii="仿宋_GB2312" w:eastAsia="仿宋_GB2312" w:cs="仿宋_GB2312"/>
                <w:sz w:val="32"/>
                <w:szCs w:val="32"/>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1053" w:type="dxa"/>
            <w:vMerge w:val="continue"/>
            <w:vAlign w:val="center"/>
          </w:tcPr>
          <w:p>
            <w:pPr>
              <w:ind w:firstLine="640" w:firstLineChars="200"/>
              <w:rPr>
                <w:rFonts w:ascii="仿宋_GB2312" w:eastAsia="仿宋_GB2312" w:cs="Times New Roman"/>
                <w:sz w:val="32"/>
                <w:szCs w:val="32"/>
              </w:rPr>
            </w:pPr>
          </w:p>
        </w:tc>
        <w:tc>
          <w:tcPr>
            <w:tcW w:w="1141" w:type="dxa"/>
            <w:vMerge w:val="continue"/>
            <w:vAlign w:val="center"/>
          </w:tcPr>
          <w:p>
            <w:pPr>
              <w:ind w:firstLine="640" w:firstLineChars="200"/>
              <w:rPr>
                <w:rFonts w:ascii="仿宋_GB2312" w:eastAsia="仿宋_GB2312" w:cs="Times New Roman"/>
                <w:sz w:val="32"/>
                <w:szCs w:val="32"/>
              </w:rPr>
            </w:pPr>
          </w:p>
        </w:tc>
        <w:tc>
          <w:tcPr>
            <w:tcW w:w="3164" w:type="dxa"/>
            <w:vAlign w:val="center"/>
          </w:tcPr>
          <w:p>
            <w:pPr>
              <w:rPr>
                <w:rFonts w:ascii="仿宋_GB2312" w:eastAsia="仿宋_GB2312" w:cs="Times New Roman"/>
                <w:sz w:val="32"/>
                <w:szCs w:val="32"/>
              </w:rPr>
            </w:pPr>
            <w:r>
              <w:rPr>
                <w:rFonts w:hint="eastAsia" w:ascii="仿宋_GB2312" w:eastAsia="仿宋_GB2312" w:cs="仿宋_GB2312"/>
                <w:sz w:val="32"/>
                <w:szCs w:val="32"/>
              </w:rPr>
              <w:t>汽车检测与维修技术</w:t>
            </w:r>
          </w:p>
        </w:tc>
        <w:tc>
          <w:tcPr>
            <w:tcW w:w="915" w:type="dxa"/>
            <w:vAlign w:val="center"/>
          </w:tcPr>
          <w:p>
            <w:pPr>
              <w:ind w:firstLine="640" w:firstLineChars="200"/>
              <w:rPr>
                <w:rFonts w:ascii="仿宋_GB2312" w:eastAsia="仿宋_GB2312" w:cs="Times New Roman"/>
                <w:sz w:val="32"/>
                <w:szCs w:val="32"/>
              </w:rPr>
            </w:pPr>
          </w:p>
        </w:tc>
        <w:tc>
          <w:tcPr>
            <w:tcW w:w="1230" w:type="dxa"/>
            <w:vAlign w:val="center"/>
          </w:tcPr>
          <w:p>
            <w:pPr>
              <w:ind w:firstLine="640" w:firstLineChars="200"/>
              <w:rPr>
                <w:rFonts w:ascii="仿宋_GB2312" w:eastAsia="仿宋_GB2312" w:cs="仿宋_GB2312"/>
                <w:sz w:val="32"/>
                <w:szCs w:val="32"/>
              </w:rPr>
            </w:pPr>
            <w:r>
              <w:rPr>
                <w:rFonts w:ascii="仿宋_GB2312" w:eastAsia="仿宋_GB2312" w:cs="仿宋_GB2312"/>
                <w:sz w:val="32"/>
                <w:szCs w:val="32"/>
              </w:rPr>
              <w:t>10</w:t>
            </w:r>
          </w:p>
        </w:tc>
        <w:tc>
          <w:tcPr>
            <w:tcW w:w="1035" w:type="dxa"/>
            <w:vAlign w:val="center"/>
          </w:tcPr>
          <w:p>
            <w:pPr>
              <w:rPr>
                <w:rFonts w:ascii="仿宋_GB2312" w:eastAsia="仿宋_GB2312" w:cs="仿宋_GB2312"/>
                <w:sz w:val="32"/>
                <w:szCs w:val="32"/>
              </w:rPr>
            </w:pPr>
            <w:r>
              <w:rPr>
                <w:rFonts w:ascii="仿宋_GB2312" w:eastAsia="仿宋_GB2312" w:cs="仿宋_GB2312"/>
                <w:sz w:val="32"/>
                <w:szCs w:val="32"/>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1053" w:type="dxa"/>
            <w:vMerge w:val="continue"/>
            <w:vAlign w:val="center"/>
          </w:tcPr>
          <w:p>
            <w:pPr>
              <w:ind w:firstLine="640" w:firstLineChars="200"/>
              <w:rPr>
                <w:rFonts w:ascii="仿宋_GB2312" w:eastAsia="仿宋_GB2312" w:cs="Times New Roman"/>
                <w:sz w:val="32"/>
                <w:szCs w:val="32"/>
              </w:rPr>
            </w:pPr>
          </w:p>
        </w:tc>
        <w:tc>
          <w:tcPr>
            <w:tcW w:w="1141" w:type="dxa"/>
            <w:vMerge w:val="continue"/>
            <w:vAlign w:val="center"/>
          </w:tcPr>
          <w:p>
            <w:pPr>
              <w:ind w:firstLine="640" w:firstLineChars="200"/>
              <w:rPr>
                <w:rFonts w:ascii="仿宋_GB2312" w:eastAsia="仿宋_GB2312" w:cs="Times New Roman"/>
                <w:sz w:val="32"/>
                <w:szCs w:val="32"/>
              </w:rPr>
            </w:pPr>
          </w:p>
        </w:tc>
        <w:tc>
          <w:tcPr>
            <w:tcW w:w="3164" w:type="dxa"/>
            <w:vAlign w:val="center"/>
          </w:tcPr>
          <w:p>
            <w:pPr>
              <w:ind w:firstLine="640" w:firstLineChars="200"/>
              <w:rPr>
                <w:rFonts w:ascii="仿宋_GB2312" w:eastAsia="仿宋_GB2312" w:cs="Times New Roman"/>
                <w:sz w:val="32"/>
                <w:szCs w:val="32"/>
              </w:rPr>
            </w:pPr>
            <w:r>
              <w:rPr>
                <w:rFonts w:hint="eastAsia" w:ascii="仿宋_GB2312" w:eastAsia="仿宋_GB2312" w:cs="仿宋_GB2312"/>
                <w:sz w:val="32"/>
                <w:szCs w:val="32"/>
              </w:rPr>
              <w:t>黑色冶金技术</w:t>
            </w:r>
          </w:p>
        </w:tc>
        <w:tc>
          <w:tcPr>
            <w:tcW w:w="915" w:type="dxa"/>
            <w:vAlign w:val="center"/>
          </w:tcPr>
          <w:p>
            <w:pPr>
              <w:ind w:firstLine="640" w:firstLineChars="200"/>
              <w:rPr>
                <w:rFonts w:ascii="仿宋_GB2312" w:eastAsia="仿宋_GB2312" w:cs="Times New Roman"/>
                <w:sz w:val="32"/>
                <w:szCs w:val="32"/>
              </w:rPr>
            </w:pPr>
          </w:p>
        </w:tc>
        <w:tc>
          <w:tcPr>
            <w:tcW w:w="1230" w:type="dxa"/>
            <w:vAlign w:val="center"/>
          </w:tcPr>
          <w:p>
            <w:pPr>
              <w:ind w:firstLine="640" w:firstLineChars="200"/>
              <w:rPr>
                <w:rFonts w:ascii="仿宋_GB2312" w:eastAsia="仿宋_GB2312" w:cs="Times New Roman"/>
                <w:sz w:val="32"/>
                <w:szCs w:val="32"/>
              </w:rPr>
            </w:pPr>
          </w:p>
        </w:tc>
        <w:tc>
          <w:tcPr>
            <w:tcW w:w="1035" w:type="dxa"/>
            <w:vAlign w:val="center"/>
          </w:tcPr>
          <w:p>
            <w:pPr>
              <w:rPr>
                <w:rFonts w:ascii="仿宋_GB2312" w:eastAsia="仿宋_GB2312" w:cs="仿宋_GB2312"/>
                <w:sz w:val="32"/>
                <w:szCs w:val="32"/>
              </w:rPr>
            </w:pPr>
            <w:r>
              <w:rPr>
                <w:rFonts w:ascii="仿宋_GB2312" w:eastAsia="仿宋_GB2312" w:cs="仿宋_GB2312"/>
                <w:sz w:val="32"/>
                <w:szCs w:val="32"/>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1053" w:type="dxa"/>
            <w:vMerge w:val="continue"/>
            <w:vAlign w:val="center"/>
          </w:tcPr>
          <w:p>
            <w:pPr>
              <w:ind w:firstLine="640" w:firstLineChars="200"/>
              <w:rPr>
                <w:rFonts w:ascii="仿宋_GB2312" w:eastAsia="仿宋_GB2312" w:cs="Times New Roman"/>
                <w:sz w:val="32"/>
                <w:szCs w:val="32"/>
              </w:rPr>
            </w:pPr>
          </w:p>
        </w:tc>
        <w:tc>
          <w:tcPr>
            <w:tcW w:w="1141" w:type="dxa"/>
            <w:vMerge w:val="continue"/>
            <w:vAlign w:val="center"/>
          </w:tcPr>
          <w:p>
            <w:pPr>
              <w:ind w:firstLine="640" w:firstLineChars="200"/>
              <w:rPr>
                <w:rFonts w:ascii="仿宋_GB2312" w:eastAsia="仿宋_GB2312" w:cs="Times New Roman"/>
                <w:sz w:val="32"/>
                <w:szCs w:val="32"/>
              </w:rPr>
            </w:pPr>
          </w:p>
        </w:tc>
        <w:tc>
          <w:tcPr>
            <w:tcW w:w="3164" w:type="dxa"/>
            <w:vAlign w:val="center"/>
          </w:tcPr>
          <w:p>
            <w:pPr>
              <w:ind w:firstLine="640" w:firstLineChars="200"/>
              <w:rPr>
                <w:rFonts w:ascii="仿宋_GB2312" w:eastAsia="仿宋_GB2312" w:cs="Times New Roman"/>
                <w:sz w:val="32"/>
                <w:szCs w:val="32"/>
              </w:rPr>
            </w:pPr>
            <w:r>
              <w:rPr>
                <w:rFonts w:hint="eastAsia" w:ascii="仿宋_GB2312" w:eastAsia="仿宋_GB2312" w:cs="仿宋_GB2312"/>
                <w:sz w:val="32"/>
                <w:szCs w:val="32"/>
              </w:rPr>
              <w:t>应用化工技术</w:t>
            </w:r>
          </w:p>
        </w:tc>
        <w:tc>
          <w:tcPr>
            <w:tcW w:w="915" w:type="dxa"/>
            <w:vAlign w:val="center"/>
          </w:tcPr>
          <w:p>
            <w:pPr>
              <w:ind w:firstLine="640" w:firstLineChars="200"/>
              <w:rPr>
                <w:rFonts w:ascii="仿宋_GB2312" w:eastAsia="仿宋_GB2312" w:cs="Times New Roman"/>
                <w:sz w:val="32"/>
                <w:szCs w:val="32"/>
              </w:rPr>
            </w:pPr>
          </w:p>
        </w:tc>
        <w:tc>
          <w:tcPr>
            <w:tcW w:w="1230" w:type="dxa"/>
            <w:vAlign w:val="center"/>
          </w:tcPr>
          <w:p>
            <w:pPr>
              <w:ind w:firstLine="640" w:firstLineChars="200"/>
              <w:rPr>
                <w:rFonts w:ascii="仿宋_GB2312" w:eastAsia="仿宋_GB2312" w:cs="Times New Roman"/>
                <w:sz w:val="32"/>
                <w:szCs w:val="32"/>
              </w:rPr>
            </w:pPr>
          </w:p>
        </w:tc>
        <w:tc>
          <w:tcPr>
            <w:tcW w:w="1035" w:type="dxa"/>
            <w:vAlign w:val="center"/>
          </w:tcPr>
          <w:p>
            <w:pPr>
              <w:rPr>
                <w:rFonts w:ascii="仿宋_GB2312" w:eastAsia="仿宋_GB2312" w:cs="仿宋_GB2312"/>
                <w:sz w:val="32"/>
                <w:szCs w:val="32"/>
              </w:rPr>
            </w:pPr>
            <w:r>
              <w:rPr>
                <w:rFonts w:ascii="仿宋_GB2312" w:eastAsia="仿宋_GB2312" w:cs="仿宋_GB2312"/>
                <w:sz w:val="32"/>
                <w:szCs w:val="32"/>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1053" w:type="dxa"/>
            <w:vMerge w:val="continue"/>
            <w:vAlign w:val="center"/>
          </w:tcPr>
          <w:p>
            <w:pPr>
              <w:ind w:firstLine="640" w:firstLineChars="200"/>
              <w:rPr>
                <w:rFonts w:ascii="仿宋_GB2312" w:eastAsia="仿宋_GB2312" w:cs="Times New Roman"/>
                <w:sz w:val="32"/>
                <w:szCs w:val="32"/>
              </w:rPr>
            </w:pPr>
          </w:p>
        </w:tc>
        <w:tc>
          <w:tcPr>
            <w:tcW w:w="1141" w:type="dxa"/>
            <w:vMerge w:val="continue"/>
            <w:vAlign w:val="center"/>
          </w:tcPr>
          <w:p>
            <w:pPr>
              <w:ind w:firstLine="640" w:firstLineChars="200"/>
              <w:rPr>
                <w:rFonts w:ascii="仿宋_GB2312" w:eastAsia="仿宋_GB2312" w:cs="Times New Roman"/>
                <w:sz w:val="32"/>
                <w:szCs w:val="32"/>
              </w:rPr>
            </w:pPr>
          </w:p>
        </w:tc>
        <w:tc>
          <w:tcPr>
            <w:tcW w:w="3164" w:type="dxa"/>
            <w:vAlign w:val="center"/>
          </w:tcPr>
          <w:p>
            <w:pPr>
              <w:rPr>
                <w:rFonts w:ascii="仿宋_GB2312" w:eastAsia="仿宋_GB2312" w:cs="Times New Roman"/>
                <w:sz w:val="32"/>
                <w:szCs w:val="32"/>
              </w:rPr>
            </w:pPr>
            <w:r>
              <w:rPr>
                <w:rFonts w:hint="eastAsia" w:ascii="仿宋_GB2312" w:eastAsia="仿宋_GB2312" w:cs="仿宋_GB2312"/>
                <w:sz w:val="32"/>
                <w:szCs w:val="32"/>
              </w:rPr>
              <w:t>材料成型与控制技术</w:t>
            </w:r>
          </w:p>
        </w:tc>
        <w:tc>
          <w:tcPr>
            <w:tcW w:w="915" w:type="dxa"/>
            <w:vAlign w:val="center"/>
          </w:tcPr>
          <w:p>
            <w:pPr>
              <w:ind w:firstLine="640" w:firstLineChars="200"/>
              <w:rPr>
                <w:rFonts w:ascii="仿宋_GB2312" w:eastAsia="仿宋_GB2312" w:cs="Times New Roman"/>
                <w:sz w:val="32"/>
                <w:szCs w:val="32"/>
              </w:rPr>
            </w:pPr>
          </w:p>
        </w:tc>
        <w:tc>
          <w:tcPr>
            <w:tcW w:w="1230" w:type="dxa"/>
            <w:vAlign w:val="center"/>
          </w:tcPr>
          <w:p>
            <w:pPr>
              <w:ind w:firstLine="640" w:firstLineChars="200"/>
              <w:rPr>
                <w:rFonts w:ascii="仿宋_GB2312" w:eastAsia="仿宋_GB2312" w:cs="Times New Roman"/>
                <w:sz w:val="32"/>
                <w:szCs w:val="32"/>
              </w:rPr>
            </w:pPr>
          </w:p>
        </w:tc>
        <w:tc>
          <w:tcPr>
            <w:tcW w:w="1035" w:type="dxa"/>
            <w:vAlign w:val="center"/>
          </w:tcPr>
          <w:p>
            <w:pPr>
              <w:rPr>
                <w:rFonts w:ascii="仿宋_GB2312" w:eastAsia="仿宋_GB2312" w:cs="仿宋_GB2312"/>
                <w:sz w:val="32"/>
                <w:szCs w:val="32"/>
              </w:rPr>
            </w:pPr>
            <w:r>
              <w:rPr>
                <w:rFonts w:ascii="仿宋_GB2312" w:eastAsia="仿宋_GB2312" w:cs="仿宋_GB2312"/>
                <w:sz w:val="32"/>
                <w:szCs w:val="32"/>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1053" w:type="dxa"/>
            <w:vMerge w:val="continue"/>
            <w:vAlign w:val="center"/>
          </w:tcPr>
          <w:p>
            <w:pPr>
              <w:ind w:firstLine="640" w:firstLineChars="200"/>
              <w:rPr>
                <w:rFonts w:ascii="仿宋_GB2312" w:eastAsia="仿宋_GB2312" w:cs="Times New Roman"/>
                <w:sz w:val="32"/>
                <w:szCs w:val="32"/>
              </w:rPr>
            </w:pPr>
          </w:p>
        </w:tc>
        <w:tc>
          <w:tcPr>
            <w:tcW w:w="1141" w:type="dxa"/>
            <w:vMerge w:val="continue"/>
            <w:vAlign w:val="center"/>
          </w:tcPr>
          <w:p>
            <w:pPr>
              <w:ind w:firstLine="640" w:firstLineChars="200"/>
              <w:rPr>
                <w:rFonts w:ascii="仿宋_GB2312" w:eastAsia="仿宋_GB2312" w:cs="Times New Roman"/>
                <w:sz w:val="32"/>
                <w:szCs w:val="32"/>
              </w:rPr>
            </w:pPr>
          </w:p>
        </w:tc>
        <w:tc>
          <w:tcPr>
            <w:tcW w:w="3164" w:type="dxa"/>
            <w:vAlign w:val="center"/>
          </w:tcPr>
          <w:p>
            <w:pPr>
              <w:ind w:firstLine="640" w:firstLineChars="200"/>
              <w:rPr>
                <w:rFonts w:ascii="仿宋_GB2312" w:eastAsia="仿宋_GB2312" w:cs="Times New Roman"/>
                <w:sz w:val="32"/>
                <w:szCs w:val="32"/>
              </w:rPr>
            </w:pPr>
            <w:r>
              <w:rPr>
                <w:rFonts w:hint="eastAsia" w:ascii="仿宋_GB2312" w:eastAsia="仿宋_GB2312" w:cs="仿宋_GB2312"/>
                <w:sz w:val="32"/>
                <w:szCs w:val="32"/>
              </w:rPr>
              <w:t>计算机应用技术</w:t>
            </w:r>
          </w:p>
        </w:tc>
        <w:tc>
          <w:tcPr>
            <w:tcW w:w="915" w:type="dxa"/>
            <w:vAlign w:val="center"/>
          </w:tcPr>
          <w:p>
            <w:pPr>
              <w:rPr>
                <w:rFonts w:ascii="仿宋_GB2312" w:eastAsia="仿宋_GB2312" w:cs="仿宋_GB2312"/>
                <w:sz w:val="32"/>
                <w:szCs w:val="32"/>
              </w:rPr>
            </w:pPr>
            <w:r>
              <w:rPr>
                <w:rFonts w:ascii="仿宋_GB2312" w:eastAsia="仿宋_GB2312" w:cs="仿宋_GB2312"/>
                <w:sz w:val="32"/>
                <w:szCs w:val="32"/>
              </w:rPr>
              <w:t>10</w:t>
            </w:r>
          </w:p>
        </w:tc>
        <w:tc>
          <w:tcPr>
            <w:tcW w:w="1230" w:type="dxa"/>
            <w:vAlign w:val="center"/>
          </w:tcPr>
          <w:p>
            <w:pPr>
              <w:ind w:firstLine="640" w:firstLineChars="200"/>
              <w:rPr>
                <w:rFonts w:ascii="仿宋_GB2312" w:eastAsia="仿宋_GB2312" w:cs="仿宋_GB2312"/>
                <w:sz w:val="32"/>
                <w:szCs w:val="32"/>
              </w:rPr>
            </w:pPr>
            <w:r>
              <w:rPr>
                <w:rFonts w:ascii="仿宋_GB2312" w:eastAsia="仿宋_GB2312" w:cs="仿宋_GB2312"/>
                <w:sz w:val="32"/>
                <w:szCs w:val="32"/>
              </w:rPr>
              <w:t>5</w:t>
            </w:r>
          </w:p>
        </w:tc>
        <w:tc>
          <w:tcPr>
            <w:tcW w:w="1035" w:type="dxa"/>
            <w:vAlign w:val="center"/>
          </w:tcPr>
          <w:p>
            <w:pPr>
              <w:ind w:firstLine="640" w:firstLineChars="200"/>
              <w:rPr>
                <w:rFonts w:asci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1053" w:type="dxa"/>
            <w:vMerge w:val="continue"/>
            <w:vAlign w:val="center"/>
          </w:tcPr>
          <w:p>
            <w:pPr>
              <w:ind w:firstLine="640" w:firstLineChars="200"/>
              <w:rPr>
                <w:rFonts w:ascii="仿宋_GB2312" w:eastAsia="仿宋_GB2312" w:cs="Times New Roman"/>
                <w:sz w:val="32"/>
                <w:szCs w:val="32"/>
              </w:rPr>
            </w:pPr>
          </w:p>
        </w:tc>
        <w:tc>
          <w:tcPr>
            <w:tcW w:w="1141" w:type="dxa"/>
            <w:vMerge w:val="continue"/>
            <w:vAlign w:val="center"/>
          </w:tcPr>
          <w:p>
            <w:pPr>
              <w:ind w:firstLine="640" w:firstLineChars="200"/>
              <w:rPr>
                <w:rFonts w:ascii="仿宋_GB2312" w:eastAsia="仿宋_GB2312" w:cs="Times New Roman"/>
                <w:sz w:val="32"/>
                <w:szCs w:val="32"/>
              </w:rPr>
            </w:pPr>
          </w:p>
        </w:tc>
        <w:tc>
          <w:tcPr>
            <w:tcW w:w="3164" w:type="dxa"/>
            <w:vAlign w:val="center"/>
          </w:tcPr>
          <w:p>
            <w:pPr>
              <w:ind w:firstLine="640" w:firstLineChars="200"/>
              <w:rPr>
                <w:rFonts w:ascii="仿宋_GB2312" w:eastAsia="仿宋_GB2312" w:cs="Times New Roman"/>
                <w:sz w:val="32"/>
                <w:szCs w:val="32"/>
              </w:rPr>
            </w:pPr>
            <w:r>
              <w:rPr>
                <w:rFonts w:hint="eastAsia" w:ascii="仿宋_GB2312" w:eastAsia="仿宋_GB2312" w:cs="仿宋_GB2312"/>
                <w:sz w:val="32"/>
                <w:szCs w:val="32"/>
              </w:rPr>
              <w:t>建筑工程技术</w:t>
            </w:r>
          </w:p>
        </w:tc>
        <w:tc>
          <w:tcPr>
            <w:tcW w:w="915" w:type="dxa"/>
            <w:vAlign w:val="center"/>
          </w:tcPr>
          <w:p>
            <w:pPr>
              <w:ind w:firstLine="640" w:firstLineChars="200"/>
              <w:rPr>
                <w:rFonts w:ascii="仿宋_GB2312" w:eastAsia="仿宋_GB2312" w:cs="Times New Roman"/>
                <w:sz w:val="32"/>
                <w:szCs w:val="32"/>
              </w:rPr>
            </w:pPr>
          </w:p>
        </w:tc>
        <w:tc>
          <w:tcPr>
            <w:tcW w:w="1230" w:type="dxa"/>
            <w:vAlign w:val="center"/>
          </w:tcPr>
          <w:p>
            <w:pPr>
              <w:ind w:firstLine="640" w:firstLineChars="200"/>
              <w:rPr>
                <w:rFonts w:ascii="仿宋_GB2312" w:eastAsia="仿宋_GB2312" w:cs="Times New Roman"/>
                <w:sz w:val="32"/>
                <w:szCs w:val="32"/>
              </w:rPr>
            </w:pPr>
          </w:p>
        </w:tc>
        <w:tc>
          <w:tcPr>
            <w:tcW w:w="1035" w:type="dxa"/>
            <w:vAlign w:val="center"/>
          </w:tcPr>
          <w:p>
            <w:pPr>
              <w:rPr>
                <w:rFonts w:ascii="仿宋_GB2312" w:eastAsia="仿宋_GB2312" w:cs="仿宋_GB2312"/>
                <w:sz w:val="32"/>
                <w:szCs w:val="32"/>
              </w:rPr>
            </w:pPr>
            <w:r>
              <w:rPr>
                <w:rFonts w:ascii="仿宋_GB2312" w:eastAsia="仿宋_GB2312" w:cs="仿宋_GB2312"/>
                <w:sz w:val="32"/>
                <w:szCs w:val="32"/>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1053" w:type="dxa"/>
            <w:vMerge w:val="continue"/>
            <w:vAlign w:val="center"/>
          </w:tcPr>
          <w:p>
            <w:pPr>
              <w:ind w:firstLine="640" w:firstLineChars="200"/>
              <w:rPr>
                <w:rFonts w:ascii="仿宋_GB2312" w:eastAsia="仿宋_GB2312" w:cs="Times New Roman"/>
                <w:sz w:val="32"/>
                <w:szCs w:val="32"/>
              </w:rPr>
            </w:pPr>
          </w:p>
        </w:tc>
        <w:tc>
          <w:tcPr>
            <w:tcW w:w="1141" w:type="dxa"/>
            <w:vMerge w:val="continue"/>
            <w:vAlign w:val="center"/>
          </w:tcPr>
          <w:p>
            <w:pPr>
              <w:ind w:firstLine="640" w:firstLineChars="200"/>
              <w:rPr>
                <w:rFonts w:ascii="仿宋_GB2312" w:eastAsia="仿宋_GB2312" w:cs="Times New Roman"/>
                <w:sz w:val="32"/>
                <w:szCs w:val="32"/>
              </w:rPr>
            </w:pPr>
          </w:p>
        </w:tc>
        <w:tc>
          <w:tcPr>
            <w:tcW w:w="3164" w:type="dxa"/>
            <w:vAlign w:val="center"/>
          </w:tcPr>
          <w:p>
            <w:pPr>
              <w:ind w:firstLine="640" w:firstLineChars="200"/>
              <w:rPr>
                <w:rFonts w:ascii="仿宋_GB2312" w:eastAsia="仿宋_GB2312" w:cs="Times New Roman"/>
                <w:sz w:val="32"/>
                <w:szCs w:val="32"/>
              </w:rPr>
            </w:pPr>
            <w:r>
              <w:rPr>
                <w:rFonts w:hint="eastAsia" w:ascii="仿宋_GB2312" w:eastAsia="仿宋_GB2312" w:cs="仿宋_GB2312"/>
                <w:sz w:val="32"/>
                <w:szCs w:val="32"/>
              </w:rPr>
              <w:t>会计</w:t>
            </w:r>
          </w:p>
        </w:tc>
        <w:tc>
          <w:tcPr>
            <w:tcW w:w="915" w:type="dxa"/>
            <w:vAlign w:val="center"/>
          </w:tcPr>
          <w:p>
            <w:pPr>
              <w:rPr>
                <w:rFonts w:ascii="仿宋_GB2312" w:eastAsia="仿宋_GB2312" w:cs="仿宋_GB2312"/>
                <w:sz w:val="32"/>
                <w:szCs w:val="32"/>
              </w:rPr>
            </w:pPr>
            <w:r>
              <w:rPr>
                <w:rFonts w:ascii="仿宋_GB2312" w:eastAsia="仿宋_GB2312" w:cs="仿宋_GB2312"/>
                <w:sz w:val="32"/>
                <w:szCs w:val="32"/>
              </w:rPr>
              <w:t>5</w:t>
            </w:r>
          </w:p>
        </w:tc>
        <w:tc>
          <w:tcPr>
            <w:tcW w:w="1230" w:type="dxa"/>
            <w:vAlign w:val="center"/>
          </w:tcPr>
          <w:p>
            <w:pPr>
              <w:ind w:firstLine="640" w:firstLineChars="200"/>
              <w:rPr>
                <w:rFonts w:ascii="仿宋_GB2312" w:eastAsia="仿宋_GB2312" w:cs="Times New Roman"/>
                <w:sz w:val="32"/>
                <w:szCs w:val="32"/>
              </w:rPr>
            </w:pPr>
          </w:p>
        </w:tc>
        <w:tc>
          <w:tcPr>
            <w:tcW w:w="1035" w:type="dxa"/>
            <w:vAlign w:val="center"/>
          </w:tcPr>
          <w:p>
            <w:pPr>
              <w:ind w:firstLine="640" w:firstLineChars="200"/>
              <w:rPr>
                <w:rFonts w:ascii="仿宋_GB2312"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1053" w:type="dxa"/>
            <w:vMerge w:val="continue"/>
            <w:vAlign w:val="center"/>
          </w:tcPr>
          <w:p>
            <w:pPr>
              <w:ind w:firstLine="640" w:firstLineChars="200"/>
              <w:rPr>
                <w:rFonts w:ascii="仿宋_GB2312" w:eastAsia="仿宋_GB2312" w:cs="Times New Roman"/>
                <w:sz w:val="32"/>
                <w:szCs w:val="32"/>
              </w:rPr>
            </w:pPr>
          </w:p>
        </w:tc>
        <w:tc>
          <w:tcPr>
            <w:tcW w:w="1141" w:type="dxa"/>
            <w:vMerge w:val="continue"/>
            <w:vAlign w:val="center"/>
          </w:tcPr>
          <w:p>
            <w:pPr>
              <w:ind w:firstLine="640" w:firstLineChars="200"/>
              <w:rPr>
                <w:rFonts w:ascii="仿宋_GB2312" w:eastAsia="仿宋_GB2312" w:cs="Times New Roman"/>
                <w:sz w:val="32"/>
                <w:szCs w:val="32"/>
              </w:rPr>
            </w:pPr>
          </w:p>
        </w:tc>
        <w:tc>
          <w:tcPr>
            <w:tcW w:w="3164" w:type="dxa"/>
            <w:vAlign w:val="center"/>
          </w:tcPr>
          <w:p>
            <w:pPr>
              <w:ind w:firstLine="640" w:firstLineChars="200"/>
              <w:rPr>
                <w:rFonts w:ascii="仿宋_GB2312" w:eastAsia="仿宋_GB2312" w:cs="Times New Roman"/>
                <w:sz w:val="32"/>
                <w:szCs w:val="32"/>
              </w:rPr>
            </w:pPr>
            <w:r>
              <w:rPr>
                <w:rFonts w:hint="eastAsia" w:ascii="仿宋_GB2312" w:eastAsia="仿宋_GB2312" w:cs="仿宋_GB2312"/>
                <w:sz w:val="32"/>
                <w:szCs w:val="32"/>
              </w:rPr>
              <w:t>计算机应用技术（与湖北美和易思教育科技有限公司合作）</w:t>
            </w:r>
          </w:p>
        </w:tc>
        <w:tc>
          <w:tcPr>
            <w:tcW w:w="915" w:type="dxa"/>
            <w:vAlign w:val="center"/>
          </w:tcPr>
          <w:p>
            <w:pPr>
              <w:rPr>
                <w:rFonts w:ascii="仿宋_GB2312" w:eastAsia="仿宋_GB2312" w:cs="仿宋_GB2312"/>
                <w:sz w:val="32"/>
                <w:szCs w:val="32"/>
              </w:rPr>
            </w:pPr>
            <w:r>
              <w:rPr>
                <w:rFonts w:ascii="仿宋_GB2312" w:eastAsia="仿宋_GB2312" w:cs="仿宋_GB2312"/>
                <w:sz w:val="32"/>
                <w:szCs w:val="32"/>
              </w:rPr>
              <w:t>20</w:t>
            </w:r>
          </w:p>
        </w:tc>
        <w:tc>
          <w:tcPr>
            <w:tcW w:w="1230" w:type="dxa"/>
            <w:vAlign w:val="center"/>
          </w:tcPr>
          <w:p>
            <w:pPr>
              <w:ind w:firstLine="640" w:firstLineChars="200"/>
              <w:rPr>
                <w:rFonts w:ascii="仿宋_GB2312" w:eastAsia="仿宋_GB2312" w:cs="Times New Roman"/>
                <w:sz w:val="32"/>
                <w:szCs w:val="32"/>
              </w:rPr>
            </w:pPr>
          </w:p>
        </w:tc>
        <w:tc>
          <w:tcPr>
            <w:tcW w:w="1035" w:type="dxa"/>
            <w:vAlign w:val="center"/>
          </w:tcPr>
          <w:p>
            <w:pPr>
              <w:ind w:firstLine="640" w:firstLineChars="200"/>
              <w:rPr>
                <w:rFonts w:ascii="仿宋_GB2312"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1053" w:type="dxa"/>
            <w:vMerge w:val="continue"/>
            <w:vAlign w:val="center"/>
          </w:tcPr>
          <w:p>
            <w:pPr>
              <w:ind w:firstLine="640" w:firstLineChars="200"/>
              <w:rPr>
                <w:rFonts w:ascii="仿宋_GB2312" w:eastAsia="仿宋_GB2312" w:cs="Times New Roman"/>
                <w:sz w:val="32"/>
                <w:szCs w:val="32"/>
              </w:rPr>
            </w:pPr>
          </w:p>
        </w:tc>
        <w:tc>
          <w:tcPr>
            <w:tcW w:w="1141" w:type="dxa"/>
            <w:vMerge w:val="continue"/>
            <w:vAlign w:val="center"/>
          </w:tcPr>
          <w:p>
            <w:pPr>
              <w:ind w:firstLine="640" w:firstLineChars="200"/>
              <w:rPr>
                <w:rFonts w:ascii="仿宋_GB2312" w:eastAsia="仿宋_GB2312" w:cs="Times New Roman"/>
                <w:sz w:val="32"/>
                <w:szCs w:val="32"/>
              </w:rPr>
            </w:pPr>
          </w:p>
        </w:tc>
        <w:tc>
          <w:tcPr>
            <w:tcW w:w="3164" w:type="dxa"/>
            <w:vAlign w:val="center"/>
          </w:tcPr>
          <w:p>
            <w:pPr>
              <w:ind w:firstLine="640" w:firstLineChars="200"/>
              <w:rPr>
                <w:rFonts w:ascii="仿宋_GB2312" w:eastAsia="仿宋_GB2312" w:cs="Times New Roman"/>
                <w:sz w:val="32"/>
                <w:szCs w:val="32"/>
              </w:rPr>
            </w:pPr>
            <w:r>
              <w:rPr>
                <w:rFonts w:hint="eastAsia" w:ascii="仿宋_GB2312" w:eastAsia="仿宋_GB2312" w:cs="仿宋_GB2312"/>
                <w:sz w:val="32"/>
                <w:szCs w:val="32"/>
              </w:rPr>
              <w:t>小计</w:t>
            </w:r>
          </w:p>
        </w:tc>
        <w:tc>
          <w:tcPr>
            <w:tcW w:w="915" w:type="dxa"/>
            <w:vAlign w:val="center"/>
          </w:tcPr>
          <w:p>
            <w:pPr>
              <w:rPr>
                <w:rFonts w:ascii="仿宋_GB2312" w:eastAsia="仿宋_GB2312" w:cs="仿宋_GB2312"/>
                <w:sz w:val="32"/>
                <w:szCs w:val="32"/>
              </w:rPr>
            </w:pPr>
            <w:r>
              <w:rPr>
                <w:rFonts w:ascii="仿宋_GB2312" w:eastAsia="仿宋_GB2312" w:cs="仿宋_GB2312"/>
                <w:sz w:val="32"/>
                <w:szCs w:val="32"/>
              </w:rPr>
              <w:t>55</w:t>
            </w:r>
          </w:p>
        </w:tc>
        <w:tc>
          <w:tcPr>
            <w:tcW w:w="1230" w:type="dxa"/>
            <w:vAlign w:val="center"/>
          </w:tcPr>
          <w:p>
            <w:pPr>
              <w:ind w:firstLine="640" w:firstLineChars="200"/>
              <w:rPr>
                <w:rFonts w:ascii="仿宋_GB2312" w:eastAsia="仿宋_GB2312" w:cs="仿宋_GB2312"/>
                <w:sz w:val="32"/>
                <w:szCs w:val="32"/>
              </w:rPr>
            </w:pPr>
            <w:r>
              <w:rPr>
                <w:rFonts w:ascii="仿宋_GB2312" w:eastAsia="仿宋_GB2312" w:cs="仿宋_GB2312"/>
                <w:sz w:val="32"/>
                <w:szCs w:val="32"/>
              </w:rPr>
              <w:t>25</w:t>
            </w:r>
          </w:p>
        </w:tc>
        <w:tc>
          <w:tcPr>
            <w:tcW w:w="1035" w:type="dxa"/>
            <w:vAlign w:val="center"/>
          </w:tcPr>
          <w:p>
            <w:pPr>
              <w:rPr>
                <w:rFonts w:ascii="仿宋_GB2312" w:eastAsia="仿宋_GB2312" w:cs="仿宋_GB2312"/>
                <w:sz w:val="32"/>
                <w:szCs w:val="32"/>
              </w:rPr>
            </w:pPr>
            <w:r>
              <w:rPr>
                <w:rFonts w:ascii="仿宋_GB2312" w:eastAsia="仿宋_GB2312" w:cs="仿宋_GB2312"/>
                <w:sz w:val="32"/>
                <w:szCs w:val="32"/>
              </w:rPr>
              <w:t>240</w:t>
            </w:r>
          </w:p>
        </w:tc>
      </w:tr>
    </w:tbl>
    <w:p>
      <w:pPr>
        <w:pStyle w:val="4"/>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30" w:lineRule="atLeast"/>
        <w:ind w:left="0" w:firstLine="646"/>
        <w:jc w:val="center"/>
        <w:textAlignment w:val="auto"/>
        <w:rPr>
          <w:rFonts w:hint="eastAsia" w:ascii="仿宋" w:hAnsi="仿宋" w:eastAsia="仿宋" w:cs="仿宋"/>
          <w:b/>
          <w:bCs/>
          <w:i w:val="0"/>
          <w:caps w:val="0"/>
          <w:color w:val="000000"/>
          <w:spacing w:val="0"/>
          <w:sz w:val="28"/>
          <w:szCs w:val="28"/>
        </w:rPr>
      </w:pPr>
      <w:r>
        <w:rPr>
          <w:rFonts w:hint="eastAsia" w:ascii="仿宋" w:hAnsi="仿宋" w:eastAsia="仿宋" w:cs="仿宋"/>
          <w:b/>
          <w:bCs/>
          <w:i w:val="0"/>
          <w:caps w:val="0"/>
          <w:color w:val="000000"/>
          <w:spacing w:val="0"/>
          <w:sz w:val="28"/>
          <w:szCs w:val="28"/>
        </w:rPr>
        <w:t>第五章  报考条件与考试安排</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rPr>
      </w:pPr>
      <w:r>
        <w:rPr>
          <w:rFonts w:hint="eastAsia" w:ascii="仿宋" w:hAnsi="仿宋" w:eastAsia="仿宋" w:cs="仿宋"/>
          <w:b w:val="0"/>
          <w:i w:val="0"/>
          <w:caps w:val="0"/>
          <w:color w:val="000000"/>
          <w:spacing w:val="0"/>
          <w:sz w:val="24"/>
          <w:szCs w:val="24"/>
        </w:rPr>
        <w:t>一、招生对象</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rPr>
      </w:pPr>
      <w:r>
        <w:rPr>
          <w:rFonts w:hint="eastAsia" w:ascii="仿宋" w:hAnsi="仿宋" w:eastAsia="仿宋" w:cs="仿宋"/>
          <w:b w:val="0"/>
          <w:i w:val="0"/>
          <w:caps w:val="0"/>
          <w:color w:val="000000"/>
          <w:spacing w:val="0"/>
          <w:sz w:val="24"/>
          <w:szCs w:val="24"/>
        </w:rPr>
        <w:t>高中阶段学校（含普通高中、职业高中、职业中专、普通中专、成人中专、技工学校，下同）应届毕业生，简称A类；退役军人，简称B类；下岗失业人员、农民工、农民、在岗职工等，简称C类。</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rPr>
      </w:pPr>
      <w:r>
        <w:rPr>
          <w:rFonts w:hint="eastAsia" w:ascii="仿宋" w:hAnsi="仿宋" w:eastAsia="仿宋" w:cs="仿宋"/>
          <w:b w:val="0"/>
          <w:i w:val="0"/>
          <w:caps w:val="0"/>
          <w:color w:val="000000"/>
          <w:spacing w:val="0"/>
          <w:sz w:val="24"/>
          <w:szCs w:val="24"/>
        </w:rPr>
        <w:t>二、报名条件</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rPr>
      </w:pPr>
      <w:r>
        <w:rPr>
          <w:rFonts w:hint="eastAsia" w:ascii="仿宋" w:hAnsi="仿宋" w:eastAsia="仿宋" w:cs="仿宋"/>
          <w:b w:val="0"/>
          <w:i w:val="0"/>
          <w:caps w:val="0"/>
          <w:color w:val="000000"/>
          <w:spacing w:val="0"/>
          <w:sz w:val="24"/>
          <w:szCs w:val="24"/>
        </w:rPr>
        <w:t>具有山东省户籍或在山东务工（需提供6个月以上劳动合同证明）、具有高中阶段学历或同等学力人员；非山东省户籍的就业人员随迁子女（含进城务工人员随迁子女）应具有山东省高中段学校学籍及完整学习经历，并合格毕业。已参加2019年我省春季高考或夏季高考考试的考生，不再参加本次单独招生报名及考试；A类不能报考B类、C类。</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rPr>
      </w:pPr>
      <w:r>
        <w:rPr>
          <w:rFonts w:hint="eastAsia" w:ascii="仿宋" w:hAnsi="仿宋" w:eastAsia="仿宋" w:cs="仿宋"/>
          <w:b w:val="0"/>
          <w:i w:val="0"/>
          <w:caps w:val="0"/>
          <w:color w:val="000000"/>
          <w:spacing w:val="0"/>
          <w:sz w:val="24"/>
          <w:szCs w:val="24"/>
        </w:rPr>
        <w:t>三、资格审核及报名</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rPr>
      </w:pPr>
      <w:r>
        <w:rPr>
          <w:rFonts w:hint="eastAsia" w:ascii="仿宋" w:hAnsi="仿宋" w:eastAsia="仿宋" w:cs="仿宋"/>
          <w:b w:val="0"/>
          <w:i w:val="0"/>
          <w:caps w:val="0"/>
          <w:color w:val="000000"/>
          <w:spacing w:val="0"/>
          <w:sz w:val="24"/>
          <w:szCs w:val="24"/>
        </w:rPr>
        <w:t>各设区的市组织各县（市、区）结合“一次办好”，提供“一站式”服务。由县级人民政府牵头，教育、公安、人力资源社会保障、农业农村、退役军人事务、工会等相关部门参加，于8月3日—6日（每天工作时间9:00-17:00）在所在县（市、区）集中办公，集中开展学生资格审核、报名及高考报名费缴纳工作。</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rPr>
      </w:pPr>
      <w:r>
        <w:rPr>
          <w:rFonts w:hint="eastAsia" w:ascii="仿宋" w:hAnsi="仿宋" w:eastAsia="仿宋" w:cs="仿宋"/>
          <w:b w:val="0"/>
          <w:i w:val="0"/>
          <w:caps w:val="0"/>
          <w:color w:val="000000"/>
          <w:spacing w:val="0"/>
          <w:sz w:val="24"/>
          <w:szCs w:val="24"/>
        </w:rPr>
        <w:t>高中阶段应届毕业生报考，持本人身份证、户口本原件及复印件直接在集中办公现场进行报名、缴纳高考报名费。退役军人、失业人员和农民工、农民、企事业单位职工（含下岗职工，下同）报考，应首先在集中办公现场，分别到本人户籍（或在鲁务工）所在县（市、区）退役军人事务部门、人力资源社会保障部门、农业农村部门、工会设立的资格审核点，进行资格审核并开具《山东省高职院校扩招资格审核登记表》（见附件2，以下简称《资格审核登记表》），然后持本人身份证、户口本原件及复印件和《资格审核登记表》进行现场报名、缴纳高考报名费。资格审核时，退役军人、在山东务工人员还需分别携带本人退役证原件及复印件、劳动合同证明原件及复印件。</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rPr>
      </w:pPr>
      <w:r>
        <w:rPr>
          <w:rFonts w:hint="eastAsia" w:ascii="仿宋" w:hAnsi="仿宋" w:eastAsia="仿宋" w:cs="仿宋"/>
          <w:b w:val="0"/>
          <w:i w:val="0"/>
          <w:caps w:val="0"/>
          <w:color w:val="000000"/>
          <w:spacing w:val="0"/>
          <w:sz w:val="24"/>
          <w:szCs w:val="24"/>
        </w:rPr>
        <w:t>四、志愿填报</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rPr>
      </w:pPr>
      <w:r>
        <w:rPr>
          <w:rFonts w:hint="eastAsia" w:ascii="仿宋" w:hAnsi="仿宋" w:eastAsia="仿宋" w:cs="仿宋"/>
          <w:b w:val="0"/>
          <w:i w:val="0"/>
          <w:caps w:val="0"/>
          <w:color w:val="000000"/>
          <w:spacing w:val="0"/>
          <w:sz w:val="24"/>
          <w:szCs w:val="24"/>
        </w:rPr>
        <w:t>考生需登录省教育招生考试院高职单招填报志愿平台（网址：http://wsbm.sdzk.cn/gzdz/）填报志愿。考生可填报两次志愿，第1次为首次志愿，志愿填报时间为8月9日-11日（每天8:00—20:00）；第2次为征集志愿，志愿填报时间为9月12日（8:00—20:00）。首次志愿和征集志愿均填报“1个学校+1个专业（类）”志愿；征集志愿同时填报院校、专业是否服从调剂志愿。</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rPr>
      </w:pPr>
      <w:r>
        <w:rPr>
          <w:rFonts w:hint="eastAsia" w:ascii="仿宋" w:hAnsi="仿宋" w:eastAsia="仿宋" w:cs="仿宋"/>
          <w:b w:val="0"/>
          <w:i w:val="0"/>
          <w:caps w:val="0"/>
          <w:color w:val="000000"/>
          <w:spacing w:val="0"/>
          <w:sz w:val="24"/>
          <w:szCs w:val="24"/>
        </w:rPr>
        <w:t>五、信息确认、缴费及查看考场：</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rPr>
      </w:pPr>
      <w:r>
        <w:rPr>
          <w:rFonts w:hint="eastAsia" w:ascii="仿宋" w:hAnsi="仿宋" w:eastAsia="仿宋" w:cs="仿宋"/>
          <w:b w:val="0"/>
          <w:i w:val="0"/>
          <w:caps w:val="0"/>
          <w:color w:val="000000"/>
          <w:spacing w:val="0"/>
          <w:sz w:val="24"/>
          <w:szCs w:val="24"/>
        </w:rPr>
        <w:t>首次志愿填报结束后，考生须在考试的前一天持个人身份证到我院教务楼一楼招生办公室完成信息确认、打印准考证、免交考试费用。</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rPr>
      </w:pPr>
      <w:r>
        <w:rPr>
          <w:rFonts w:hint="eastAsia" w:ascii="仿宋" w:hAnsi="仿宋" w:eastAsia="仿宋" w:cs="仿宋"/>
          <w:b w:val="0"/>
          <w:i w:val="0"/>
          <w:caps w:val="0"/>
          <w:color w:val="000000"/>
          <w:spacing w:val="0"/>
          <w:sz w:val="24"/>
          <w:szCs w:val="24"/>
        </w:rPr>
        <w:t>六、考试安排及成绩上报</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rPr>
      </w:pPr>
      <w:r>
        <w:rPr>
          <w:rFonts w:hint="eastAsia" w:ascii="仿宋" w:hAnsi="仿宋" w:eastAsia="仿宋" w:cs="仿宋"/>
          <w:b w:val="0"/>
          <w:i w:val="0"/>
          <w:caps w:val="0"/>
          <w:color w:val="000000"/>
          <w:spacing w:val="0"/>
          <w:sz w:val="24"/>
          <w:szCs w:val="24"/>
        </w:rPr>
        <w:t>（一）考试时间：8月27日9:00-11:30。</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rPr>
      </w:pPr>
      <w:r>
        <w:rPr>
          <w:rFonts w:hint="eastAsia" w:ascii="仿宋" w:hAnsi="仿宋" w:eastAsia="仿宋" w:cs="仿宋"/>
          <w:b w:val="0"/>
          <w:i w:val="0"/>
          <w:caps w:val="0"/>
          <w:color w:val="000000"/>
          <w:spacing w:val="0"/>
          <w:sz w:val="24"/>
          <w:szCs w:val="24"/>
        </w:rPr>
        <w:t>（二）考试地点：山东工业职业学院</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rPr>
      </w:pPr>
      <w:r>
        <w:rPr>
          <w:rFonts w:hint="eastAsia" w:ascii="仿宋" w:hAnsi="仿宋" w:eastAsia="仿宋" w:cs="仿宋"/>
          <w:b w:val="0"/>
          <w:i w:val="0"/>
          <w:caps w:val="0"/>
          <w:color w:val="000000"/>
          <w:spacing w:val="0"/>
          <w:sz w:val="24"/>
          <w:szCs w:val="24"/>
        </w:rPr>
        <w:t>（三）A类考生考试内容为文化素质和专业技能，其中，文化素质320分，专业技能430分。</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rPr>
      </w:pPr>
      <w:r>
        <w:rPr>
          <w:rFonts w:hint="eastAsia" w:ascii="仿宋" w:hAnsi="仿宋" w:eastAsia="仿宋" w:cs="仿宋"/>
          <w:b w:val="0"/>
          <w:i w:val="0"/>
          <w:caps w:val="0"/>
          <w:color w:val="000000"/>
          <w:spacing w:val="0"/>
          <w:sz w:val="24"/>
          <w:szCs w:val="24"/>
        </w:rPr>
        <w:t>B类、C类考生免予文化素质考试，只参加学校组织的与报考专业相关的职业适应性测试或面试，总分750分，分心理素质、身体条件、职业能力倾向、技术技能基础四部分。</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rPr>
      </w:pPr>
      <w:r>
        <w:rPr>
          <w:rFonts w:hint="eastAsia" w:ascii="仿宋" w:hAnsi="仿宋" w:eastAsia="仿宋" w:cs="仿宋"/>
          <w:b w:val="0"/>
          <w:i w:val="0"/>
          <w:caps w:val="0"/>
          <w:color w:val="000000"/>
          <w:spacing w:val="0"/>
          <w:sz w:val="24"/>
          <w:szCs w:val="24"/>
        </w:rPr>
        <w:t>（四）考试结束后，学校将所有考生成绩于9月5日前通过省阳光招考数据管理平台（网址：http://ygpt.sdzk.cn）报省教育招生考试院。</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rPr>
      </w:pPr>
      <w:r>
        <w:rPr>
          <w:rFonts w:hint="eastAsia" w:ascii="仿宋" w:hAnsi="仿宋" w:eastAsia="仿宋" w:cs="仿宋"/>
          <w:b w:val="0"/>
          <w:i w:val="0"/>
          <w:caps w:val="0"/>
          <w:color w:val="000000"/>
          <w:spacing w:val="0"/>
          <w:sz w:val="24"/>
          <w:szCs w:val="24"/>
        </w:rPr>
        <w:t>七、命题、评分与录取</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rPr>
      </w:pPr>
      <w:r>
        <w:rPr>
          <w:rFonts w:hint="eastAsia" w:ascii="仿宋" w:hAnsi="仿宋" w:eastAsia="仿宋" w:cs="仿宋"/>
          <w:b w:val="0"/>
          <w:i w:val="0"/>
          <w:caps w:val="0"/>
          <w:color w:val="000000"/>
          <w:spacing w:val="0"/>
          <w:sz w:val="24"/>
          <w:szCs w:val="24"/>
        </w:rPr>
        <w:t>（一）命题：考试试题及评分标准，按《山东省2019年普通高等学校招生考试实施意见》组织专家制定。</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rPr>
      </w:pPr>
      <w:r>
        <w:rPr>
          <w:rFonts w:hint="eastAsia" w:ascii="仿宋" w:hAnsi="仿宋" w:eastAsia="仿宋" w:cs="仿宋"/>
          <w:b w:val="0"/>
          <w:i w:val="0"/>
          <w:caps w:val="0"/>
          <w:color w:val="000000"/>
          <w:spacing w:val="0"/>
          <w:sz w:val="24"/>
          <w:szCs w:val="24"/>
        </w:rPr>
        <w:t>（二）评分：依据《山东工业职业学院2019年第二批单独招生考核实施细则》中规定的办法和程序评定，学院纪检部门对考核、评分全过程实施监控监督，确保考核、评分工作的公平、公正。</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rPr>
      </w:pPr>
      <w:r>
        <w:rPr>
          <w:rFonts w:hint="eastAsia" w:ascii="仿宋" w:hAnsi="仿宋" w:eastAsia="仿宋" w:cs="仿宋"/>
          <w:b w:val="0"/>
          <w:i w:val="0"/>
          <w:caps w:val="0"/>
          <w:color w:val="000000"/>
          <w:spacing w:val="0"/>
          <w:sz w:val="24"/>
          <w:szCs w:val="24"/>
        </w:rPr>
        <w:t>（三）录取：实行由学校负责的体制，按照“分数优先、遵循志愿”的原则，按计划数1：1的比例划定录取控制分数线，按考生志愿从高分到低分顺序录取。报考人数少的专业，从相近专业中在服从调剂的考生中做适当调整。考生录取后，原则上一般不更改专业。</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rPr>
      </w:pPr>
      <w:r>
        <w:rPr>
          <w:rFonts w:hint="eastAsia" w:ascii="仿宋" w:hAnsi="仿宋" w:eastAsia="仿宋" w:cs="仿宋"/>
          <w:b w:val="0"/>
          <w:i w:val="0"/>
          <w:caps w:val="0"/>
          <w:color w:val="000000"/>
          <w:spacing w:val="0"/>
          <w:sz w:val="24"/>
          <w:szCs w:val="24"/>
        </w:rPr>
        <w:t>（四）确定预录取名单：录取组根据考生的录取成绩及考生身体状况提出预录取名单，报学院第二批单独招生工作领导小组审核、批准。</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rPr>
      </w:pPr>
      <w:r>
        <w:rPr>
          <w:rFonts w:hint="eastAsia" w:ascii="仿宋" w:hAnsi="仿宋" w:eastAsia="仿宋" w:cs="仿宋"/>
          <w:b w:val="0"/>
          <w:i w:val="0"/>
          <w:caps w:val="0"/>
          <w:color w:val="000000"/>
          <w:spacing w:val="0"/>
          <w:sz w:val="24"/>
          <w:szCs w:val="24"/>
        </w:rPr>
        <w:t>（五）公示预录取名单：在规定时间内由我院第二批单独招生领导小组将预录取考生名单在招生信息网公示。</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rPr>
      </w:pPr>
      <w:r>
        <w:rPr>
          <w:rFonts w:hint="eastAsia" w:ascii="仿宋" w:hAnsi="仿宋" w:eastAsia="仿宋" w:cs="仿宋"/>
          <w:b w:val="0"/>
          <w:i w:val="0"/>
          <w:caps w:val="0"/>
          <w:color w:val="000000"/>
          <w:spacing w:val="0"/>
          <w:sz w:val="24"/>
          <w:szCs w:val="24"/>
        </w:rPr>
        <w:t>八、教学安排</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rPr>
      </w:pPr>
      <w:r>
        <w:rPr>
          <w:rFonts w:hint="eastAsia" w:ascii="仿宋" w:hAnsi="仿宋" w:eastAsia="仿宋" w:cs="仿宋"/>
          <w:b w:val="0"/>
          <w:i w:val="0"/>
          <w:caps w:val="0"/>
          <w:color w:val="000000"/>
          <w:spacing w:val="0"/>
          <w:sz w:val="24"/>
          <w:szCs w:val="24"/>
        </w:rPr>
        <w:t>（一）对录取的A类学生，与通过高考入学的高中阶段学生一同培养。</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rPr>
      </w:pPr>
      <w:r>
        <w:rPr>
          <w:rFonts w:hint="eastAsia" w:ascii="仿宋" w:hAnsi="仿宋" w:eastAsia="仿宋" w:cs="仿宋"/>
          <w:b w:val="0"/>
          <w:i w:val="0"/>
          <w:caps w:val="0"/>
          <w:color w:val="000000"/>
          <w:spacing w:val="0"/>
          <w:sz w:val="24"/>
          <w:szCs w:val="24"/>
        </w:rPr>
        <w:t>（二）对录取的B类、C类学生，按照“标准不降、模式多元、学制灵活”原则，根据全日制普通高职院校人才培养目标、规格，视情况单独制定人才培养方案、集中教学和分散教学相结合、在校学习和社区（企业）学习、“送教上门”相结合，积极探索与行业企业联合开展教学、学徒制人才培养、订单培养等模式，考核以全日制高职相同专业实施的课程标准为依据。积极探索 “1+X”证书试点，健全以证代考制度，取得相应职业技能等级证书、职业资格证书和行业企业实践经历，可记入本人的学业学分。</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rPr>
      </w:pPr>
      <w:r>
        <w:rPr>
          <w:rFonts w:hint="eastAsia" w:ascii="仿宋" w:hAnsi="仿宋" w:eastAsia="仿宋" w:cs="仿宋"/>
          <w:b w:val="0"/>
          <w:i w:val="0"/>
          <w:caps w:val="0"/>
          <w:color w:val="000000"/>
          <w:spacing w:val="0"/>
          <w:sz w:val="24"/>
          <w:szCs w:val="24"/>
        </w:rPr>
        <w:t>九、学生管理</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rPr>
      </w:pPr>
      <w:r>
        <w:rPr>
          <w:rFonts w:hint="eastAsia" w:ascii="仿宋" w:hAnsi="仿宋" w:eastAsia="仿宋" w:cs="仿宋"/>
          <w:b w:val="0"/>
          <w:i w:val="0"/>
          <w:caps w:val="0"/>
          <w:color w:val="000000"/>
          <w:spacing w:val="0"/>
          <w:sz w:val="24"/>
          <w:szCs w:val="24"/>
        </w:rPr>
        <w:t>实施分类管理，对录取的A类学生，与通过高考入学的高中阶段学生一同管理。对录取的B类、C类学生，结合学生特点，适应不同生源、不同学习时间、不同学习方式，制定有针对性的学生管理办法，统筹管理，分类指导，并安排专门人员负责学生教育管理各项工作；实行弹性学制、弹性学期、弹性学时，学生的学业年限既可以2-3年，也可放宽至3-6年。</w:t>
      </w:r>
    </w:p>
    <w:p>
      <w:pPr>
        <w:pStyle w:val="4"/>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30" w:lineRule="atLeast"/>
        <w:ind w:left="0" w:firstLine="646"/>
        <w:jc w:val="center"/>
        <w:textAlignment w:val="auto"/>
        <w:rPr>
          <w:rFonts w:hint="eastAsia" w:ascii="仿宋" w:hAnsi="仿宋" w:eastAsia="仿宋" w:cs="仿宋"/>
          <w:b/>
          <w:bCs/>
          <w:i w:val="0"/>
          <w:caps w:val="0"/>
          <w:color w:val="000000"/>
          <w:spacing w:val="0"/>
          <w:sz w:val="28"/>
          <w:szCs w:val="28"/>
        </w:rPr>
      </w:pPr>
      <w:r>
        <w:rPr>
          <w:rFonts w:hint="eastAsia" w:ascii="仿宋" w:hAnsi="仿宋" w:eastAsia="仿宋" w:cs="仿宋"/>
          <w:b/>
          <w:bCs/>
          <w:i w:val="0"/>
          <w:caps w:val="0"/>
          <w:color w:val="000000"/>
          <w:spacing w:val="0"/>
          <w:sz w:val="28"/>
          <w:szCs w:val="28"/>
        </w:rPr>
        <w:t>第六章  收费退费与奖助政策</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rPr>
      </w:pPr>
      <w:r>
        <w:rPr>
          <w:rFonts w:hint="eastAsia" w:ascii="仿宋" w:hAnsi="仿宋" w:eastAsia="仿宋" w:cs="仿宋"/>
          <w:b w:val="0"/>
          <w:i w:val="0"/>
          <w:caps w:val="0"/>
          <w:color w:val="000000"/>
          <w:spacing w:val="0"/>
          <w:sz w:val="24"/>
          <w:szCs w:val="24"/>
        </w:rPr>
        <w:t>一、收费标准</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rPr>
      </w:pPr>
      <w:r>
        <w:rPr>
          <w:rFonts w:hint="eastAsia" w:ascii="仿宋" w:hAnsi="仿宋" w:eastAsia="仿宋" w:cs="仿宋"/>
          <w:b w:val="0"/>
          <w:i w:val="0"/>
          <w:caps w:val="0"/>
          <w:color w:val="000000"/>
          <w:spacing w:val="0"/>
          <w:sz w:val="24"/>
          <w:szCs w:val="24"/>
        </w:rPr>
        <w:t>（一）A类学生：执行山东省物价局、财政厅的有关规定，理科5000元/年、文科4800元/年，校企订单班8800元/年，住宿费800元/年。</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rPr>
      </w:pPr>
      <w:r>
        <w:rPr>
          <w:rFonts w:hint="eastAsia" w:ascii="仿宋" w:hAnsi="仿宋" w:eastAsia="仿宋" w:cs="仿宋"/>
          <w:b w:val="0"/>
          <w:i w:val="0"/>
          <w:caps w:val="0"/>
          <w:color w:val="000000"/>
          <w:spacing w:val="0"/>
          <w:sz w:val="24"/>
          <w:szCs w:val="24"/>
        </w:rPr>
        <w:t>（二）B类、C类学生：执行《山东省高等职业院校扩招实施方案》（鲁教职发〔2019〕1号）中的相关规定。</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rPr>
      </w:pPr>
      <w:r>
        <w:rPr>
          <w:rFonts w:hint="eastAsia" w:ascii="仿宋" w:hAnsi="仿宋" w:eastAsia="仿宋" w:cs="仿宋"/>
          <w:b w:val="0"/>
          <w:i w:val="0"/>
          <w:caps w:val="0"/>
          <w:color w:val="000000"/>
          <w:spacing w:val="0"/>
          <w:sz w:val="24"/>
          <w:szCs w:val="24"/>
        </w:rPr>
        <w:t>二、退费：</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rPr>
      </w:pPr>
      <w:r>
        <w:rPr>
          <w:rFonts w:hint="eastAsia" w:ascii="仿宋" w:hAnsi="仿宋" w:eastAsia="仿宋" w:cs="仿宋"/>
          <w:b w:val="0"/>
          <w:i w:val="0"/>
          <w:caps w:val="0"/>
          <w:color w:val="000000"/>
          <w:spacing w:val="0"/>
          <w:sz w:val="24"/>
          <w:szCs w:val="24"/>
        </w:rPr>
        <w:t>退费按照《山东省高等学校收费管理暂行办法》（鲁政办发[2018]98号）文件规定执行。</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rPr>
      </w:pPr>
      <w:r>
        <w:rPr>
          <w:rFonts w:hint="eastAsia" w:ascii="仿宋" w:hAnsi="仿宋" w:eastAsia="仿宋" w:cs="仿宋"/>
          <w:b w:val="0"/>
          <w:i w:val="0"/>
          <w:caps w:val="0"/>
          <w:color w:val="000000"/>
          <w:spacing w:val="0"/>
          <w:sz w:val="24"/>
          <w:szCs w:val="24"/>
        </w:rPr>
        <w:t>三、资助政策：</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rPr>
      </w:pPr>
      <w:r>
        <w:rPr>
          <w:rFonts w:hint="eastAsia" w:ascii="仿宋" w:hAnsi="仿宋" w:eastAsia="仿宋" w:cs="仿宋"/>
          <w:b w:val="0"/>
          <w:i w:val="0"/>
          <w:caps w:val="0"/>
          <w:color w:val="000000"/>
          <w:spacing w:val="0"/>
          <w:sz w:val="24"/>
          <w:szCs w:val="24"/>
        </w:rPr>
        <w:t>执行《山东省高等职业院校扩招实施方案》（鲁教职发〔2019〕1号）中的相关规定和学院有关资助办法。</w:t>
      </w:r>
    </w:p>
    <w:p>
      <w:pPr>
        <w:pStyle w:val="4"/>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30" w:lineRule="atLeast"/>
        <w:ind w:left="0" w:firstLine="646"/>
        <w:jc w:val="center"/>
        <w:textAlignment w:val="auto"/>
        <w:rPr>
          <w:rFonts w:hint="eastAsia" w:ascii="仿宋" w:hAnsi="仿宋" w:eastAsia="仿宋" w:cs="仿宋"/>
          <w:b/>
          <w:bCs/>
          <w:i w:val="0"/>
          <w:caps w:val="0"/>
          <w:color w:val="000000"/>
          <w:spacing w:val="0"/>
          <w:sz w:val="28"/>
          <w:szCs w:val="28"/>
        </w:rPr>
      </w:pPr>
      <w:r>
        <w:rPr>
          <w:rFonts w:hint="eastAsia" w:ascii="仿宋" w:hAnsi="仿宋" w:eastAsia="仿宋" w:cs="仿宋"/>
          <w:b/>
          <w:bCs/>
          <w:i w:val="0"/>
          <w:caps w:val="0"/>
          <w:color w:val="000000"/>
          <w:spacing w:val="0"/>
          <w:sz w:val="28"/>
          <w:szCs w:val="28"/>
        </w:rPr>
        <w:t>第七章  资格复查与证书颁发</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rPr>
      </w:pPr>
      <w:r>
        <w:rPr>
          <w:rFonts w:hint="eastAsia" w:ascii="仿宋" w:hAnsi="仿宋" w:eastAsia="仿宋" w:cs="仿宋"/>
          <w:b w:val="0"/>
          <w:i w:val="0"/>
          <w:caps w:val="0"/>
          <w:color w:val="000000"/>
          <w:spacing w:val="0"/>
          <w:sz w:val="24"/>
          <w:szCs w:val="24"/>
        </w:rPr>
        <w:t>一、第二批单招录取新生名单于规定时间内在学院招生网予以公布。入学后，按照规定进行政治、文化、健康等方面的入学资格复查。</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rPr>
      </w:pPr>
      <w:r>
        <w:rPr>
          <w:rFonts w:hint="eastAsia" w:ascii="仿宋" w:hAnsi="仿宋" w:eastAsia="仿宋" w:cs="仿宋"/>
          <w:b w:val="0"/>
          <w:i w:val="0"/>
          <w:caps w:val="0"/>
          <w:color w:val="000000"/>
          <w:spacing w:val="0"/>
          <w:sz w:val="24"/>
          <w:szCs w:val="24"/>
        </w:rPr>
        <w:t>二、对复查中发现的在报名和考试过程中弄虚作假或有其他违纪违规行为的考生，将报山东省教育招生考试院，取消其入学资格，并将其档案退回其户籍所在地。</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rPr>
      </w:pPr>
      <w:r>
        <w:rPr>
          <w:rFonts w:hint="eastAsia" w:ascii="仿宋" w:hAnsi="仿宋" w:eastAsia="仿宋" w:cs="仿宋"/>
          <w:b w:val="0"/>
          <w:i w:val="0"/>
          <w:caps w:val="0"/>
          <w:color w:val="000000"/>
          <w:spacing w:val="0"/>
          <w:sz w:val="24"/>
          <w:szCs w:val="24"/>
        </w:rPr>
        <w:t>三、修完教育教学计划规定内容，成绩合格，达到学校毕业要求的，由学校颁发普通全日制专科毕业证书，与普通学生毕业证书相同。</w:t>
      </w:r>
    </w:p>
    <w:p>
      <w:pPr>
        <w:pStyle w:val="4"/>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30" w:lineRule="atLeast"/>
        <w:ind w:left="0" w:firstLine="646"/>
        <w:jc w:val="center"/>
        <w:textAlignment w:val="auto"/>
        <w:rPr>
          <w:rFonts w:hint="eastAsia" w:ascii="仿宋" w:hAnsi="仿宋" w:eastAsia="仿宋" w:cs="仿宋"/>
          <w:b/>
          <w:bCs/>
          <w:i w:val="0"/>
          <w:caps w:val="0"/>
          <w:color w:val="000000"/>
          <w:spacing w:val="0"/>
          <w:sz w:val="28"/>
          <w:szCs w:val="28"/>
        </w:rPr>
      </w:pPr>
      <w:r>
        <w:rPr>
          <w:rFonts w:hint="eastAsia" w:ascii="仿宋" w:hAnsi="仿宋" w:eastAsia="仿宋" w:cs="仿宋"/>
          <w:b/>
          <w:bCs/>
          <w:i w:val="0"/>
          <w:caps w:val="0"/>
          <w:color w:val="000000"/>
          <w:spacing w:val="0"/>
          <w:sz w:val="28"/>
          <w:szCs w:val="28"/>
        </w:rPr>
        <w:t>第八章  其 它</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rPr>
      </w:pPr>
      <w:bookmarkStart w:id="0" w:name="_GoBack"/>
      <w:r>
        <w:rPr>
          <w:rFonts w:hint="eastAsia" w:ascii="仿宋" w:hAnsi="仿宋" w:eastAsia="仿宋" w:cs="仿宋"/>
          <w:b w:val="0"/>
          <w:i w:val="0"/>
          <w:caps w:val="0"/>
          <w:color w:val="000000"/>
          <w:spacing w:val="0"/>
          <w:sz w:val="24"/>
          <w:szCs w:val="24"/>
        </w:rPr>
        <w:t>一、学院不委托任何机构和个人办理招生相关事宜。对以山东工业职业学院名义进行非法招生宣传等活动的机构或个人，学校保留依法追究其责任的权利。</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rPr>
      </w:pPr>
      <w:r>
        <w:rPr>
          <w:rFonts w:hint="eastAsia" w:ascii="仿宋" w:hAnsi="仿宋" w:eastAsia="仿宋" w:cs="仿宋"/>
          <w:b w:val="0"/>
          <w:i w:val="0"/>
          <w:caps w:val="0"/>
          <w:color w:val="000000"/>
          <w:spacing w:val="0"/>
          <w:sz w:val="24"/>
          <w:szCs w:val="24"/>
        </w:rPr>
        <w:t>二、如对第二批单招存在异议，可来招生办公室或纪检部门进行申诉；也可致电0533—8407077、8407067申诉。</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rPr>
      </w:pPr>
      <w:r>
        <w:rPr>
          <w:rFonts w:hint="eastAsia" w:ascii="仿宋" w:hAnsi="仿宋" w:eastAsia="仿宋" w:cs="仿宋"/>
          <w:b w:val="0"/>
          <w:i w:val="0"/>
          <w:caps w:val="0"/>
          <w:color w:val="000000"/>
          <w:spacing w:val="0"/>
          <w:sz w:val="24"/>
          <w:szCs w:val="24"/>
        </w:rPr>
        <w:t>三、本章程若有与上级有关政策不一致之处，以国家和上级有关政策为准。未尽事宜，按上级有关规定执行。</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rPr>
      </w:pPr>
      <w:r>
        <w:rPr>
          <w:rFonts w:hint="eastAsia" w:ascii="仿宋" w:hAnsi="仿宋" w:eastAsia="仿宋" w:cs="仿宋"/>
          <w:b w:val="0"/>
          <w:i w:val="0"/>
          <w:caps w:val="0"/>
          <w:color w:val="000000"/>
          <w:spacing w:val="0"/>
          <w:sz w:val="24"/>
          <w:szCs w:val="24"/>
        </w:rPr>
        <w:t>四、本章程由学院招生办公室负责解释。</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rPr>
      </w:pPr>
      <w:r>
        <w:rPr>
          <w:rFonts w:hint="eastAsia" w:ascii="仿宋" w:hAnsi="仿宋" w:eastAsia="仿宋" w:cs="仿宋"/>
          <w:b w:val="0"/>
          <w:i w:val="0"/>
          <w:caps w:val="0"/>
          <w:color w:val="000000"/>
          <w:spacing w:val="0"/>
          <w:sz w:val="24"/>
          <w:szCs w:val="24"/>
        </w:rPr>
        <w:t>第二批单招咨询方式：</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rPr>
      </w:pPr>
      <w:r>
        <w:rPr>
          <w:rFonts w:hint="eastAsia" w:ascii="仿宋" w:hAnsi="仿宋" w:eastAsia="仿宋" w:cs="仿宋"/>
          <w:b w:val="0"/>
          <w:i w:val="0"/>
          <w:caps w:val="0"/>
          <w:color w:val="000000"/>
          <w:spacing w:val="0"/>
          <w:sz w:val="24"/>
          <w:szCs w:val="24"/>
        </w:rPr>
        <w:t xml:space="preserve">咨询电话：0533－8407001（传真）、8407007、8407875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rPr>
      </w:pPr>
      <w:r>
        <w:rPr>
          <w:rFonts w:hint="eastAsia" w:ascii="仿宋" w:hAnsi="仿宋" w:eastAsia="仿宋" w:cs="仿宋"/>
          <w:b w:val="0"/>
          <w:i w:val="0"/>
          <w:caps w:val="0"/>
          <w:color w:val="000000"/>
          <w:spacing w:val="0"/>
          <w:sz w:val="24"/>
          <w:szCs w:val="24"/>
        </w:rPr>
        <w:t xml:space="preserve">学院网址：http://www.sdivc.edu.cn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rPr>
      </w:pPr>
      <w:r>
        <w:rPr>
          <w:rFonts w:hint="eastAsia" w:ascii="仿宋" w:hAnsi="仿宋" w:eastAsia="仿宋" w:cs="仿宋"/>
          <w:b w:val="0"/>
          <w:i w:val="0"/>
          <w:caps w:val="0"/>
          <w:color w:val="000000"/>
          <w:spacing w:val="0"/>
          <w:sz w:val="24"/>
          <w:szCs w:val="24"/>
        </w:rPr>
        <w:t>学院地址：山东省淄博市高新技术开发区（淄博高新区张北路69号）</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方正小标宋简体">
    <w:altName w:val="微软雅黑"/>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651C"/>
    <w:rsid w:val="0008157F"/>
    <w:rsid w:val="001315E0"/>
    <w:rsid w:val="00173E4E"/>
    <w:rsid w:val="00200496"/>
    <w:rsid w:val="002317F3"/>
    <w:rsid w:val="00233E62"/>
    <w:rsid w:val="00260433"/>
    <w:rsid w:val="002C07C1"/>
    <w:rsid w:val="002F4DA8"/>
    <w:rsid w:val="00320069"/>
    <w:rsid w:val="00335E28"/>
    <w:rsid w:val="00450380"/>
    <w:rsid w:val="005028F9"/>
    <w:rsid w:val="00511C60"/>
    <w:rsid w:val="00596146"/>
    <w:rsid w:val="005A06B7"/>
    <w:rsid w:val="006B4E99"/>
    <w:rsid w:val="007947A9"/>
    <w:rsid w:val="008325A7"/>
    <w:rsid w:val="008D5EF1"/>
    <w:rsid w:val="00943411"/>
    <w:rsid w:val="00952D2D"/>
    <w:rsid w:val="0098651C"/>
    <w:rsid w:val="009921FD"/>
    <w:rsid w:val="009D26CE"/>
    <w:rsid w:val="009D6909"/>
    <w:rsid w:val="00AB7E33"/>
    <w:rsid w:val="00B351E7"/>
    <w:rsid w:val="00BB26B5"/>
    <w:rsid w:val="00C72E67"/>
    <w:rsid w:val="00CA66CC"/>
    <w:rsid w:val="00DD0074"/>
    <w:rsid w:val="00E11F10"/>
    <w:rsid w:val="00E450A2"/>
    <w:rsid w:val="00E46A6E"/>
    <w:rsid w:val="00E47615"/>
    <w:rsid w:val="00EF5BB7"/>
    <w:rsid w:val="00F24975"/>
    <w:rsid w:val="00F4108C"/>
    <w:rsid w:val="00F634AC"/>
    <w:rsid w:val="00F9697D"/>
    <w:rsid w:val="00FE407D"/>
    <w:rsid w:val="04E26462"/>
    <w:rsid w:val="0F322198"/>
    <w:rsid w:val="115B288B"/>
    <w:rsid w:val="25384C8C"/>
    <w:rsid w:val="3DED0004"/>
    <w:rsid w:val="68203F4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99"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等线"/>
      <w:kern w:val="2"/>
      <w:sz w:val="21"/>
      <w:szCs w:val="21"/>
      <w:lang w:val="en-US" w:eastAsia="zh-CN" w:bidi="ar-SA"/>
    </w:rPr>
  </w:style>
  <w:style w:type="character" w:default="1" w:styleId="7">
    <w:name w:val="Default Paragraph Font"/>
    <w:semiHidden/>
    <w:uiPriority w:val="99"/>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0"/>
    <w:uiPriority w:val="99"/>
    <w:pPr>
      <w:tabs>
        <w:tab w:val="center" w:pos="4153"/>
        <w:tab w:val="right" w:pos="8306"/>
      </w:tabs>
      <w:snapToGrid w:val="0"/>
      <w:jc w:val="left"/>
    </w:pPr>
    <w:rPr>
      <w:sz w:val="18"/>
      <w:szCs w:val="18"/>
    </w:rPr>
  </w:style>
  <w:style w:type="paragraph" w:styleId="3">
    <w:name w:val="header"/>
    <w:basedOn w:val="1"/>
    <w:link w:val="9"/>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keepNext w:val="0"/>
      <w:keepLines w:val="0"/>
      <w:widowControl/>
      <w:suppressLineNumbers w:val="0"/>
      <w:spacing w:before="100" w:beforeAutospacing="1" w:after="100" w:afterAutospacing="1"/>
      <w:ind w:left="0" w:right="0"/>
      <w:jc w:val="left"/>
    </w:pPr>
    <w:rPr>
      <w:rFonts w:hint="eastAsia" w:ascii="宋体" w:hAnsi="宋体" w:eastAsia="宋体" w:cs="宋体"/>
      <w:kern w:val="0"/>
      <w:sz w:val="24"/>
      <w:szCs w:val="24"/>
      <w:lang w:val="en-US" w:eastAsia="zh-CN" w:bidi="ar"/>
    </w:rPr>
  </w:style>
  <w:style w:type="table" w:styleId="6">
    <w:name w:val="Table Grid"/>
    <w:basedOn w:val="5"/>
    <w:locked/>
    <w:uiPriority w:val="99"/>
    <w:pPr>
      <w:widowControl w:val="0"/>
      <w:jc w:val="both"/>
    </w:pPr>
    <w:rPr>
      <w:rFonts w:ascii="Calibri" w:hAnsi="Calibri" w:eastAsia="宋体" w:cs="Calibri"/>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8">
    <w:name w:val="Strong"/>
    <w:basedOn w:val="7"/>
    <w:qFormat/>
    <w:uiPriority w:val="99"/>
    <w:rPr>
      <w:b/>
      <w:bCs/>
    </w:rPr>
  </w:style>
  <w:style w:type="character" w:customStyle="1" w:styleId="9">
    <w:name w:val="Header Char"/>
    <w:basedOn w:val="7"/>
    <w:link w:val="3"/>
    <w:locked/>
    <w:uiPriority w:val="99"/>
    <w:rPr>
      <w:sz w:val="18"/>
      <w:szCs w:val="18"/>
    </w:rPr>
  </w:style>
  <w:style w:type="character" w:customStyle="1" w:styleId="10">
    <w:name w:val="Footer Char"/>
    <w:basedOn w:val="7"/>
    <w:link w:val="2"/>
    <w:locked/>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www.xunchi.com</Company>
  <Pages>12</Pages>
  <Words>811</Words>
  <Characters>4629</Characters>
  <Lines>0</Lines>
  <Paragraphs>0</Paragraphs>
  <TotalTime>7</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2019-05-16T02:01:00Z</dcterms:created>
  <dc:creator>Administrator</dc:creator>
  <cp:lastModifiedBy>Administrator</cp:lastModifiedBy>
  <dcterms:modified xsi:type="dcterms:W3CDTF">2019-07-27T08:22:04Z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