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做课程改革路上的教育圣徒</w:t>
      </w:r>
    </w:p>
    <w:p>
      <w:pPr>
        <w:ind w:firstLine="560" w:firstLineChars="200"/>
        <w:jc w:val="right"/>
        <w:rPr>
          <w:rFonts w:ascii="仿宋" w:hAnsi="仿宋" w:eastAsia="仿宋"/>
          <w:sz w:val="28"/>
          <w:szCs w:val="28"/>
        </w:rPr>
      </w:pPr>
      <w:r>
        <w:rPr>
          <w:rFonts w:hint="eastAsia" w:ascii="仿宋" w:hAnsi="仿宋" w:eastAsia="仿宋"/>
          <w:sz w:val="28"/>
          <w:szCs w:val="28"/>
        </w:rPr>
        <w:t>——乐陵市实验小学李升勇同志先进事迹材料</w:t>
      </w:r>
    </w:p>
    <w:p>
      <w:pPr>
        <w:ind w:firstLine="560" w:firstLineChars="200"/>
        <w:rPr>
          <w:sz w:val="28"/>
          <w:szCs w:val="28"/>
        </w:rPr>
      </w:pPr>
      <w:r>
        <w:rPr>
          <w:rFonts w:hint="eastAsia"/>
          <w:sz w:val="28"/>
          <w:szCs w:val="28"/>
        </w:rPr>
        <w:t>教育是提高人民综合素质、促进人的全面发展的重要途径，是民族振兴、社会进步的重要基石。人才是经济社会发展的第一资源，教育是开发人才资源的主要途径。因此，必须</w:t>
      </w:r>
      <w:r>
        <w:rPr>
          <w:rFonts w:hint="eastAsia"/>
          <w:color w:val="333333"/>
          <w:sz w:val="28"/>
          <w:szCs w:val="28"/>
          <w:shd w:val="clear" w:color="auto" w:fill="FFFFFF"/>
        </w:rPr>
        <w:t>把握人才成长规律，</w:t>
      </w:r>
      <w:r>
        <w:rPr>
          <w:rFonts w:hint="eastAsia"/>
          <w:sz w:val="28"/>
          <w:szCs w:val="28"/>
        </w:rPr>
        <w:t>遵循教育规律，才能为学生的终身幸福奠基！</w:t>
      </w:r>
    </w:p>
    <w:p>
      <w:pPr>
        <w:ind w:firstLine="560" w:firstLineChars="200"/>
        <w:rPr>
          <w:sz w:val="28"/>
          <w:szCs w:val="28"/>
        </w:rPr>
      </w:pPr>
      <w:r>
        <w:rPr>
          <w:rFonts w:hint="eastAsia"/>
          <w:sz w:val="28"/>
          <w:szCs w:val="28"/>
        </w:rPr>
        <w:t>李升勇同志带领他的教改团队着力完善德智体美劳全面培养的育人体系，把新时代铸魂育人工作作为教育工作的重中之重。自任教以来，李升勇同志始终站在教育前沿思考教育的发展。从2000年开始，李升勇带领他的教改团队大胆创新，把立德树人融入思想道德教育、文化知识教育、社会实践教育各环节，构建和完善德智体美劳全面培养的教育体系，开启了素质教育课堂模式的破冰之旅，对传统课堂教学模式进行颠覆性的改革，将课程整合形成生命课程、文化课程、学科课程三大系统，构建了“多维度大课程”体系，</w:t>
      </w:r>
      <w:r>
        <w:rPr>
          <w:rFonts w:hint="eastAsia"/>
          <w:color w:val="000000" w:themeColor="text1"/>
          <w:sz w:val="28"/>
          <w:szCs w:val="28"/>
        </w:rPr>
        <w:t>各课程系统又根据学科课程标准和学生的年龄特点设置不同类型的课程，</w:t>
      </w:r>
      <w:r>
        <w:rPr>
          <w:rFonts w:hint="eastAsia"/>
          <w:sz w:val="28"/>
          <w:szCs w:val="28"/>
        </w:rPr>
        <w:t>各课程既自成体系，又相互融合，形成一整套实操性较强课程改革体系，为课程标准的真正落地提供了依据。</w:t>
      </w:r>
    </w:p>
    <w:p>
      <w:pPr>
        <w:ind w:firstLine="560" w:firstLineChars="200"/>
        <w:rPr>
          <w:sz w:val="28"/>
          <w:szCs w:val="28"/>
        </w:rPr>
      </w:pPr>
      <w:r>
        <w:rPr>
          <w:rFonts w:hint="eastAsia"/>
          <w:sz w:val="28"/>
          <w:szCs w:val="28"/>
        </w:rPr>
        <w:t>为使“多维度大课程”落地，李升勇同志又开拓性的建立了“多维度大课堂”的操作系统，突破了时空的限制，使课堂无边界，任何知识生成的地方都是课堂；重新规划了课堂流程，以“导学—自学—合学—展学”的全新课堂流程为特点，重构学生的课程学习资料、学习方式，激发学生学习内驱力，让“要我学”为“我要学”，在学习过程中体验成长，收获自信。构建了人人做主的网格化管理模式。将立德树人教育任务无痕地融入到课程之中。实现了国家课程与学校教学的无缝对接，使国家课程标准真正落地生根。</w:t>
      </w:r>
    </w:p>
    <w:p>
      <w:pPr>
        <w:ind w:firstLine="560" w:firstLineChars="200"/>
        <w:rPr>
          <w:sz w:val="28"/>
          <w:szCs w:val="28"/>
        </w:rPr>
      </w:pPr>
      <w:r>
        <w:rPr>
          <w:rFonts w:hint="eastAsia"/>
          <w:sz w:val="28"/>
          <w:szCs w:val="28"/>
        </w:rPr>
        <w:t>乐陵市实验小学在李升勇的带领下，研究学生的认知规律、成长规律、学习规律和养成规律，有针对性的对学生进行自我意识的培养，锻炼其慎独能力。“没有规矩，难成方圆。”学生的健康成长离不开规矩，于是乐陵市实验小学基于问题的研究，逐步建立起路队、楼道内、教室内、上课、下课、放学、考试、读书、活动、升旗等规则标准，在执行标准的时候，树榜立样，典型带动，创建能量场、舆论场、势能场。弘扬正气，全面育人。这一切的指向都是学生生命体的健康成长。</w:t>
      </w:r>
    </w:p>
    <w:p>
      <w:pPr>
        <w:ind w:firstLine="560" w:firstLineChars="200"/>
        <w:rPr>
          <w:sz w:val="28"/>
          <w:szCs w:val="28"/>
        </w:rPr>
      </w:pPr>
      <w:r>
        <w:rPr>
          <w:rFonts w:hint="eastAsia"/>
          <w:sz w:val="28"/>
          <w:szCs w:val="28"/>
        </w:rPr>
        <w:t>基于问题的研究，把活动做成教育，让活动入脑入心，李升勇带领他的团队精心设计了系列化的德育活动，从文化小使者活动（一元钱活动等）——除夕家庭会议——三月感恩周——体能吉尼斯——清明节寻根之旅——五一劳动体验活动——六一才艺展示活动——端午节国学小名士大赛——国庆节游学活动——重阳节关爱老人——茶艺比赛——书画比赛——国风秋韵——生活技能大赛——家庭留学生——周末市场等等；通过德育活动的系列化设计，使学生受到完整系统的德育教育，所有活动涵盖知识、能力、兴趣、爱好、习惯、方法、情感、态度、价值观等多个方面，活动的最终指向——育人，活动过程中既教育了学生，又影响了家长。</w:t>
      </w:r>
    </w:p>
    <w:p>
      <w:pPr>
        <w:ind w:firstLine="560" w:firstLineChars="200"/>
        <w:rPr>
          <w:sz w:val="28"/>
          <w:szCs w:val="28"/>
        </w:rPr>
      </w:pPr>
      <w:r>
        <w:rPr>
          <w:rFonts w:hint="eastAsia"/>
          <w:sz w:val="28"/>
          <w:szCs w:val="28"/>
        </w:rPr>
        <w:t>李升勇为了使自己的改革经验能给大家带来启迪，边做研究边传播经验，先后出版了《课堂教学的颠覆与重建》、《让学生站在课堂教学的中心》、《李升勇与大教育》、《李升勇：大课堂大教育》四部著作；发表论文50多篇，全国各地做报告200多场。同时被评为德州市十大教育新闻人物、山东省齐鲁名校长、全国第二届创新优秀校长、全国百强特色学校十佳杰出校长，被誉为 “学校课程改革第一人”。</w:t>
      </w:r>
    </w:p>
    <w:p>
      <w:pPr>
        <w:ind w:firstLine="560" w:firstLineChars="200"/>
        <w:rPr>
          <w:rFonts w:hint="eastAsia"/>
          <w:sz w:val="28"/>
          <w:szCs w:val="28"/>
        </w:rPr>
      </w:pPr>
      <w:r>
        <w:rPr>
          <w:rFonts w:hint="eastAsia"/>
          <w:sz w:val="28"/>
          <w:szCs w:val="28"/>
        </w:rPr>
        <w:t>至今，学校课程改革已经影响到全国。至2018年底，到学校参观人员遍及全国，参观人次达15万之多。学校课程改革已经影响到全国20多个省市，为了快速推动和指导基础教育现代课堂的改革，2016年，李升勇创建“李升勇名校长工作室”，2017年他又创建“李升勇研学会”，他从全国招募有思想、有作为的青年教师，义务引领他们快速成长，为现代教育改革播下希望的种子，这是一个教育圣徒不忘初心的真实写照。</w:t>
      </w:r>
    </w:p>
    <w:p>
      <w:pPr>
        <w:ind w:firstLine="560" w:firstLineChars="200"/>
        <w:rPr>
          <w:rFonts w:hint="eastAsia"/>
          <w:sz w:val="28"/>
          <w:szCs w:val="28"/>
        </w:rPr>
      </w:pPr>
    </w:p>
    <w:p>
      <w:pPr>
        <w:ind w:firstLine="560" w:firstLineChars="200"/>
        <w:rPr>
          <w:rFonts w:hint="eastAsia"/>
          <w:sz w:val="28"/>
          <w:szCs w:val="28"/>
        </w:rPr>
      </w:pPr>
    </w:p>
    <w:p>
      <w:pPr>
        <w:ind w:firstLine="560" w:firstLineChars="200"/>
        <w:rPr>
          <w:rFonts w:hint="eastAsia"/>
          <w:sz w:val="28"/>
          <w:szCs w:val="28"/>
        </w:rPr>
      </w:pPr>
    </w:p>
    <w:p>
      <w:pPr>
        <w:ind w:firstLine="560" w:firstLineChars="200"/>
        <w:rPr>
          <w:rFonts w:hint="eastAsia"/>
          <w:sz w:val="28"/>
          <w:szCs w:val="28"/>
        </w:rPr>
      </w:pPr>
    </w:p>
    <w:p>
      <w:pPr>
        <w:ind w:firstLine="5180" w:firstLineChars="1850"/>
        <w:rPr>
          <w:rFonts w:hint="eastAsia"/>
          <w:sz w:val="28"/>
          <w:szCs w:val="28"/>
        </w:rPr>
      </w:pPr>
      <w:r>
        <w:rPr>
          <w:rFonts w:hint="eastAsia"/>
          <w:sz w:val="28"/>
          <w:szCs w:val="28"/>
        </w:rPr>
        <w:t>乐陵市实验小学</w:t>
      </w:r>
    </w:p>
    <w:p>
      <w:pPr>
        <w:ind w:firstLine="5040" w:firstLineChars="1800"/>
        <w:rPr>
          <w:rFonts w:hint="eastAsia"/>
          <w:sz w:val="28"/>
          <w:szCs w:val="28"/>
        </w:rPr>
      </w:pPr>
      <w:bookmarkStart w:id="0" w:name="_GoBack"/>
      <w:bookmarkEnd w:id="0"/>
      <w:r>
        <w:rPr>
          <w:rFonts w:hint="eastAsia"/>
          <w:sz w:val="28"/>
          <w:szCs w:val="28"/>
        </w:rPr>
        <w:t>2019年7月12日</w:t>
      </w:r>
    </w:p>
    <w:p>
      <w:pPr>
        <w:ind w:firstLine="6020" w:firstLineChars="2150"/>
        <w:rPr>
          <w:rFonts w:hint="eastAsia"/>
          <w:sz w:val="28"/>
          <w:szCs w:val="28"/>
        </w:rPr>
      </w:pPr>
    </w:p>
    <w:p>
      <w:pPr>
        <w:ind w:firstLine="6020" w:firstLineChars="2150"/>
        <w:rPr>
          <w:rFonts w:hint="eastAsia"/>
          <w:sz w:val="28"/>
          <w:szCs w:val="28"/>
        </w:rPr>
      </w:pPr>
    </w:p>
    <w:p>
      <w:pPr>
        <w:ind w:firstLine="6020" w:firstLineChars="2150"/>
        <w:rPr>
          <w:rFonts w:hint="eastAsia"/>
          <w:sz w:val="28"/>
          <w:szCs w:val="28"/>
        </w:rPr>
      </w:pPr>
    </w:p>
    <w:p>
      <w:pPr>
        <w:spacing w:line="360" w:lineRule="auto"/>
        <w:jc w:val="center"/>
        <w:rPr>
          <w:rFonts w:hint="eastAsia" w:ascii="宋体" w:hAnsi="宋体"/>
          <w:b/>
          <w:color w:val="000000"/>
          <w:sz w:val="36"/>
          <w:szCs w:val="36"/>
        </w:rPr>
      </w:pPr>
    </w:p>
    <w:p>
      <w:pPr>
        <w:spacing w:line="360" w:lineRule="auto"/>
        <w:jc w:val="center"/>
        <w:rPr>
          <w:rFonts w:hint="eastAsia" w:ascii="宋体" w:hAnsi="宋体"/>
          <w:b/>
          <w:color w:val="000000"/>
          <w:sz w:val="36"/>
          <w:szCs w:val="36"/>
        </w:rPr>
      </w:pPr>
      <w:r>
        <w:rPr>
          <w:rFonts w:hint="eastAsia" w:ascii="宋体" w:hAnsi="宋体"/>
          <w:b/>
          <w:color w:val="000000"/>
          <w:sz w:val="36"/>
          <w:szCs w:val="36"/>
          <w:lang w:eastAsia="zh-CN"/>
        </w:rPr>
        <w:t>李</w:t>
      </w:r>
      <w:r>
        <w:rPr>
          <w:rFonts w:hint="eastAsia" w:ascii="宋体" w:hAnsi="宋体"/>
          <w:b/>
          <w:color w:val="000000"/>
          <w:sz w:val="36"/>
          <w:szCs w:val="36"/>
        </w:rPr>
        <w:t>升勇同志教育教学成果汇总</w:t>
      </w:r>
    </w:p>
    <w:tbl>
      <w:tblPr>
        <w:tblStyle w:val="4"/>
        <w:tblpPr w:leftFromText="180" w:rightFromText="180" w:horzAnchor="margin" w:tblpY="720"/>
        <w:tblW w:w="8428" w:type="dxa"/>
        <w:tblInd w:w="0" w:type="dxa"/>
        <w:tblLayout w:type="fixed"/>
        <w:tblCellMar>
          <w:top w:w="15" w:type="dxa"/>
          <w:left w:w="15" w:type="dxa"/>
          <w:bottom w:w="15" w:type="dxa"/>
          <w:right w:w="15" w:type="dxa"/>
        </w:tblCellMar>
      </w:tblPr>
      <w:tblGrid>
        <w:gridCol w:w="3165"/>
        <w:gridCol w:w="1095"/>
        <w:gridCol w:w="1678"/>
        <w:gridCol w:w="1875"/>
        <w:gridCol w:w="525"/>
        <w:gridCol w:w="90"/>
      </w:tblGrid>
      <w:tr>
        <w:tblPrEx>
          <w:tblLayout w:type="fixed"/>
          <w:tblCellMar>
            <w:top w:w="15" w:type="dxa"/>
            <w:left w:w="15" w:type="dxa"/>
            <w:bottom w:w="15" w:type="dxa"/>
            <w:right w:w="15" w:type="dxa"/>
          </w:tblCellMar>
        </w:tblPrEx>
        <w:trPr>
          <w:gridAfter w:val="5"/>
          <w:wAfter w:w="5263" w:type="dxa"/>
          <w:trHeight w:val="286" w:hRule="atLeast"/>
        </w:trPr>
        <w:tc>
          <w:tcPr>
            <w:tcW w:w="3165" w:type="dxa"/>
            <w:vAlign w:val="bottom"/>
          </w:tcPr>
          <w:p>
            <w:pPr>
              <w:widowControl/>
              <w:textAlignment w:val="bottom"/>
              <w:rPr>
                <w:rFonts w:hint="eastAsia" w:ascii="宋体" w:hAnsi="宋体" w:cs="宋体"/>
                <w:color w:val="000000"/>
                <w:kern w:val="0"/>
                <w:sz w:val="20"/>
                <w:szCs w:val="20"/>
              </w:rPr>
            </w:pPr>
          </w:p>
          <w:p>
            <w:pPr>
              <w:widowControl/>
              <w:jc w:val="left"/>
              <w:textAlignment w:val="bottom"/>
              <w:rPr>
                <w:rFonts w:hint="eastAsia" w:ascii="宋体" w:hAnsi="宋体" w:cs="宋体"/>
                <w:color w:val="000000"/>
                <w:sz w:val="20"/>
                <w:szCs w:val="20"/>
              </w:rPr>
            </w:pPr>
            <w:r>
              <w:rPr>
                <w:rFonts w:hint="eastAsia" w:ascii="宋体" w:hAnsi="宋体" w:cs="宋体"/>
                <w:color w:val="000000"/>
                <w:kern w:val="0"/>
                <w:sz w:val="20"/>
                <w:szCs w:val="20"/>
              </w:rPr>
              <w:t>一、出版著作</w:t>
            </w:r>
          </w:p>
        </w:tc>
      </w:tr>
      <w:tr>
        <w:tblPrEx>
          <w:tblLayout w:type="fixed"/>
          <w:tblCellMar>
            <w:top w:w="15" w:type="dxa"/>
            <w:left w:w="15" w:type="dxa"/>
            <w:bottom w:w="15" w:type="dxa"/>
            <w:right w:w="15" w:type="dxa"/>
          </w:tblCellMar>
        </w:tblPrEx>
        <w:trPr>
          <w:gridAfter w:val="5"/>
          <w:wAfter w:w="5263" w:type="dxa"/>
          <w:trHeight w:val="286" w:hRule="atLeast"/>
        </w:trPr>
        <w:tc>
          <w:tcPr>
            <w:tcW w:w="3165" w:type="dxa"/>
            <w:vAlign w:val="bottom"/>
          </w:tcPr>
          <w:p>
            <w:pPr>
              <w:widowControl/>
              <w:textAlignment w:val="bottom"/>
              <w:rPr>
                <w:rFonts w:hint="eastAsia" w:ascii="宋体" w:hAnsi="宋体" w:cs="宋体"/>
                <w:color w:val="000000"/>
                <w:kern w:val="0"/>
                <w:sz w:val="20"/>
                <w:szCs w:val="20"/>
              </w:rPr>
            </w:pPr>
          </w:p>
        </w:tc>
      </w:tr>
      <w:tr>
        <w:tblPrEx>
          <w:tblLayout w:type="fixed"/>
          <w:tblCellMar>
            <w:top w:w="15" w:type="dxa"/>
            <w:left w:w="15" w:type="dxa"/>
            <w:bottom w:w="15" w:type="dxa"/>
            <w:right w:w="15" w:type="dxa"/>
          </w:tblCellMar>
        </w:tblPrEx>
        <w:trPr>
          <w:gridAfter w:val="1"/>
          <w:wAfter w:w="90" w:type="dxa"/>
          <w:trHeight w:val="5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 xml:space="preserve"> 著作名称</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出版时间</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出版社</w:t>
            </w:r>
          </w:p>
        </w:tc>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b/>
                <w:color w:val="000000"/>
                <w:sz w:val="20"/>
                <w:szCs w:val="20"/>
              </w:rPr>
            </w:pPr>
            <w:r>
              <w:rPr>
                <w:rFonts w:hint="eastAsia" w:ascii="宋体" w:hAnsi="宋体" w:cs="宋体"/>
                <w:b/>
                <w:color w:val="000000"/>
                <w:kern w:val="0"/>
                <w:sz w:val="20"/>
                <w:szCs w:val="20"/>
              </w:rPr>
              <w:t>作者位次</w:t>
            </w:r>
          </w:p>
        </w:tc>
      </w:tr>
      <w:tr>
        <w:tblPrEx>
          <w:tblLayout w:type="fixed"/>
          <w:tblCellMar>
            <w:top w:w="15" w:type="dxa"/>
            <w:left w:w="15" w:type="dxa"/>
            <w:bottom w:w="15" w:type="dxa"/>
            <w:right w:w="15" w:type="dxa"/>
          </w:tblCellMar>
        </w:tblPrEx>
        <w:trPr>
          <w:gridAfter w:val="1"/>
          <w:wAfter w:w="90" w:type="dxa"/>
          <w:trHeight w:val="25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李升勇：大课堂</w:t>
            </w:r>
            <w:r>
              <w:rPr>
                <w:rStyle w:val="8"/>
              </w:rPr>
              <w:t xml:space="preserve">  </w:t>
            </w:r>
            <w:r>
              <w:rPr>
                <w:rStyle w:val="9"/>
                <w:rFonts w:hint="default"/>
              </w:rPr>
              <w:t>大教育</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2010.8</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福建教育出版社</w:t>
            </w:r>
          </w:p>
        </w:tc>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gridAfter w:val="1"/>
          <w:wAfter w:w="90" w:type="dxa"/>
          <w:trHeight w:val="25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w:hAnsi="Arial" w:cs="Arial"/>
                <w:color w:val="000000"/>
                <w:sz w:val="20"/>
                <w:szCs w:val="20"/>
              </w:rPr>
            </w:pPr>
            <w:r>
              <w:rPr>
                <w:rStyle w:val="9"/>
                <w:rFonts w:hint="default"/>
              </w:rPr>
              <w:t>让学生站在课堂教学的中心</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2011.1</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首都师范大学出版社</w:t>
            </w:r>
          </w:p>
        </w:tc>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PrEx>
        <w:trPr>
          <w:gridAfter w:val="1"/>
          <w:wAfter w:w="90" w:type="dxa"/>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课堂教学的颠覆与重建</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2013.7</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福建教育出版社</w:t>
            </w:r>
          </w:p>
        </w:tc>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gridAfter w:val="1"/>
          <w:wAfter w:w="90" w:type="dxa"/>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李升勇与大教育</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2015.1</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北京师范大学出版社</w:t>
            </w:r>
          </w:p>
        </w:tc>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vAlign w:val="bottom"/>
          </w:tcPr>
          <w:p>
            <w:pPr>
              <w:widowControl/>
              <w:jc w:val="left"/>
              <w:textAlignment w:val="bottom"/>
              <w:rPr>
                <w:rFonts w:hint="eastAsia" w:ascii="宋体" w:hAnsi="宋体" w:cs="宋体"/>
                <w:color w:val="000000"/>
                <w:sz w:val="20"/>
                <w:szCs w:val="20"/>
              </w:rPr>
            </w:pPr>
            <w:r>
              <w:rPr>
                <w:rFonts w:hint="eastAsia" w:ascii="宋体" w:hAnsi="宋体" w:cs="宋体"/>
                <w:color w:val="000000"/>
                <w:kern w:val="0"/>
                <w:sz w:val="20"/>
                <w:szCs w:val="20"/>
              </w:rPr>
              <w:t>二、发表文章</w:t>
            </w:r>
          </w:p>
        </w:tc>
        <w:tc>
          <w:tcPr>
            <w:tcW w:w="1095" w:type="dxa"/>
            <w:vAlign w:val="bottom"/>
          </w:tcPr>
          <w:p>
            <w:pPr>
              <w:jc w:val="left"/>
              <w:rPr>
                <w:rFonts w:hint="eastAsia" w:ascii="宋体" w:hAnsi="宋体" w:cs="宋体"/>
                <w:color w:val="000000"/>
                <w:sz w:val="20"/>
                <w:szCs w:val="20"/>
              </w:rPr>
            </w:pPr>
          </w:p>
        </w:tc>
        <w:tc>
          <w:tcPr>
            <w:tcW w:w="1678" w:type="dxa"/>
            <w:vAlign w:val="bottom"/>
          </w:tcPr>
          <w:p>
            <w:pPr>
              <w:jc w:val="left"/>
              <w:rPr>
                <w:rFonts w:hint="eastAsia" w:ascii="宋体" w:hAnsi="宋体" w:cs="宋体"/>
                <w:color w:val="000000"/>
                <w:sz w:val="20"/>
                <w:szCs w:val="20"/>
              </w:rPr>
            </w:pPr>
          </w:p>
        </w:tc>
        <w:tc>
          <w:tcPr>
            <w:tcW w:w="1875" w:type="dxa"/>
            <w:vAlign w:val="bottom"/>
          </w:tcPr>
          <w:p>
            <w:pPr>
              <w:rPr>
                <w:rFonts w:hint="eastAsia" w:ascii="宋体" w:hAnsi="宋体" w:cs="宋体"/>
                <w:color w:val="000000"/>
                <w:sz w:val="20"/>
                <w:szCs w:val="20"/>
              </w:rPr>
            </w:pPr>
          </w:p>
        </w:tc>
        <w:tc>
          <w:tcPr>
            <w:tcW w:w="615" w:type="dxa"/>
            <w:gridSpan w:val="2"/>
            <w:vAlign w:val="bottom"/>
          </w:tcPr>
          <w:p>
            <w:pP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360"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b/>
                <w:color w:val="000000"/>
                <w:sz w:val="20"/>
                <w:szCs w:val="20"/>
              </w:rPr>
            </w:pPr>
            <w:r>
              <w:rPr>
                <w:rFonts w:hint="eastAsia" w:ascii="宋体" w:hAnsi="宋体" w:cs="宋体"/>
                <w:b/>
                <w:color w:val="000000"/>
                <w:kern w:val="0"/>
                <w:sz w:val="20"/>
                <w:szCs w:val="20"/>
              </w:rPr>
              <w:t>论文名称</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b/>
                <w:color w:val="000000"/>
                <w:sz w:val="20"/>
                <w:szCs w:val="20"/>
              </w:rPr>
            </w:pPr>
            <w:r>
              <w:rPr>
                <w:rFonts w:hint="eastAsia" w:ascii="宋体" w:hAnsi="宋体" w:cs="宋体"/>
                <w:b/>
                <w:color w:val="000000"/>
                <w:kern w:val="0"/>
                <w:sz w:val="20"/>
                <w:szCs w:val="20"/>
              </w:rPr>
              <w:t>发表时间</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b/>
                <w:color w:val="000000"/>
                <w:sz w:val="20"/>
                <w:szCs w:val="20"/>
              </w:rPr>
            </w:pPr>
            <w:r>
              <w:rPr>
                <w:rFonts w:hint="eastAsia" w:ascii="宋体" w:hAnsi="宋体" w:cs="宋体"/>
                <w:b/>
                <w:color w:val="000000"/>
                <w:kern w:val="0"/>
                <w:sz w:val="20"/>
                <w:szCs w:val="20"/>
              </w:rPr>
              <w:t>发表刊物名称</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b/>
                <w:color w:val="000000"/>
                <w:sz w:val="20"/>
                <w:szCs w:val="20"/>
              </w:rPr>
            </w:pPr>
            <w:r>
              <w:rPr>
                <w:rFonts w:hint="eastAsia" w:ascii="宋体" w:hAnsi="宋体" w:cs="宋体"/>
                <w:b/>
                <w:color w:val="000000"/>
                <w:kern w:val="0"/>
                <w:sz w:val="20"/>
                <w:szCs w:val="20"/>
              </w:rPr>
              <w:t>发表刊物期刊号</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b/>
                <w:color w:val="000000"/>
                <w:sz w:val="20"/>
                <w:szCs w:val="20"/>
              </w:rPr>
            </w:pPr>
            <w:r>
              <w:rPr>
                <w:rFonts w:hint="eastAsia" w:ascii="宋体" w:hAnsi="宋体" w:cs="宋体"/>
                <w:b/>
                <w:color w:val="000000"/>
                <w:kern w:val="0"/>
                <w:sz w:val="20"/>
                <w:szCs w:val="20"/>
              </w:rPr>
              <w:t>作者位次</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论文：《浅谈学生的人格塑造》</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2004.5</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德州市中小学德育研究会</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一等奖</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480"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论文：《学校德育工作的思考与对策》</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2004.10</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山东省创新教育实验与研究课题组</w:t>
            </w:r>
          </w:p>
        </w:tc>
        <w:tc>
          <w:tcPr>
            <w:tcW w:w="18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70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论文：《研究型、反思型教师队伍的形成与发展》</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2004.6</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山东省教育厅基础教育处</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二等奖</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论文：《我看三维目标》</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2012.5</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《校长》</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第五期</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480"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论文：《对当下教育热词的冷思考》</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《人民教育》</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第20期</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论文：《做有担当的校长》</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2013.6</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《师道》2013年</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第6期</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论文：《走出教育改革的迷思》</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2014.2</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《教育时报》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第3588期</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480"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论文：学校课程整体规划的三个支点</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2015.5</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今日教育</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总450期</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论文：《重新定义教学》</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2017.5.3</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第664期CN11-0179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论文：《重新定位教材》</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2017.5.24</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第667期CN11-0179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论文：《重新定位教材（二）》</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2017.5.31</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第668期CN11-0179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论文：《重新定位三维目标》</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2017.6.7</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第669期CN11-0179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论文：《重新定义课堂结构》</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2017.6.14</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第670期CN11-0179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论文：《重新定义课堂功能》</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2017.6.21</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第671期CN11-0179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论文：《重新定义教学载体》</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2017.7.5</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第673期CN11-0179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论文：《重新定义课堂评价》</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2017.7.12</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第674期CN11-0179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论文：《重新定义课堂模式》</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2017.8.16</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第675期CN11-0179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285"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论文：《重新定位识字教学》</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2017.8.30</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第677期CN11-0179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r>
        <w:tblPrEx>
          <w:tblLayout w:type="fixed"/>
          <w:tblCellMar>
            <w:top w:w="15" w:type="dxa"/>
            <w:left w:w="15" w:type="dxa"/>
            <w:bottom w:w="15" w:type="dxa"/>
            <w:right w:w="15" w:type="dxa"/>
          </w:tblCellMar>
        </w:tblPrEx>
        <w:trPr>
          <w:trHeight w:val="480" w:hRule="atLeast"/>
        </w:trPr>
        <w:tc>
          <w:tcPr>
            <w:tcW w:w="31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论文：《重新定义文本阅读（一）》</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2017.9.6</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第678期CN11-0179</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独立</w:t>
            </w:r>
          </w:p>
        </w:tc>
      </w:tr>
    </w:tbl>
    <w:p>
      <w:pPr>
        <w:spacing w:line="360" w:lineRule="auto"/>
        <w:rPr>
          <w:rFonts w:hint="eastAsia" w:ascii="宋体" w:hAnsi="宋体"/>
          <w:color w:val="000000"/>
          <w:sz w:val="24"/>
          <w:szCs w:val="24"/>
        </w:rPr>
      </w:pPr>
    </w:p>
    <w:tbl>
      <w:tblPr>
        <w:tblStyle w:val="4"/>
        <w:tblW w:w="8338" w:type="dxa"/>
        <w:tblInd w:w="0" w:type="dxa"/>
        <w:tblLayout w:type="fixed"/>
        <w:tblCellMar>
          <w:top w:w="15" w:type="dxa"/>
          <w:left w:w="15" w:type="dxa"/>
          <w:bottom w:w="15" w:type="dxa"/>
          <w:right w:w="15" w:type="dxa"/>
        </w:tblCellMar>
      </w:tblPr>
      <w:tblGrid>
        <w:gridCol w:w="3276"/>
        <w:gridCol w:w="984"/>
        <w:gridCol w:w="2610"/>
        <w:gridCol w:w="1468"/>
      </w:tblGrid>
      <w:tr>
        <w:tblPrEx>
          <w:tblLayout w:type="fixed"/>
          <w:tblCellMar>
            <w:top w:w="15" w:type="dxa"/>
            <w:left w:w="15" w:type="dxa"/>
            <w:bottom w:w="15" w:type="dxa"/>
            <w:right w:w="15" w:type="dxa"/>
          </w:tblCellMar>
        </w:tblPrEx>
        <w:trPr>
          <w:trHeight w:val="285" w:hRule="atLeast"/>
        </w:trPr>
        <w:tc>
          <w:tcPr>
            <w:tcW w:w="3276" w:type="dxa"/>
            <w:vAlign w:val="bottom"/>
          </w:tcPr>
          <w:p>
            <w:pPr>
              <w:widowControl/>
              <w:jc w:val="left"/>
              <w:textAlignment w:val="bottom"/>
              <w:rPr>
                <w:rFonts w:hint="eastAsia" w:ascii="宋体" w:hAnsi="宋体" w:cs="宋体"/>
                <w:color w:val="000000"/>
                <w:sz w:val="20"/>
                <w:szCs w:val="20"/>
              </w:rPr>
            </w:pPr>
            <w:r>
              <w:rPr>
                <w:rFonts w:hint="eastAsia" w:ascii="宋体" w:hAnsi="宋体" w:cs="宋体"/>
                <w:color w:val="000000"/>
                <w:kern w:val="0"/>
                <w:sz w:val="20"/>
                <w:szCs w:val="20"/>
              </w:rPr>
              <w:t>三、综合获奖</w:t>
            </w:r>
          </w:p>
        </w:tc>
        <w:tc>
          <w:tcPr>
            <w:tcW w:w="984" w:type="dxa"/>
            <w:vAlign w:val="bottom"/>
          </w:tcPr>
          <w:p>
            <w:pPr>
              <w:jc w:val="left"/>
              <w:rPr>
                <w:rFonts w:hint="eastAsia" w:ascii="宋体" w:hAnsi="宋体" w:cs="宋体"/>
                <w:color w:val="000000"/>
                <w:sz w:val="20"/>
                <w:szCs w:val="20"/>
              </w:rPr>
            </w:pPr>
          </w:p>
        </w:tc>
        <w:tc>
          <w:tcPr>
            <w:tcW w:w="2610" w:type="dxa"/>
            <w:vAlign w:val="bottom"/>
          </w:tcPr>
          <w:p>
            <w:pPr>
              <w:jc w:val="left"/>
              <w:rPr>
                <w:rFonts w:hint="eastAsia" w:ascii="宋体" w:hAnsi="宋体" w:cs="宋体"/>
                <w:color w:val="000000"/>
                <w:sz w:val="20"/>
                <w:szCs w:val="20"/>
              </w:rPr>
            </w:pPr>
          </w:p>
        </w:tc>
        <w:tc>
          <w:tcPr>
            <w:tcW w:w="1468" w:type="dxa"/>
            <w:vAlign w:val="bottom"/>
          </w:tcPr>
          <w:p>
            <w:pP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获奖名称</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时间</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颁发部门</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69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山东省敬老爱老助老主题教育活动敬老好事迹</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2004.12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山东省老龄办、山东省宣传部、山东省教育厅、山东省团委</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乐陵市劳动模范</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2005.4</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德州市思想政治工作先进个人</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2006.12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德州市宣传部</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科研创新校长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2007.7</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中国教育学会</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德州市十大创新校长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2007.7</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46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德州市优秀教育工作者</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2007.9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德州市人事局、德州市教育局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48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山东省教师出版基金杯2008年度创新人物提名奖</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2008.9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山东省教育厅</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山东省教育科研工作先进个人</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2008.11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山东省教育厅</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第四界全国百名优秀小学校长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2008.12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中国教育学会</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德州市首批家庭教育专家</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2009.3</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德州市妇女联合会</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德州市人民政府</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百名科研创新校长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中国教育学会</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德州市首届十大杰出科技校长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2011.9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第二届全国教育改革创新优秀校长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2011.11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中国教育报刊社、教育新闻网</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2012.9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2013.3</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德州教育十大新闻文物</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2013.6</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德州市关工委</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关心下一代十佳“五老”志愿者</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2013.8</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乐陵市委市政府</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枣乡英才</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2014年度中国课改优秀校长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中国新课程研究院</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2015.9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乐陵市优秀校长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2016.9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全国百强特色学校十佳杰出校长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2015.1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中国教育报刊社</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齐鲁名校长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2015.8</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山东省教育厅</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72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教育部--中国移动中小学校长培训项目2014年度远程培训优秀指导教师</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2015.1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最美共产党员</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2017.6</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乐陵市委市府</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最美校长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2017.9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vAlign w:val="center"/>
          </w:tcPr>
          <w:p>
            <w:pPr>
              <w:widowControl/>
              <w:jc w:val="center"/>
              <w:textAlignment w:val="bottom"/>
              <w:rPr>
                <w:rFonts w:hint="eastAsia" w:ascii="宋体" w:hAnsi="宋体" w:cs="宋体"/>
                <w:color w:val="000000"/>
                <w:kern w:val="0"/>
                <w:sz w:val="20"/>
                <w:szCs w:val="20"/>
              </w:rPr>
            </w:pPr>
          </w:p>
          <w:p>
            <w:pPr>
              <w:widowControl/>
              <w:jc w:val="center"/>
              <w:textAlignment w:val="bottom"/>
              <w:rPr>
                <w:rFonts w:hint="eastAsia" w:ascii="宋体" w:hAnsi="宋体" w:cs="宋体"/>
                <w:color w:val="000000"/>
                <w:kern w:val="0"/>
                <w:sz w:val="20"/>
                <w:szCs w:val="20"/>
              </w:rPr>
            </w:pPr>
          </w:p>
          <w:p>
            <w:pPr>
              <w:widowControl/>
              <w:jc w:val="center"/>
              <w:textAlignment w:val="bottom"/>
              <w:rPr>
                <w:rFonts w:hint="eastAsia" w:ascii="宋体" w:hAnsi="宋体" w:cs="宋体"/>
                <w:color w:val="000000"/>
                <w:kern w:val="0"/>
                <w:sz w:val="20"/>
                <w:szCs w:val="20"/>
              </w:rPr>
            </w:pPr>
          </w:p>
          <w:p>
            <w:pPr>
              <w:widowControl/>
              <w:textAlignment w:val="bottom"/>
              <w:rPr>
                <w:rFonts w:hint="eastAsia" w:ascii="宋体" w:hAnsi="宋体" w:cs="宋体"/>
                <w:color w:val="000000"/>
                <w:sz w:val="20"/>
                <w:szCs w:val="20"/>
              </w:rPr>
            </w:pPr>
            <w:r>
              <w:rPr>
                <w:rFonts w:hint="eastAsia" w:ascii="宋体" w:hAnsi="宋体" w:cs="宋体"/>
                <w:color w:val="000000"/>
                <w:kern w:val="0"/>
                <w:sz w:val="20"/>
                <w:szCs w:val="20"/>
              </w:rPr>
              <w:t>四、科研获奖</w:t>
            </w:r>
          </w:p>
        </w:tc>
        <w:tc>
          <w:tcPr>
            <w:tcW w:w="984" w:type="dxa"/>
            <w:vAlign w:val="center"/>
          </w:tcPr>
          <w:p>
            <w:pPr>
              <w:jc w:val="center"/>
              <w:rPr>
                <w:rFonts w:hint="eastAsia" w:ascii="宋体" w:hAnsi="宋体" w:cs="宋体"/>
                <w:color w:val="000000"/>
                <w:sz w:val="20"/>
                <w:szCs w:val="20"/>
              </w:rPr>
            </w:pPr>
          </w:p>
        </w:tc>
        <w:tc>
          <w:tcPr>
            <w:tcW w:w="2610" w:type="dxa"/>
            <w:vAlign w:val="center"/>
          </w:tcPr>
          <w:p>
            <w:pPr>
              <w:jc w:val="center"/>
              <w:rPr>
                <w:rFonts w:hint="eastAsia" w:ascii="宋体" w:hAnsi="宋体" w:cs="宋体"/>
                <w:color w:val="000000"/>
                <w:sz w:val="20"/>
                <w:szCs w:val="20"/>
              </w:rPr>
            </w:pPr>
          </w:p>
        </w:tc>
        <w:tc>
          <w:tcPr>
            <w:tcW w:w="1468" w:type="dxa"/>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9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获奖名称</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时间</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颁发部门</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57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中小学激励发展教育的基本理论与实践</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2005.12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山东省教育科学规划办公室</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57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运用信息技术资源培养学生创新能力</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山东省电化教育馆</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教师的信息素养与专业化发展研究</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2009.9</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山东省电化教育馆</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促进学生学习的课程整合研究</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2015.8</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德州市教育科学规划办公室</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小公民道德建设实践创新活动</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2004.11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中国教育学会</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二等奖</w:t>
            </w: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学校文化的思考与实践</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2009.4</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山东省教育学会</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二等奖</w:t>
            </w: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小学语文自主学习操作模式研究</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2011.6</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山东省教科所</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一等奖</w:t>
            </w: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李升勇：大教育 大课堂</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2012.12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山东省教育厅</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一等奖</w:t>
            </w:r>
          </w:p>
        </w:tc>
      </w:tr>
      <w:tr>
        <w:tblPrEx>
          <w:tblLayout w:type="fixed"/>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山东省基础教育教学成果</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2014.3</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山东省教育厅</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二等奖</w:t>
            </w: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山东省首届中小学特色课程评选</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山东省教科所</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一等奖</w:t>
            </w: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国家课程校本化</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2014.7</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山东省教学成果评审委员会</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二等奖</w:t>
            </w: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《国家课程的校本化》</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2014.10</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山东省教育科学研究所</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一等奖</w:t>
            </w: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李升勇与大教育</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2016.7</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德州市教育科学规划办公室</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一等奖</w:t>
            </w:r>
          </w:p>
        </w:tc>
      </w:tr>
      <w:tr>
        <w:tblPrEx>
          <w:tblLayout w:type="fixed"/>
          <w:tblCellMar>
            <w:top w:w="15" w:type="dxa"/>
            <w:left w:w="15" w:type="dxa"/>
            <w:bottom w:w="15" w:type="dxa"/>
            <w:right w:w="15" w:type="dxa"/>
          </w:tblCellMar>
        </w:tblPrEx>
        <w:trPr>
          <w:trHeight w:val="49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李升勇与大教育</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2016.11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德州市社会科学优秀成果评选委员会</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二等奖</w:t>
            </w:r>
          </w:p>
        </w:tc>
      </w:tr>
      <w:tr>
        <w:tblPrEx>
          <w:tblLayout w:type="fixed"/>
        </w:tblPrEx>
        <w:trPr>
          <w:trHeight w:val="372"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山东省基础教育教学成果</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2018.3</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山东省教育厅</w:t>
            </w:r>
          </w:p>
        </w:tc>
        <w:tc>
          <w:tcPr>
            <w:tcW w:w="14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二等奖</w:t>
            </w:r>
          </w:p>
        </w:tc>
      </w:tr>
      <w:tr>
        <w:tblPrEx>
          <w:tblLayout w:type="fixed"/>
          <w:tblCellMar>
            <w:top w:w="15" w:type="dxa"/>
            <w:left w:w="15" w:type="dxa"/>
            <w:bottom w:w="15" w:type="dxa"/>
            <w:right w:w="15" w:type="dxa"/>
          </w:tblCellMar>
        </w:tblPrEx>
        <w:trPr>
          <w:trHeight w:val="285" w:hRule="atLeast"/>
        </w:trPr>
        <w:tc>
          <w:tcPr>
            <w:tcW w:w="3276" w:type="dxa"/>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五、社会兼职</w:t>
            </w:r>
          </w:p>
        </w:tc>
        <w:tc>
          <w:tcPr>
            <w:tcW w:w="984" w:type="dxa"/>
            <w:vAlign w:val="center"/>
          </w:tcPr>
          <w:p>
            <w:pPr>
              <w:jc w:val="center"/>
              <w:rPr>
                <w:rFonts w:hint="eastAsia" w:ascii="宋体" w:hAnsi="宋体" w:cs="宋体"/>
                <w:color w:val="000000"/>
                <w:sz w:val="20"/>
                <w:szCs w:val="20"/>
              </w:rPr>
            </w:pPr>
          </w:p>
        </w:tc>
        <w:tc>
          <w:tcPr>
            <w:tcW w:w="2610" w:type="dxa"/>
            <w:vAlign w:val="center"/>
          </w:tcPr>
          <w:p>
            <w:pPr>
              <w:jc w:val="center"/>
              <w:rPr>
                <w:rFonts w:hint="eastAsia" w:ascii="宋体" w:hAnsi="宋体" w:cs="宋体"/>
                <w:color w:val="000000"/>
                <w:sz w:val="20"/>
                <w:szCs w:val="20"/>
              </w:rPr>
            </w:pPr>
          </w:p>
        </w:tc>
        <w:tc>
          <w:tcPr>
            <w:tcW w:w="1468" w:type="dxa"/>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兼职名称</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时间</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颁发部门</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color w:val="000000"/>
                <w:sz w:val="20"/>
                <w:szCs w:val="20"/>
              </w:rPr>
            </w:pPr>
          </w:p>
        </w:tc>
      </w:tr>
      <w:tr>
        <w:tblPrEx>
          <w:tblLayout w:type="fixed"/>
          <w:tblCellMar>
            <w:top w:w="15" w:type="dxa"/>
            <w:left w:w="15" w:type="dxa"/>
            <w:bottom w:w="15" w:type="dxa"/>
            <w:right w:w="15" w:type="dxa"/>
          </w:tblCellMar>
        </w:tblPrEx>
        <w:trPr>
          <w:trHeight w:val="48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中国教育学会小学教育专业委员会山东省研究基地副理事长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2008.1</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中国教育学会小学教育专业委员会</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551"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山东省家庭教育值得中心专家团成员</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2009.4</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山东省妇女联合会            山东省家庭教育指导中心</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北大以实验学校督学</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2010.5</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北大附属实验学校</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48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德州市首届中小学校长联盟小学部德育委员会副主任</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2014.5</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德州市教育局</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中国教师教育视频网特聘专家</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2016.12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中国教师教育视频网</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东联教育研究院副院长</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2016.12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东联教育研究院</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北京神州本真教育科技院特聘专家</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2017.4</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北京神州本真教育科技院</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泰山学院客座教授</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2017.5</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泰山学院</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285"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齐鲁名师名校长特聘教授</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2017.5</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齐鲁师范学院</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trHeight w:val="48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省定贫困村小学校长教师培训项目首席专家</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2017.8</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山东省中小学校长培训办公室</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480"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教育部“国培计划”中小学名校长领航工作特聘教授</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2018.6</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齐鲁师范学院</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308" w:hRule="atLeast"/>
        </w:trPr>
        <w:tc>
          <w:tcPr>
            <w:tcW w:w="3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山东省教育学会小学语文教学研究专业委员会第七届理事会理事</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2007.12</w:t>
            </w:r>
          </w:p>
        </w:tc>
        <w:tc>
          <w:tcPr>
            <w:tcW w:w="26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山东省教育学会</w:t>
            </w:r>
          </w:p>
        </w:tc>
        <w:tc>
          <w:tcPr>
            <w:tcW w:w="146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bl>
    <w:p>
      <w:pPr>
        <w:spacing w:line="360" w:lineRule="auto"/>
        <w:rPr>
          <w:rFonts w:hint="eastAsia" w:ascii="宋体" w:hAnsi="宋体"/>
          <w:color w:val="000000"/>
          <w:sz w:val="24"/>
          <w:szCs w:val="24"/>
        </w:rPr>
      </w:pPr>
    </w:p>
    <w:tbl>
      <w:tblPr>
        <w:tblStyle w:val="4"/>
        <w:tblW w:w="8520" w:type="dxa"/>
        <w:tblInd w:w="0" w:type="dxa"/>
        <w:tblLayout w:type="fixed"/>
        <w:tblCellMar>
          <w:top w:w="15" w:type="dxa"/>
          <w:left w:w="15" w:type="dxa"/>
          <w:bottom w:w="15" w:type="dxa"/>
          <w:right w:w="15" w:type="dxa"/>
        </w:tblCellMar>
      </w:tblPr>
      <w:tblGrid>
        <w:gridCol w:w="1149"/>
        <w:gridCol w:w="1439"/>
        <w:gridCol w:w="120"/>
        <w:gridCol w:w="1807"/>
        <w:gridCol w:w="433"/>
        <w:gridCol w:w="1552"/>
        <w:gridCol w:w="745"/>
        <w:gridCol w:w="103"/>
        <w:gridCol w:w="1112"/>
        <w:gridCol w:w="60"/>
      </w:tblGrid>
      <w:tr>
        <w:tblPrEx>
          <w:tblLayout w:type="fixed"/>
          <w:tblCellMar>
            <w:top w:w="15" w:type="dxa"/>
            <w:left w:w="15" w:type="dxa"/>
            <w:bottom w:w="15" w:type="dxa"/>
            <w:right w:w="15" w:type="dxa"/>
          </w:tblCellMar>
        </w:tblPrEx>
        <w:trPr>
          <w:trHeight w:val="285" w:hRule="atLeast"/>
        </w:trPr>
        <w:tc>
          <w:tcPr>
            <w:tcW w:w="2708" w:type="dxa"/>
            <w:gridSpan w:val="3"/>
            <w:vAlign w:val="center"/>
          </w:tcPr>
          <w:p>
            <w:pPr>
              <w:rPr>
                <w:rFonts w:hint="eastAsia" w:ascii="宋体" w:hAnsi="宋体" w:cs="宋体"/>
                <w:color w:val="000000"/>
                <w:sz w:val="24"/>
                <w:szCs w:val="24"/>
              </w:rPr>
            </w:pPr>
            <w:r>
              <w:rPr>
                <w:rFonts w:hint="eastAsia" w:ascii="宋体" w:hAnsi="宋体" w:cs="宋体"/>
                <w:color w:val="000000"/>
                <w:kern w:val="0"/>
                <w:sz w:val="24"/>
                <w:szCs w:val="24"/>
              </w:rPr>
              <w:t>六、媒体报道</w:t>
            </w:r>
          </w:p>
        </w:tc>
        <w:tc>
          <w:tcPr>
            <w:tcW w:w="1807" w:type="dxa"/>
            <w:vAlign w:val="center"/>
          </w:tcPr>
          <w:p>
            <w:pPr>
              <w:rPr>
                <w:rFonts w:hint="eastAsia" w:ascii="宋体" w:hAnsi="宋体" w:cs="宋体"/>
                <w:color w:val="000000"/>
                <w:sz w:val="24"/>
                <w:szCs w:val="24"/>
              </w:rPr>
            </w:pPr>
          </w:p>
        </w:tc>
        <w:tc>
          <w:tcPr>
            <w:tcW w:w="2730" w:type="dxa"/>
            <w:gridSpan w:val="3"/>
            <w:vAlign w:val="center"/>
          </w:tcPr>
          <w:p>
            <w:pPr>
              <w:rPr>
                <w:rFonts w:hint="eastAsia" w:ascii="宋体" w:hAnsi="宋体" w:cs="宋体"/>
                <w:color w:val="000000"/>
                <w:sz w:val="24"/>
                <w:szCs w:val="24"/>
              </w:rPr>
            </w:pPr>
          </w:p>
        </w:tc>
        <w:tc>
          <w:tcPr>
            <w:tcW w:w="1275" w:type="dxa"/>
            <w:gridSpan w:val="3"/>
            <w:vAlign w:val="center"/>
          </w:tcPr>
          <w:p>
            <w:pPr>
              <w:rPr>
                <w:rFonts w:hint="eastAsia" w:ascii="宋体" w:hAnsi="宋体" w:cs="宋体"/>
                <w:color w:val="000000"/>
                <w:sz w:val="24"/>
                <w:szCs w:val="24"/>
              </w:rPr>
            </w:pP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时间</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刊物名称</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版块</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文章名称</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作者</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2009.3.10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现代校长</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《李升勇：学会回到原点思考教育》</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徐启建</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2010.1.5</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现代校长（第五版）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《2009年度校长榜》</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张以瑾</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2009.11.10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校长圈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《一所课改名校的家常话》</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张以瑾</w:t>
            </w:r>
          </w:p>
        </w:tc>
      </w:tr>
      <w:tr>
        <w:tblPrEx>
          <w:tblLayout w:type="fixed"/>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2005.2.16</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新闻</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《为孩子种下一颗体贴孝敬的种子》</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张以瑾</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2005.8,24</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《现代教育报》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本周校长（第五版）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《李升勇：铸造民族之魂的杏坛圣徒》</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王三阳</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2004.7.12</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《现代教育导报》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视点（第三版）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《以人为本，铸造民族之魂》</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陶继新</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2004.7.12</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《现代教育导报》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视点（第三版）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《痴心的追梦，无悔的放歌》</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多人反馈</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2009.10.5</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《现代教育导报》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班主任（第三版）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《枣乡飘溢芳香 创新润泽学生》</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尹品华</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2014.8.27</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《中国教师报》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特别报道（第一版）《一所小学的教育“重建”》</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王占伟</w:t>
            </w:r>
          </w:p>
        </w:tc>
      </w:tr>
      <w:tr>
        <w:tblPrEx>
          <w:tblLayout w:type="fixed"/>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2005.8.1</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《学习方法报》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（第四版）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《李升勇：铸造民族之魂的杏坛圣徒》</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王三阳</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2006.3.15</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《学习方法报》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教材研究（第七版）《一封特别的感谢信》</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《一封特别的感谢信》</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耿玉梅</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2008.12.31</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 科技（第四版）《追本溯源求自然》</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高志红 刘智强</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2012.2.17</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人物 往事（第六版）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《“另类”校长李升勇》</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任立松 张晓航</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2009.9.10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图片新闻（第一版）《刘</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《刘德芸：让创新润泽学生成长》</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840"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2007.3.5</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 （第三版）《乐陵市第一实验小学寒假期间开展感恩教育》</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尹品华</w:t>
            </w:r>
          </w:p>
        </w:tc>
      </w:tr>
      <w:tr>
        <w:tblPrEx>
          <w:tblLayout w:type="fixed"/>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2012.9.10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教师节特刊B25</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《回归教育原点，打造高效课堂》</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董珊珊 孟凡香</w:t>
            </w: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2006.12.21</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长河晨刊（第一版）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《校园书市：让孩子做“老板”》</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2006.4.2</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长河晨刊（第一版）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《感恩作业“感动”家长》</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2009.11.30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今日要闻（第三版）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《齐鲁名校长为教师“授课”》</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2010.3.3</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《德州日报》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关爱周刊（第九版）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《乐陵关工委开展“感恩社会、奉献爱心”</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系列活动——文化小使者寒假在行动》</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gridAfter w:val="1"/>
          <w:wAfter w:w="60" w:type="dxa"/>
          <w:trHeight w:val="70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2013.1.18</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《德州晚报》</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关爱周刊（第十一版）《爱如细雨 润物无声“经典诗文诵读”编进</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小本教材》</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范立华</w:t>
            </w:r>
          </w:p>
        </w:tc>
      </w:tr>
      <w:tr>
        <w:tblPrEx>
          <w:tblLayout w:type="fixed"/>
          <w:tblCellMar>
            <w:top w:w="15" w:type="dxa"/>
            <w:left w:w="15" w:type="dxa"/>
            <w:bottom w:w="15" w:type="dxa"/>
            <w:right w:w="15" w:type="dxa"/>
          </w:tblCellMar>
        </w:tblPrEx>
        <w:trPr>
          <w:gridAfter w:val="1"/>
          <w:wAfter w:w="60" w:type="dxa"/>
          <w:trHeight w:val="402"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2014.10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《学校品牌管理》</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品牌解密</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《教育家办学的典范》</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王三阳</w:t>
            </w:r>
          </w:p>
        </w:tc>
      </w:tr>
      <w:tr>
        <w:tblPrEx>
          <w:tblLayout w:type="fixed"/>
          <w:tblCellMar>
            <w:top w:w="15" w:type="dxa"/>
            <w:left w:w="15" w:type="dxa"/>
            <w:bottom w:w="15" w:type="dxa"/>
            <w:right w:w="15" w:type="dxa"/>
          </w:tblCellMar>
        </w:tblPrEx>
        <w:trPr>
          <w:gridAfter w:val="1"/>
          <w:wAfter w:w="60" w:type="dxa"/>
          <w:trHeight w:val="296"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《小学校里的大课堂》</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徐洁</w:t>
            </w:r>
          </w:p>
        </w:tc>
      </w:tr>
      <w:tr>
        <w:tblPrEx>
          <w:tblLayout w:type="fixed"/>
          <w:tblCellMar>
            <w:top w:w="15" w:type="dxa"/>
            <w:left w:w="15" w:type="dxa"/>
            <w:bottom w:w="15" w:type="dxa"/>
            <w:right w:w="15" w:type="dxa"/>
          </w:tblCellMar>
        </w:tblPrEx>
        <w:trPr>
          <w:gridAfter w:val="1"/>
          <w:wAfter w:w="60" w:type="dxa"/>
          <w:trHeight w:val="319"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《名校长在这里炼成》</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李秀伟</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《课改是乐陵实小的核心口碑》</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张宗奎</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2013.11</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《新教育》</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中国教育特色</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《创建大课堂教学模式 打造平实高效的课堂</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——乐陵实验小学大课堂教学改革纪实》</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孟凡香</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2013.1</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《创新教育》</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管理新时空</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《同事眼中的另类校长李升勇》</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刘德芸</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2013.1</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《关爱》</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五老论坛</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《谈谈如何把“三项活动”引向深入》</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2005.11</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《中国现代教育》</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封面故事</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《李升勇：铸造民族之魂的杏坛圣徒》</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341"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2010.6</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《德州》</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亮点采撷</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《化人于点滴 育人于无形 》</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——乐陵市实验小学抓改革促发展纪实》</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2008.6</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《文学选刊》</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思想</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《呼唤学校文化建设的理性回归》</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168"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《印象李升勇》</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孙玉武</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《李盛勇的管理经：“土”办法显出大智慧》</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高玉玲</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《手记：李升勇和乐陵实小的向往》</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梁希理</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2005.1-2（合刊）《现代校长高参》</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管理通鉴</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《以人为本，铸造民族之魂——记李升勇校长的创意思维与治校之道》</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rPr>
              <w:t>陶继新</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2009.11.13</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《中国卓越校长峰会》</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主讲专家</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《课改大突破：一个草根校长的成长之路》</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2007.7</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《教师博览》</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教育人物</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封二</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11"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2013.7</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《教师博览》</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名师</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《教育路上的朝圣者李升勇》</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33"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2013.7</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《教师博览》</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专家点评</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《李升勇和乐陵实小的价值》</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徐启建</w:t>
            </w: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2008.3</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《山东教育》</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语文教改实验之窗</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《走出课堂教学的山谷——乐陵第一实验小学</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49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0"/>
                <w:szCs w:val="20"/>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大语文教学改革掠影》</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陶继新</w:t>
            </w:r>
          </w:p>
        </w:tc>
      </w:tr>
      <w:tr>
        <w:tblPrEx>
          <w:tblLayout w:type="fixed"/>
          <w:tblCellMar>
            <w:top w:w="15" w:type="dxa"/>
            <w:left w:w="15" w:type="dxa"/>
            <w:bottom w:w="15" w:type="dxa"/>
            <w:right w:w="15" w:type="dxa"/>
          </w:tblCellMar>
        </w:tblPrEx>
        <w:trPr>
          <w:gridAfter w:val="1"/>
          <w:wAfter w:w="60" w:type="dxa"/>
          <w:trHeight w:val="52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2010.5</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《校长》</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封面报道</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《教育狂人的理想之花》</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陶继新 张桂玲</w:t>
            </w:r>
          </w:p>
        </w:tc>
      </w:tr>
      <w:tr>
        <w:tblPrEx>
          <w:tblLayout w:type="fixed"/>
        </w:tblPrEx>
        <w:trPr>
          <w:gridAfter w:val="1"/>
          <w:wAfter w:w="60" w:type="dxa"/>
          <w:trHeight w:val="28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2016.12</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《中国校长》</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名师工作坊</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《体系为王，整体思考》</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孙建辉</w:t>
            </w:r>
          </w:p>
        </w:tc>
      </w:tr>
      <w:tr>
        <w:tblPrEx>
          <w:tblLayout w:type="fixed"/>
          <w:tblCellMar>
            <w:top w:w="15" w:type="dxa"/>
            <w:left w:w="15" w:type="dxa"/>
            <w:bottom w:w="15" w:type="dxa"/>
            <w:right w:w="15" w:type="dxa"/>
          </w:tblCellMar>
        </w:tblPrEx>
        <w:trPr>
          <w:gridAfter w:val="1"/>
          <w:wAfter w:w="60" w:type="dxa"/>
          <w:trHeight w:val="285" w:hRule="atLeast"/>
        </w:trPr>
        <w:tc>
          <w:tcPr>
            <w:tcW w:w="11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2017.3</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《教育家》</w:t>
            </w:r>
          </w:p>
        </w:tc>
        <w:tc>
          <w:tcPr>
            <w:tcW w:w="18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封面专题</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《教育的六个哲学思辨》</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李升勇</w:t>
            </w:r>
          </w:p>
        </w:tc>
      </w:tr>
      <w:tr>
        <w:tblPrEx>
          <w:tblLayout w:type="fixed"/>
          <w:tblCellMar>
            <w:top w:w="15" w:type="dxa"/>
            <w:left w:w="15" w:type="dxa"/>
            <w:bottom w:w="15" w:type="dxa"/>
            <w:right w:w="15" w:type="dxa"/>
          </w:tblCellMar>
        </w:tblPrEx>
        <w:trPr>
          <w:gridAfter w:val="1"/>
          <w:wAfter w:w="60" w:type="dxa"/>
          <w:trHeight w:val="286" w:hRule="atLeast"/>
        </w:trPr>
        <w:tc>
          <w:tcPr>
            <w:tcW w:w="2588" w:type="dxa"/>
            <w:gridSpan w:val="2"/>
            <w:vAlign w:val="center"/>
          </w:tcPr>
          <w:p>
            <w:pPr>
              <w:widowControl/>
              <w:textAlignment w:val="center"/>
              <w:rPr>
                <w:rFonts w:hint="eastAsia" w:ascii="宋体" w:hAnsi="宋体" w:cs="宋体"/>
                <w:color w:val="000000"/>
                <w:kern w:val="0"/>
                <w:sz w:val="20"/>
                <w:szCs w:val="20"/>
              </w:rPr>
            </w:pP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rPr>
              <w:t>七、外出报告</w:t>
            </w:r>
          </w:p>
        </w:tc>
        <w:tc>
          <w:tcPr>
            <w:tcW w:w="2360" w:type="dxa"/>
            <w:gridSpan w:val="3"/>
            <w:vAlign w:val="center"/>
          </w:tcPr>
          <w:p>
            <w:pPr>
              <w:jc w:val="center"/>
              <w:rPr>
                <w:rFonts w:hint="eastAsia" w:ascii="宋体" w:hAnsi="宋体" w:cs="宋体"/>
                <w:color w:val="000000"/>
                <w:sz w:val="20"/>
                <w:szCs w:val="20"/>
              </w:rPr>
            </w:pPr>
          </w:p>
        </w:tc>
        <w:tc>
          <w:tcPr>
            <w:tcW w:w="1552" w:type="dxa"/>
            <w:vAlign w:val="center"/>
          </w:tcPr>
          <w:p>
            <w:pPr>
              <w:jc w:val="center"/>
              <w:rPr>
                <w:rFonts w:hint="eastAsia" w:ascii="宋体" w:hAnsi="宋体" w:cs="宋体"/>
                <w:color w:val="000000"/>
                <w:sz w:val="20"/>
                <w:szCs w:val="20"/>
              </w:rPr>
            </w:pPr>
          </w:p>
        </w:tc>
        <w:tc>
          <w:tcPr>
            <w:tcW w:w="848" w:type="dxa"/>
            <w:gridSpan w:val="2"/>
            <w:vAlign w:val="center"/>
          </w:tcPr>
          <w:p>
            <w:pPr>
              <w:jc w:val="center"/>
              <w:rPr>
                <w:rFonts w:hint="eastAsia" w:ascii="宋体" w:hAnsi="宋体" w:cs="宋体"/>
                <w:color w:val="000000"/>
                <w:sz w:val="20"/>
                <w:szCs w:val="20"/>
              </w:rPr>
            </w:pPr>
          </w:p>
        </w:tc>
        <w:tc>
          <w:tcPr>
            <w:tcW w:w="1112" w:type="dxa"/>
            <w:vAlign w:val="center"/>
          </w:tcPr>
          <w:p>
            <w:pPr>
              <w:jc w:val="center"/>
              <w:rPr>
                <w:rFonts w:hint="eastAsia" w:ascii="宋体" w:hAnsi="宋体" w:cs="宋体"/>
                <w:color w:val="000000"/>
                <w:sz w:val="20"/>
                <w:szCs w:val="20"/>
              </w:rPr>
            </w:pPr>
          </w:p>
        </w:tc>
      </w:tr>
      <w:tr>
        <w:tblPrEx>
          <w:tblLayout w:type="fixed"/>
          <w:tblCellMar>
            <w:top w:w="15" w:type="dxa"/>
            <w:left w:w="15" w:type="dxa"/>
            <w:bottom w:w="15" w:type="dxa"/>
            <w:right w:w="15" w:type="dxa"/>
          </w:tblCellMar>
        </w:tblPrEx>
        <w:trPr>
          <w:gridAfter w:val="1"/>
          <w:wAfter w:w="60" w:type="dxa"/>
          <w:trHeight w:val="780" w:hRule="atLeast"/>
        </w:trPr>
        <w:tc>
          <w:tcPr>
            <w:tcW w:w="25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会议主题</w:t>
            </w:r>
          </w:p>
        </w:tc>
        <w:tc>
          <w:tcPr>
            <w:tcW w:w="23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主办单位</w:t>
            </w:r>
          </w:p>
        </w:tc>
        <w:tc>
          <w:tcPr>
            <w:tcW w:w="15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报告名称</w:t>
            </w:r>
          </w:p>
        </w:tc>
        <w:tc>
          <w:tcPr>
            <w:tcW w:w="8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报告人</w:t>
            </w:r>
          </w:p>
        </w:tc>
        <w:tc>
          <w:tcPr>
            <w:tcW w:w="11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时间</w:t>
            </w:r>
          </w:p>
        </w:tc>
      </w:tr>
      <w:tr>
        <w:tblPrEx>
          <w:tblLayout w:type="fixed"/>
          <w:tblCellMar>
            <w:top w:w="15" w:type="dxa"/>
            <w:left w:w="15" w:type="dxa"/>
            <w:bottom w:w="15" w:type="dxa"/>
            <w:right w:w="15" w:type="dxa"/>
          </w:tblCellMar>
        </w:tblPrEx>
        <w:trPr>
          <w:gridAfter w:val="1"/>
          <w:wAfter w:w="60" w:type="dxa"/>
          <w:trHeight w:val="780" w:hRule="atLeast"/>
        </w:trPr>
        <w:tc>
          <w:tcPr>
            <w:tcW w:w="25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第七届全国学校品牌管理高级论坛</w:t>
            </w:r>
          </w:p>
        </w:tc>
        <w:tc>
          <w:tcPr>
            <w:tcW w:w="23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永博明教育研究院</w:t>
            </w:r>
          </w:p>
        </w:tc>
        <w:tc>
          <w:tcPr>
            <w:tcW w:w="15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课堂教学改革之道</w:t>
            </w:r>
          </w:p>
        </w:tc>
        <w:tc>
          <w:tcPr>
            <w:tcW w:w="8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李升勇</w:t>
            </w:r>
          </w:p>
        </w:tc>
        <w:tc>
          <w:tcPr>
            <w:tcW w:w="11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2009.5.14</w:t>
            </w:r>
          </w:p>
        </w:tc>
      </w:tr>
      <w:tr>
        <w:tblPrEx>
          <w:tblLayout w:type="fixed"/>
          <w:tblCellMar>
            <w:top w:w="15" w:type="dxa"/>
            <w:left w:w="15" w:type="dxa"/>
            <w:bottom w:w="15" w:type="dxa"/>
            <w:right w:w="15" w:type="dxa"/>
          </w:tblCellMar>
        </w:tblPrEx>
        <w:trPr>
          <w:gridAfter w:val="1"/>
          <w:wAfter w:w="60" w:type="dxa"/>
          <w:trHeight w:val="780" w:hRule="atLeast"/>
        </w:trPr>
        <w:tc>
          <w:tcPr>
            <w:tcW w:w="25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第一次理事单位学术专题研讨会</w:t>
            </w:r>
          </w:p>
        </w:tc>
        <w:tc>
          <w:tcPr>
            <w:tcW w:w="23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中国教育学会中小学整体改革专业委员会</w:t>
            </w:r>
          </w:p>
        </w:tc>
        <w:tc>
          <w:tcPr>
            <w:tcW w:w="15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构建学校自己的课程</w:t>
            </w:r>
          </w:p>
        </w:tc>
        <w:tc>
          <w:tcPr>
            <w:tcW w:w="8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李升勇</w:t>
            </w:r>
          </w:p>
        </w:tc>
        <w:tc>
          <w:tcPr>
            <w:tcW w:w="11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2014.4.20</w:t>
            </w:r>
          </w:p>
        </w:tc>
      </w:tr>
      <w:tr>
        <w:tblPrEx>
          <w:tblLayout w:type="fixed"/>
        </w:tblPrEx>
        <w:trPr>
          <w:gridAfter w:val="1"/>
          <w:wAfter w:w="60" w:type="dxa"/>
          <w:trHeight w:val="780" w:hRule="atLeast"/>
        </w:trPr>
        <w:tc>
          <w:tcPr>
            <w:tcW w:w="25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2015年中小学校长论坛</w:t>
            </w:r>
          </w:p>
        </w:tc>
        <w:tc>
          <w:tcPr>
            <w:tcW w:w="23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海口市龙华区2015年中小学校长论坛</w:t>
            </w:r>
          </w:p>
        </w:tc>
        <w:tc>
          <w:tcPr>
            <w:tcW w:w="15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现代学校发展的策略与途径</w:t>
            </w:r>
          </w:p>
        </w:tc>
        <w:tc>
          <w:tcPr>
            <w:tcW w:w="8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李升勇</w:t>
            </w:r>
          </w:p>
        </w:tc>
        <w:tc>
          <w:tcPr>
            <w:tcW w:w="11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eastAsia" w:ascii="宋体" w:hAnsi="宋体" w:cs="宋体"/>
                <w:color w:val="000000"/>
                <w:sz w:val="20"/>
                <w:szCs w:val="20"/>
              </w:rPr>
            </w:pPr>
            <w:r>
              <w:rPr>
                <w:rFonts w:hint="eastAsia" w:ascii="宋体" w:hAnsi="宋体" w:cs="宋体"/>
                <w:color w:val="000000"/>
                <w:kern w:val="0"/>
                <w:sz w:val="20"/>
                <w:szCs w:val="20"/>
              </w:rPr>
              <w:t>2015.7.2</w:t>
            </w:r>
          </w:p>
        </w:tc>
      </w:tr>
    </w:tbl>
    <w:p>
      <w:pPr>
        <w:jc w:val="both"/>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Times New Roman"/>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T Extra">
    <w:panose1 w:val="05050102010205020202"/>
    <w:charset w:val="00"/>
    <w:family w:val="auto"/>
    <w:pitch w:val="default"/>
    <w:sig w:usb0="80000000" w:usb1="00000000" w:usb2="00000000" w:usb3="00000000" w:csb0="0000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A29D3"/>
    <w:rsid w:val="00062A11"/>
    <w:rsid w:val="00081DA2"/>
    <w:rsid w:val="00083BD7"/>
    <w:rsid w:val="000D6445"/>
    <w:rsid w:val="000E25BD"/>
    <w:rsid w:val="00150FD0"/>
    <w:rsid w:val="001B6C5C"/>
    <w:rsid w:val="001F48D9"/>
    <w:rsid w:val="00250BE8"/>
    <w:rsid w:val="002C2911"/>
    <w:rsid w:val="0031398F"/>
    <w:rsid w:val="004E07B2"/>
    <w:rsid w:val="005F7D0E"/>
    <w:rsid w:val="006125AA"/>
    <w:rsid w:val="00804DDF"/>
    <w:rsid w:val="0082102E"/>
    <w:rsid w:val="009A14DC"/>
    <w:rsid w:val="009B0655"/>
    <w:rsid w:val="009C70CB"/>
    <w:rsid w:val="00A00C7F"/>
    <w:rsid w:val="00A056DC"/>
    <w:rsid w:val="00A87E74"/>
    <w:rsid w:val="00B140D2"/>
    <w:rsid w:val="00CF4252"/>
    <w:rsid w:val="00D855DC"/>
    <w:rsid w:val="00DA29D3"/>
    <w:rsid w:val="00E41BD8"/>
    <w:rsid w:val="00E60913"/>
    <w:rsid w:val="00ED0E0D"/>
    <w:rsid w:val="00EF2FD6"/>
    <w:rsid w:val="00F0565C"/>
    <w:rsid w:val="00F31BA5"/>
    <w:rsid w:val="00FD0056"/>
    <w:rsid w:val="344F10B2"/>
    <w:rsid w:val="34C62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font01"/>
    <w:basedOn w:val="5"/>
    <w:qFormat/>
    <w:uiPriority w:val="0"/>
    <w:rPr>
      <w:rFonts w:ascii="Arial" w:hAnsi="Arial" w:cs="Arial"/>
      <w:color w:val="000000"/>
      <w:kern w:val="0"/>
      <w:sz w:val="20"/>
      <w:szCs w:val="20"/>
      <w:u w:val="none"/>
    </w:rPr>
  </w:style>
  <w:style w:type="character" w:customStyle="1" w:styleId="9">
    <w:name w:val="font21"/>
    <w:basedOn w:val="5"/>
    <w:qFormat/>
    <w:uiPriority w:val="0"/>
    <w:rPr>
      <w:rFonts w:hint="eastAsia" w:ascii="宋体" w:hAnsi="宋体" w:eastAsia="宋体" w:cs="宋体"/>
      <w:color w:val="000000"/>
      <w:kern w:val="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236</Words>
  <Characters>1348</Characters>
  <Lines>11</Lines>
  <Paragraphs>3</Paragraphs>
  <TotalTime>1</TotalTime>
  <ScaleCrop>false</ScaleCrop>
  <LinksUpToDate>false</LinksUpToDate>
  <CharactersWithSpaces>1581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2019-07-12T01:35:00Z</dcterms:created>
  <dc:creator>冰雪奇缘</dc:creator>
  <cp:lastModifiedBy>Administrator</cp:lastModifiedBy>
  <dcterms:modified xsi:type="dcterms:W3CDTF">2019-07-19T03:40:18Z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